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D.13 La relación de presunciones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todas las presunciones en que se sostiene la autoridad del Estado sobre la persona, en una sola relación que se adjunta al </w:t>
      </w:r>
      <w:r>
        <w:rPr>
          <w:b/>
        </w:rPr>
        <w:t>D.9</w:t>
      </w:r>
      <w:r>
        <w:rPr>
          <w:b/>
        </w:rPr>
        <w:t>: primero las que la ley escribe; después, las que ninguna ley escribe y se sostienen en la creencia y el consentimiento.</w:t>
      </w:r>
    </w:p>
    <w:p>
      <w:r>
        <w:t xml:space="preserve">Cómo se lee: es un documento para adjuntar, en lenguaje jurídico. Cada línea nombra la presunción, la norma donde está escrita con sus palabras, o dónde la explica esta obra, y pide su fundamento. Por qué cada una es una presunción, y lo que dicen frente a ellas los textos sagrados, está en el edificio de </w:t>
      </w:r>
      <w:r>
        <w:t>5.2</w:t>
      </w:r>
      <w:r>
        <w:t xml:space="preserve"> y en los cargos del juicio (</w:t>
      </w:r>
      <w:r>
        <w:t>11.3</w:t>
      </w:r>
      <w:r>
        <w:t>); aquí no se repite. Cada presunción lleva entre paréntesis el apartado de la obra que la explica; en el escrito que se presente, esos paréntesis se quitan.</w:t>
      </w:r>
    </w:p>
    <w:p>
      <w:pPr>
        <w:pStyle w:val="Heading3"/>
      </w:pPr>
      <w:r>
        <w:t>Primera parte. Lo que la ley presume</w:t>
      </w:r>
    </w:p>
    <w:p>
      <w:r>
        <w:t xml:space="preserve">Para cada una, se pide: </w:t>
      </w:r>
      <w:r>
        <w:rPr>
          <w:b/>
        </w:rPr>
        <w:t>el hecho demostrado o admitido del que parte respecto de mi persona, y el documento que lo acredita.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rPr>
          <w:b/>
        </w:rPr>
        <w:t>La validez de los actos.</w:t>
      </w:r>
      <w:r>
        <w:t xml:space="preserve"> Los actos de las Administraciones Públicas sujetos al Derecho Administrativo «se presumirán válidos y producirán efectos desde la fecha en que se dicten»</w:t>
      </w:r>
      <w:r>
        <w:t>; en los municipios, provincias e islas, la ley les reconoce «La presunción de legitimidad y la ejecutividad de sus actos»</w:t>
      </w:r>
      <w:r>
        <w:t>. (</w:t>
      </w:r>
      <w:r>
        <w:t>5.2</w:t>
      </w:r>
      <w:r>
        <w:t xml:space="preserve">, planta 4; </w:t>
      </w:r>
      <w:r>
        <w:t>cargo 20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rPr>
          <w:b/>
        </w:rPr>
        <w:t>El cobro sin juez.</w:t>
      </w:r>
      <w:r>
        <w:t xml:space="preserve"> Esos actos «serán inmediatamente ejecutivos»</w:t>
      </w:r>
      <w:r>
        <w:t>, y la Administración puede ejecutarlos por sí misma, previo apercibimiento</w:t>
      </w:r>
      <w:r>
        <w:t>; la providencia de apremio «tendrá la misma fuerza ejecutiva que la sentencia judicial»</w:t>
      </w:r>
      <w:r>
        <w:t>. (</w:t>
      </w:r>
      <w:r>
        <w:t>5.1</w:t>
      </w:r>
      <w:r>
        <w:t xml:space="preserve">, n.º 15; </w:t>
      </w:r>
      <w:r>
        <w:t>cargo 13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rPr>
          <w:b/>
        </w:rPr>
        <w:t>La palabra de la autoridad hace prueba.</w:t>
      </w:r>
      <w:r>
        <w:t xml:space="preserve"> Los documentos de los funcionarios con condición de autoridad «harán prueba de éstos salvo que se acredite lo contrario»</w:t>
      </w:r>
      <w:r>
        <w:t>; las denuncias de los agentes de tráfico «tendrán valor probatorio, salvo prueba en contrario»</w:t>
      </w:r>
      <w:r>
        <w:t>; las actas de la inspección de los tributos «hacen prueba de los hechos que motiven su formalización, salvo que se acredite lo contrario»</w:t>
      </w:r>
      <w:r>
        <w:t>. (</w:t>
      </w:r>
      <w:r>
        <w:t>5.2</w:t>
      </w:r>
      <w:r>
        <w:t xml:space="preserve">, planta 4; </w:t>
      </w:r>
      <w:r>
        <w:t>cargo 21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4. </w:t>
      </w:r>
      <w:r>
        <w:rPr>
          <w:b/>
        </w:rPr>
        <w:t>Lo que el ciudadano declara, cierto contra él.</w:t>
      </w:r>
      <w:r>
        <w:t xml:space="preserve"> Lo que consta en sus declaraciones «se presumen ciertos para ellos y sólo podrán rectificarse por los mismos mediante prueba en contrario»</w:t>
      </w:r>
      <w:r>
        <w:t>, y lo que acepta en un acta de inspección se presume cierto y solo puede rectificarse probando un error de hecho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5. </w:t>
      </w:r>
      <w:r>
        <w:rPr>
          <w:b/>
        </w:rPr>
        <w:t>El titular es quien figura en el registro.</w:t>
      </w:r>
      <w:r>
        <w:t xml:space="preserve"> Hacienda «podrá considerar como titular […] a quien figure como tal en un registro fiscal o en otros de carácter público, salvo prueba en contrario»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6. </w:t>
      </w:r>
      <w:r>
        <w:rPr>
          <w:b/>
        </w:rPr>
        <w:t>La notificación dada por hecha.</w:t>
      </w:r>
      <w:r>
        <w:t xml:space="preserve"> La notificación electrónica obligatoria «se entenderá rechazada» a los diez días naturales sin acceder a ella</w:t>
      </w:r>
      <w:r>
        <w:t>, y la de tráfico publicada en el BOE se entenderá practicada a los veinte días naturales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7. </w:t>
      </w:r>
      <w:r>
        <w:rPr>
          <w:b/>
        </w:rPr>
        <w:t>El silencio que dice no.</w:t>
      </w:r>
      <w:r>
        <w:t xml:space="preserve"> En el derecho de petición, el silencio tiene efecto desestimatorio</w:t>
      </w:r>
      <w:r>
        <w:t>, y en el acceso a la información pública, la solicitud sin respuesta «se entenderá que […] ha sido desestimada»</w:t>
      </w:r>
      <w:r>
        <w:t>. (</w:t>
      </w:r>
      <w:r>
        <w:t>10.4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8. </w:t>
      </w:r>
      <w:r>
        <w:rPr>
          <w:b/>
        </w:rPr>
        <w:t>Todos conocen todas las leyes.</w:t>
      </w:r>
      <w:r>
        <w:t xml:space="preserve"> «La ignorancia de las leyes no excusa de su cumplimiento»</w:t>
      </w:r>
      <w:r>
        <w:t>, y solo en 2024 se aprobaron 894 normas nuevas (</w:t>
      </w:r>
      <w:r>
        <w:t>cargo 8</w:t>
      </w:r>
      <w:r>
        <w:t>). (</w:t>
      </w:r>
      <w:r>
        <w:t>5.2</w:t>
      </w:r>
      <w:r>
        <w:t>, planta 3)</w:t>
      </w:r>
    </w:p>
    <w:p>
      <w:r>
        <w:rPr>
          <w:b/>
        </w:rPr>
        <w:t>Lo que la ley presume a favor de la persona.</w:t>
      </w:r>
      <w:r>
        <w:t xml:space="preserve"> Las presunciones no juegan solo en una dirección, y el escrito las invoca:</w:t>
      </w:r>
    </w:p>
    <w:p>
      <w:pPr>
        <w:pStyle w:val="ListBullet"/>
      </w:pPr>
      <w:r>
        <w:t>Todos tienen derecho «a la presunción de inocencia»</w:t>
      </w:r>
      <w:r>
        <w:t>, y en todo procedimiento sancionador, «a la presunción de no existencia de responsabilidad administrativa mientras no se demuestre lo contrario»</w:t>
      </w:r>
      <w:r>
        <w:t>.</w:t>
      </w:r>
    </w:p>
    <w:p>
      <w:pPr>
        <w:pStyle w:val="ListBullet"/>
      </w:pPr>
      <w:r>
        <w:t>«La buena fe se presume siempre, y al que afirma la mala fe de un poseedor corresponde la prueba»</w:t>
      </w:r>
      <w:r>
        <w:t xml:space="preserve"> (</w:t>
      </w:r>
      <w:r>
        <w:t>2.5</w:t>
      </w:r>
      <w:r>
        <w:t>).</w:t>
      </w:r>
    </w:p>
    <w:p>
      <w:pPr>
        <w:pStyle w:val="ListBullet"/>
      </w:pPr>
      <w:r>
        <w:t>En los procedimientos que inicia el interesado, la regla general es que el silencio da la razón: el vencimiento del plazo sin resolución le legitima «para entenderla estimada por silencio administrativo», salvo que una ley disponga otra cosa</w:t>
      </w:r>
      <w:r>
        <w:t>.</w:t>
      </w:r>
    </w:p>
    <w:p>
      <w:pPr>
        <w:pStyle w:val="ListBullet"/>
      </w:pPr>
      <w:r>
        <w:t>Toda presunción legal admite prueba en contrario, salvo que la ley lo prohíba expresamente</w:t>
      </w:r>
      <w:r>
        <w:t>; y la que no establece ninguna norma solo vale si entre el hecho demostrado y el que se deduce «haya un enlace preciso y directo según las reglas del criterio humano»</w:t>
      </w:r>
      <w:r>
        <w:t>.</w:t>
      </w:r>
    </w:p>
    <w:p>
      <w:pPr>
        <w:pStyle w:val="Heading3"/>
      </w:pPr>
      <w:r>
        <w:t>Segunda parte. La vacuna: lo que se cree sin prueba</w:t>
      </w:r>
    </w:p>
    <w:p>
      <w:r>
        <w:rPr>
          <w:b/>
        </w:rPr>
        <w:t>Lo que sostiene el poder: la creencia y el consentimiento.</w:t>
      </w:r>
      <w:r>
        <w:t xml:space="preserve"> Ninguna ley llama presunción a lo que sigue. Por eso no se pregunta «su presunción de…», sino </w:t>
      </w:r>
      <w:r>
        <w:rPr>
          <w:b/>
        </w:rPr>
        <w:t>en qué hecho demostrado se funda</w:t>
      </w:r>
      <w:r>
        <w:t xml:space="preserve"> cada cosa. Si hay hecho demostrado, se sostiene, y quien pregunta rectifica. Si no lo hay, es, con las palabras del diccionario jurídico, la aceptación de un hecho del que no se tiene prueba.</w:t>
      </w:r>
    </w:p>
    <w:p>
      <w:r>
        <w:rPr>
          <w:b/>
        </w:rPr>
        <w:t>El cimiento: el orden de las leyes y la voz.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rPr>
          <w:b/>
        </w:rPr>
        <w:t>El orden de las leyes.</w:t>
      </w:r>
      <w:r>
        <w:t xml:space="preserve"> El Código Civil sitúa la ley escrita por delante de la costumbre y de los principios generales del derecho: «La costumbre sólo regirá en defecto de ley aplicable»</w:t>
      </w:r>
      <w:r>
        <w:t>; la jerarquía termina en la Constitución</w:t>
      </w:r>
      <w:r>
        <w:t>, que reconoce derechos «inherentes» a la persona, anteriores a ella</w:t>
      </w:r>
      <w:r>
        <w:t>; y «Ninguna confesión tendrá carácter estatal»</w:t>
      </w:r>
      <w:r>
        <w:t xml:space="preserve">, con lo que ninguna ley de Dios entra en el ordenamiento. Según el aforismo </w:t>
      </w:r>
      <w:r>
        <w:rPr>
          <w:i/>
        </w:rPr>
        <w:t>prior tempore potior iure</w:t>
      </w:r>
      <w:r>
        <w:t>, «Primero en el tiempo, preferido en el derecho»</w:t>
      </w:r>
      <w:r>
        <w:t>. ¿En qué hecho demostrado, y en qué título, se funda que la norma escrita, posterior en el tiempo, ocupe el primer lugar y prevalezca sobre la ley de Dios, la ley natural y la costumbre, anteriores a ella y por este orden? (</w:t>
      </w:r>
      <w:r>
        <w:t>1.1</w:t>
      </w:r>
      <w:r>
        <w:t xml:space="preserve">; </w:t>
      </w:r>
      <w:r>
        <w:t>5.2</w:t>
      </w:r>
      <w:r>
        <w:t>, planta 1; cargos 1 y 2)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rPr>
          <w:b/>
        </w:rPr>
        <w:t>Quién fijó ese orden.</w:t>
      </w:r>
      <w:r>
        <w:t xml:space="preserve"> La ley obliga a las autoridades y al personal a abstenerse cuando tienen en el asunto «interés personal»</w:t>
      </w:r>
      <w:r>
        <w:t>. ¿En qué se funda que quien legisla decida el rango de su propia ley? (</w:t>
      </w:r>
      <w:r>
        <w:t>1.7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rPr>
          <w:b/>
        </w:rPr>
        <w:t>La voz.</w:t>
      </w:r>
      <w:r>
        <w:t xml:space="preserve"> La Administración actúa con personalidad jurídica (</w:t>
      </w:r>
      <w:r>
        <w:t>2.1</w:t>
      </w:r>
      <w:r>
        <w:t>). ¿En qué hecho demostrado se funda que una persona jurídica, sin cuerpo ni voz propios, ejerza autoridad sobre una persona física? ¿Quién habla cuando habla el Estado, y en virtud de qué consentimiento? (</w:t>
      </w:r>
      <w:r>
        <w:t>2.1</w:t>
      </w:r>
      <w:r>
        <w:t xml:space="preserve">; </w:t>
      </w:r>
      <w:r>
        <w:t>5.3</w:t>
      </w:r>
      <w:r>
        <w:t>)</w:t>
      </w:r>
    </w:p>
    <w:p>
      <w:r>
        <w:rPr>
          <w:b/>
        </w:rPr>
        <w:t>La creencia y el consentimiento.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rPr>
          <w:b/>
        </w:rPr>
        <w:t>La soberanía del pueblo.</w:t>
      </w:r>
      <w:r>
        <w:t xml:space="preserve"> «La soberanía nacional reside en el pueblo español, del que emanan los poderes del Estado»</w:t>
      </w:r>
      <w:r>
        <w:t>. ¿En qué documento y en qué fecha consta mi consentimiento personal, más allá de la ratificación de la Constitución en el referéndum de 1978? (</w:t>
      </w:r>
      <w:r>
        <w:t>5.2</w:t>
      </w:r>
      <w:r>
        <w:t xml:space="preserve">, planta 2; </w:t>
      </w:r>
      <w:r>
        <w:t>cargo 3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rPr>
          <w:b/>
        </w:rPr>
        <w:t>El contrato social.</w:t>
      </w:r>
      <w:r>
        <w:t xml:space="preserve"> ¿En qué documento consta el pacto que se me presume aceptado? (</w:t>
      </w:r>
      <w:r>
        <w:t>6.1</w:t>
      </w:r>
      <w:r>
        <w:t xml:space="preserve">; </w:t>
      </w:r>
      <w:r>
        <w:t>cargo 11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rPr>
          <w:b/>
        </w:rPr>
        <w:t>La obligación heredada.</w:t>
      </w:r>
      <w:r>
        <w:t xml:space="preserve"> ¿En qué hecho demostrado se funda que acepto mis obligaciones con el Estado por el hecho de nacer? (</w:t>
      </w:r>
      <w:r>
        <w:t>5.4</w:t>
      </w:r>
      <w:r>
        <w:t xml:space="preserve">; </w:t>
      </w:r>
      <w:r>
        <w:t>cargo 16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4. </w:t>
      </w:r>
      <w:r>
        <w:rPr>
          <w:b/>
        </w:rPr>
        <w:t>La representación.</w:t>
      </w:r>
      <w:r>
        <w:t xml:space="preserve"> ¿En qué se funda que el representante obedezca a quien le vota, si no está ligado por mandato imperativo? (</w:t>
      </w:r>
      <w:r>
        <w:t>5.1</w:t>
      </w:r>
      <w:r>
        <w:t xml:space="preserve">, n.º 17 y 18; </w:t>
      </w:r>
      <w:r>
        <w:t>cargo 6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5. </w:t>
      </w:r>
      <w:r>
        <w:rPr>
          <w:b/>
        </w:rPr>
        <w:t>Lo legal es lo justo.</w:t>
      </w:r>
      <w:r>
        <w:t xml:space="preserve"> ¿En qué se funda que una norma sea justa por ser ley, cuando normas legales se han anulado años después sin devolver lo cobrado? (</w:t>
      </w:r>
      <w:r>
        <w:t>5.1</w:t>
      </w:r>
      <w:r>
        <w:t xml:space="preserve">; </w:t>
      </w:r>
      <w:r>
        <w:t>5.2</w:t>
      </w:r>
      <w:r>
        <w:t xml:space="preserve">, planta 1; </w:t>
      </w:r>
      <w:r>
        <w:t>cargo 7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6. </w:t>
      </w:r>
      <w:r>
        <w:rPr>
          <w:b/>
        </w:rPr>
        <w:t>La fuerza.</w:t>
      </w:r>
      <w:r>
        <w:t xml:space="preserve"> ¿En qué consentimiento se funda la autoridad, si su origen fue, en casi todos los gobiernos, la usurpación o la conquista, como escribió Hume? (</w:t>
      </w:r>
      <w:r>
        <w:t>6.1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7. </w:t>
      </w:r>
      <w:r>
        <w:rPr>
          <w:b/>
        </w:rPr>
        <w:t>La urgencia.</w:t>
      </w:r>
      <w:r>
        <w:t xml:space="preserve"> ¿En qué hecho demostrado se funda la urgencia de cada decreto-ley? (</w:t>
      </w:r>
      <w:r>
        <w:t>5.1</w:t>
      </w:r>
      <w:r>
        <w:t xml:space="preserve">, n.º 14; </w:t>
      </w:r>
      <w:r>
        <w:t>cargo 12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8. </w:t>
      </w:r>
      <w:r>
        <w:rPr>
          <w:b/>
        </w:rPr>
        <w:t>La moneda y el ahorro.</w:t>
      </w:r>
      <w:r>
        <w:t xml:space="preserve"> ¿Por qué el dinero en que se me paga y se me cobra pierde su valor sin que nadie lo vote, y qué norma protege el valor de lo que ahorro? (</w:t>
      </w:r>
      <w:r>
        <w:t>5.1</w:t>
      </w:r>
      <w:r>
        <w:t xml:space="preserve">, n.º 10, 11 y 22; </w:t>
      </w:r>
      <w:r>
        <w:t>8.3</w:t>
      </w:r>
      <w:r>
        <w:t>; cargos 4, 17, 18 y 19)</w:t>
      </w:r>
    </w:p>
    <w:p>
      <w:pPr>
        <w:spacing w:after="60"/>
        <w:ind w:left="510" w:hanging="397"/>
      </w:pPr>
      <w:r>
        <w:rPr>
          <w:b w:val="0"/>
        </w:rPr>
        <w:t xml:space="preserve">9. </w:t>
      </w:r>
      <w:r>
        <w:rPr>
          <w:b/>
        </w:rPr>
        <w:t>La deuda y las generaciones.</w:t>
      </w:r>
      <w:r>
        <w:t xml:space="preserve"> ¿En virtud de qué consentimiento se compromete el pago de la deuda pública y de las pensiones futuras a cargo de quienes aún no han nacido? (</w:t>
      </w:r>
      <w:r>
        <w:t>5.1</w:t>
      </w:r>
      <w:r>
        <w:t>, n.º 24; cargos 9 y 14)</w:t>
      </w:r>
    </w:p>
    <w:p>
      <w:pPr>
        <w:spacing w:after="60"/>
        <w:ind w:left="510" w:hanging="397"/>
      </w:pPr>
      <w:r>
        <w:rPr>
          <w:b w:val="0"/>
        </w:rPr>
        <w:t xml:space="preserve">10. </w:t>
      </w:r>
      <w:r>
        <w:rPr>
          <w:b/>
        </w:rPr>
        <w:t>La hucha.</w:t>
      </w:r>
      <w:r>
        <w:t xml:space="preserve"> ¿En qué se funda que lo cotizado sea para la propia jubilación y que la hucha lo guarde? (</w:t>
      </w:r>
      <w:r>
        <w:t>5.1</w:t>
      </w:r>
      <w:r>
        <w:t xml:space="preserve">, n.º 1, 2, 6 y 8; </w:t>
      </w:r>
      <w:r>
        <w:t>cargo 15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11. </w:t>
      </w:r>
      <w:r>
        <w:rPr>
          <w:b/>
        </w:rPr>
        <w:t>El Estado no quiebra.</w:t>
      </w:r>
      <w:r>
        <w:t xml:space="preserve"> ¿En qué se funda que el Estado se excluya a sí mismo del concurso que aplica a todos los demás? (</w:t>
      </w:r>
      <w:r>
        <w:t>5.1</w:t>
      </w:r>
      <w:r>
        <w:t xml:space="preserve">, n.º 7; </w:t>
      </w:r>
      <w:r>
        <w:t>cargo 5</w:t>
      </w:r>
      <w:r>
        <w:t>)</w:t>
      </w:r>
    </w:p>
    <w:p>
      <w:pPr>
        <w:spacing w:after="60"/>
        <w:ind w:left="510" w:hanging="397"/>
      </w:pPr>
      <w:r>
        <w:rPr>
          <w:b w:val="0"/>
        </w:rPr>
        <w:t xml:space="preserve">12. </w:t>
      </w:r>
      <w:r>
        <w:rPr>
          <w:b/>
        </w:rPr>
        <w:t>La información y el cumplimiento.</w:t>
      </w:r>
      <w:r>
        <w:t xml:space="preserve"> ¿En qué se funda que todo se publique, que la partida de «vejez» sean los jubilados que cotizaron y que el Estado cumpla lo que la Constitución promete? (</w:t>
      </w:r>
      <w:r>
        <w:t>5.1</w:t>
      </w:r>
      <w:r>
        <w:t>, n.º 20, 21 y 23; cargos 10, 22 y 23)</w:t>
      </w:r>
    </w:p>
    <w:p>
      <w:r>
        <w:rPr>
          <w:b/>
        </w:rPr>
        <w:t>Conclusión, lo que arrojan los datos:</w:t>
      </w:r>
      <w:r>
        <w:t xml:space="preserve"> las presunciones de la primera parte están escritas en la ley con sus palabras, y casi todas reparten la carga de la prueba del mismo lado: el Estado se presume válido y cierto, y es el ciudadano quien tiene que probar lo contrario. Las de la segunda parte no las escribe ninguna ley: se sostienen en que se crean. Y la propia ley dice que una presunción necesita un hecho de partida admitido o probado (Ley de Enjuiciamiento Civil, art. 385.1).</w:t>
      </w:r>
    </w:p>
    <w:p>
      <w:r>
        <w:rPr>
          <w:b/>
        </w:rPr>
        <w:t>Lectura del autor:</w:t>
      </w:r>
      <w:r>
        <w:t xml:space="preserve"> un ente sin aliento de vida no tiene voz propia: o se sostiene en la verdad objetiva y natural, o es fruto del padre de la mentira (Jn 8:44). ¿Cómo creer su palabra, cuando se pone por encima de la ley de Dios, de la ley natural y de la costumbre, que guardan los textos sagrados de las tradiciones (</w:t>
      </w:r>
      <w:r>
        <w:t>capítulo 3</w:t>
      </w:r>
      <w:r>
        <w:t>), y lo decide él mismo, cuando nadie debe ser juez en su propia causa (</w:t>
      </w:r>
      <w:r>
        <w:t>1.7</w:t>
      </w:r>
      <w:r>
        <w:t>)? Primero en el tiempo, preferido en el derecho: lo primero fue la ley de Dios. La ley humana ocupa el lugar de la ley de Dios, de la natural y de la costumbre, y lo usa como propio: es lo que el diccionario llama usurpar, «Arrogarse la dignidad, empleo u oficio de otro, y usarlos como si fueran propios»</w:t>
      </w:r>
      <w:r>
        <w:t>; y arrogarse es, en el diccionario jurídico, «Apropiarse indebidamente de honores, títulos o derechos»</w:t>
      </w:r>
      <w:r>
        <w:t xml:space="preserve">. Y las dos palabras nacieron juntas: el primer diccionario del español, el de Nebrija, traduce «Presumir» por </w:t>
      </w:r>
      <w:r>
        <w:rPr>
          <w:i/>
        </w:rPr>
        <w:t>arrogo</w:t>
      </w:r>
      <w:r>
        <w:t xml:space="preserve">, arrogarse, y «Presuncion» por </w:t>
      </w:r>
      <w:r>
        <w:rPr>
          <w:i/>
        </w:rPr>
        <w:t>arrogantia</w:t>
      </w:r>
      <w:r>
        <w:t>, arrogancia</w:t>
      </w:r>
      <w:r>
        <w:t>. El poder de uno solo vive de que muchos se lo den (</w:t>
      </w:r>
      <w:r>
        <w:t>4.1</w:t>
      </w:r>
      <w:r>
        <w:t>); el aliento que articula sus palabras es el que le prestan quienes creen en él y consienten. Por eso esta parte se llama la vacuna: quien sabe en qué se cree sin prueba ya no consiente sin saberlo.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D.13 La relación de presunciones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D.13 La relación de presunciones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