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Segoe UI" w:hAnsi="Segoe UI" w:eastAsia="Segoe UI" w:cs="Segoe UI"/>
          <w:b/>
          <w:color w:val="6B665E"/>
          <w:sz w:val="19"/>
        </w:rPr>
        <w:t>El botiquín: los modelos de escrito</w:t>
      </w:r>
    </w:p>
    <w:p>
      <w:pPr>
        <w:pStyle w:val="Heading1"/>
      </w:pPr>
      <w:r>
        <w:t>D.12 La reclamación de responsabilidad patrimonial</w:t>
      </w:r>
    </w:p>
    <w:p>
      <w:pPr>
        <w:pBdr>
          <w:left w:val="single" w:sz="24" w:space="6" w:color="E2DED6"/>
        </w:pBdr>
        <w:shd w:val="clear" w:color="auto" w:fill="F1EEE8"/>
        <w:spacing w:before="80" w:after="160"/>
        <w:ind w:left="142" w:right="142"/>
      </w:pPr>
      <w:r>
        <w:rPr>
          <w:b/>
        </w:rPr>
        <w:t>La idea: el espejo de la autotutela: si el ciudadano daña, paga; si el funcionamiento de la Administración daña, indemniza.</w:t>
      </w:r>
    </w:p>
    <w:p>
      <w:pPr>
        <w:pStyle w:val="ListBullet"/>
      </w:pPr>
      <w:r>
        <w:rPr>
          <w:b/>
        </w:rPr>
        <w:t>Dónde vale:</w:t>
      </w:r>
      <w:r>
        <w:t xml:space="preserve"> en la jurisdicción del Estado (el espejo). </w:t>
      </w:r>
    </w:p>
    <w:p>
      <w:pPr>
        <w:pStyle w:val="ListBullet"/>
      </w:pPr>
      <w:r>
        <w:rPr>
          <w:b/>
        </w:rPr>
        <w:t>Cuándo usarlo:</w:t>
      </w:r>
      <w:r>
        <w:t xml:space="preserve"> cuando el funcionamiento de un servicio público, normal o anormal, ha causado un daño que no hay obligación de soportar: un procedimiento que se eterniza, una notificación mal hecha, un embargo indebido, una pérdida económica. </w:t>
      </w:r>
    </w:p>
    <w:p>
      <w:pPr>
        <w:pStyle w:val="ListBullet"/>
      </w:pPr>
      <w:r>
        <w:rPr>
          <w:b/>
        </w:rPr>
        <w:t>Base legal:</w:t>
      </w:r>
      <w:r>
        <w:t xml:space="preserve"> Ley 40/2015, del Régimen Jurídico del Sector Público, arts. 32 y 36.1; Ley 39/2015, arts. 67.1, 67.2 y 91.3. </w:t>
      </w:r>
    </w:p>
    <w:p>
      <w:pPr>
        <w:pStyle w:val="ListBullet"/>
      </w:pPr>
      <w:r>
        <w:rPr>
          <w:b/>
        </w:rPr>
        <w:t>Plazos y advertencias:</w:t>
      </w:r>
      <w:r>
        <w:t xml:space="preserve"> los particulares tienen derecho a ser indemnizados de toda lesión que sea consecuencia del funcionamiento normal o anormal de los servicios públicos, salvo fuerza mayor o daños que haya obligación de soportar (Ley 40/2015, art. 32.1); el daño ha de ser «efectivo, evaluable económicamente e individualizado» (art. 32.2). Se reclama a la Administración, no al funcionario (art. 36.1). El derecho prescribe al año del hecho o de que se manifieste su efecto (Ley 39/2015, art. 67.1). Si en seis meses no hay resolución, puede entenderse desestimada (art. 91.3) y queda la vía contencioso-administrativa. </w:t>
      </w:r>
    </w:p>
    <w:p>
      <w:r>
        <w:rPr>
          <w:b/>
        </w:rPr>
        <w:t>Modelo para rellenar:</w:t>
      </w:r>
    </w:p>
    <w:p>
      <w:pPr>
        <w:pBdr>
          <w:left w:val="single" w:sz="18" w:space="8" w:color="E2DED6"/>
        </w:pBdr>
        <w:ind w:left="567" w:right="340"/>
      </w:pPr>
      <w:r>
        <w:rPr>
          <w:i/>
          <w:color w:val="6B665E"/>
        </w:rPr>
        <w:t>A</w:t>
      </w:r>
    </w:p>
    <w:p>
      <w:pPr>
        <w:pBdr>
          <w:left w:val="single" w:sz="18" w:space="8" w:color="E2DED6"/>
        </w:pBdr>
        <w:ind w:left="567" w:right="340"/>
      </w:pPr>
      <w:r>
        <w:rPr>
          <w:i/>
          <w:color w:val="6B665E"/>
        </w:rPr>
        <w:t>[Nombre y apellidos], con DNI [número], y domicilio a efectos de notificaciones en [dirección], al amparo del artículo 32 de la Ley 40/2015 y del artículo 67 de la Ley 39/2015, presento</w:t>
      </w:r>
    </w:p>
    <w:p>
      <w:pPr>
        <w:pBdr>
          <w:left w:val="single" w:sz="18" w:space="8" w:color="E2DED6"/>
        </w:pBdr>
        <w:ind w:left="567" w:right="340"/>
      </w:pPr>
      <w:r>
        <w:rPr>
          <w:b/>
          <w:i/>
          <w:color w:val="6B665E"/>
        </w:rPr>
        <w:t>RECLAMACIÓN DE RESPONSABILIDAD PATRIMONIAL</w:t>
      </w:r>
    </w:p>
    <w:p>
      <w:pPr>
        <w:spacing w:after="60"/>
        <w:ind w:left="510" w:hanging="397"/>
      </w:pPr>
      <w:r>
        <w:rPr>
          <w:b w:val="0"/>
        </w:rPr>
        <w:t xml:space="preserve">1. </w:t>
      </w:r>
      <w:r>
        <w:t>Lesión producida: [qué daño se ha sufrido].</w:t>
      </w:r>
    </w:p>
    <w:p>
      <w:pPr>
        <w:spacing w:after="60"/>
        <w:ind w:left="510" w:hanging="397"/>
      </w:pPr>
      <w:r>
        <w:rPr>
          <w:b w:val="0"/>
        </w:rPr>
        <w:t xml:space="preserve">2. </w:t>
      </w:r>
      <w:r>
        <w:t>Relación de causalidad: [cómo el funcionamiento del servicio causó el daño].</w:t>
      </w:r>
    </w:p>
    <w:p>
      <w:pPr>
        <w:spacing w:after="60"/>
        <w:ind w:left="510" w:hanging="397"/>
      </w:pPr>
      <w:r>
        <w:rPr>
          <w:b w:val="0"/>
        </w:rPr>
        <w:t xml:space="preserve">3. </w:t>
      </w:r>
      <w:r>
        <w:t>Evaluación económica: [importe reclamado y cómo se calcula, si es posible].</w:t>
      </w:r>
    </w:p>
    <w:p>
      <w:pPr>
        <w:spacing w:after="60"/>
        <w:ind w:left="510" w:hanging="397"/>
      </w:pPr>
      <w:r>
        <w:rPr>
          <w:b w:val="0"/>
        </w:rPr>
        <w:t xml:space="preserve">4. </w:t>
      </w:r>
      <w:r>
        <w:t>Momento en que se produjo la lesión: [fecha].</w:t>
      </w:r>
    </w:p>
    <w:p>
      <w:pPr>
        <w:spacing w:after="60"/>
        <w:ind w:left="510" w:hanging="397"/>
      </w:pPr>
      <w:r>
        <w:rPr>
          <w:b w:val="0"/>
        </w:rPr>
        <w:t xml:space="preserve">5. </w:t>
      </w:r>
      <w:r>
        <w:t>Pruebas que propongo: [documentos, informes, testigos].</w:t>
      </w:r>
    </w:p>
    <w:p>
      <w:pPr>
        <w:pBdr>
          <w:left w:val="single" w:sz="18" w:space="8" w:color="E2DED6"/>
        </w:pBdr>
        <w:ind w:left="567" w:right="340"/>
      </w:pPr>
      <w:r>
        <w:rPr>
          <w:b/>
          <w:i/>
          <w:color w:val="6B665E"/>
        </w:rPr>
        <w:t>SOLICITO</w:t>
      </w:r>
      <w:r>
        <w:rPr>
          <w:i/>
          <w:color w:val="6B665E"/>
        </w:rPr>
        <w:t xml:space="preserve"> que se reconozca la responsabilidad de la Administración y se me indemnice en la cantidad indicada.</w:t>
      </w:r>
    </w:p>
    <w:p>
      <w:pPr>
        <w:pBdr>
          <w:left w:val="single" w:sz="18" w:space="8" w:color="E2DED6"/>
        </w:pBdr>
        <w:ind w:left="567" w:right="340"/>
      </w:pPr>
      <w:r>
        <w:rPr>
          <w:i/>
          <w:color w:val="6B665E"/>
        </w:rPr>
        <w:t>En [lugar], a [fecha]. Firma:</w:t>
      </w:r>
    </w:p>
    <w:p>
      <w:r>
        <w:rPr>
          <w:b/>
        </w:rPr>
        <w:t>La respuesta probable de la Administración:</w:t>
      </w:r>
      <w:r>
        <w:t xml:space="preserve"> que el daño es de los que el ciudadano «tiene el deber jurídico de soportar», que no hay relación de causalidad, que ha prescrito, o el silencio a los seis meses.</w:t>
      </w:r>
    </w:p>
    <w:p>
      <w:r>
        <w:rPr>
          <w:i/>
        </w:rPr>
        <w:t>La respuesta de la obra:</w:t>
      </w:r>
    </w:p>
    <w:p>
      <w:pPr>
        <w:spacing w:after="60"/>
        <w:ind w:left="510" w:hanging="397"/>
      </w:pPr>
      <w:r>
        <w:rPr>
          <w:b w:val="0"/>
        </w:rPr>
        <w:t xml:space="preserve">1. </w:t>
      </w:r>
      <w:r>
        <w:t>El daño tiene que ser efectivo, evaluable e individualizado</w:t>
      </w:r>
      <w:r>
        <w:t>: documentarlo desde el primer día y presentar la reclamación antes de que pase un año</w:t>
      </w:r>
      <w:r>
        <w:t>.</w:t>
      </w:r>
    </w:p>
    <w:p>
      <w:pPr>
        <w:spacing w:after="60"/>
        <w:ind w:left="510" w:hanging="397"/>
      </w:pPr>
      <w:r>
        <w:rPr>
          <w:b w:val="0"/>
        </w:rPr>
        <w:t xml:space="preserve">2. </w:t>
      </w:r>
      <w:r>
        <w:t>Con sinceridad: la anulación de un acto no da por sí sola derecho a indemnización</w:t>
      </w:r>
      <w:r>
        <w:t>; hay que probar el daño y la relación con el servicio.</w:t>
      </w:r>
    </w:p>
    <w:p>
      <w:pPr>
        <w:spacing w:after="60"/>
        <w:ind w:left="510" w:hanging="397"/>
      </w:pPr>
      <w:r>
        <w:rPr>
          <w:b w:val="0"/>
        </w:rPr>
        <w:t xml:space="preserve">3. </w:t>
      </w:r>
      <w:r>
        <w:t>Si a los seis meses no hay resolución, se entiende desestimada</w:t>
      </w:r>
      <w:r>
        <w:t xml:space="preserve"> y queda la vía contencioso-administrativa; la respuesta, o el silencio, se archivan en el Registro (</w:t>
      </w:r>
      <w:r>
        <w:t>10.8</w:t>
      </w:r>
      <w:r>
        <w:t>).</w:t>
      </w:r>
    </w:p>
    <w:p>
      <w:pPr>
        <w:keepNext/>
        <w:pBdr>
          <w:top w:val="single" w:sz="6" w:space="8" w:color="1F1D1A"/>
        </w:pBdr>
        <w:spacing w:before="480"/>
        <w:jc w:val="center"/>
      </w:pPr>
      <w:r>
        <w:drawing>
          <wp:inline xmlns:a="http://schemas.openxmlformats.org/drawingml/2006/main" xmlns:pic="http://schemas.openxmlformats.org/drawingml/2006/picture">
            <wp:extent cx="792000" cy="792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92000" cy="79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"/>
        <w:jc w:val="center"/>
      </w:pPr>
      <w:r>
        <w:rPr>
          <w:rFonts w:ascii="Segoe UI" w:hAnsi="Segoe UI" w:eastAsia="Segoe UI" w:cs="Segoe UI"/>
          <w:b/>
          <w:color w:val="1F1D1A"/>
          <w:sz w:val="19"/>
        </w:rPr>
        <w:t>Apocalipsis del Sistema · Edición de lectura · Kiko Orozco Rocamora</w:t>
      </w:r>
    </w:p>
    <w:p>
      <w:pPr>
        <w:spacing w:after="20"/>
        <w:jc w:val="center"/>
      </w:pPr>
      <w:r>
        <w:rPr>
          <w:rFonts w:ascii="Segoe UI" w:hAnsi="Segoe UI" w:eastAsia="Segoe UI" w:cs="Segoe UI"/>
          <w:b w:val="0"/>
          <w:color w:val="6B665E"/>
          <w:sz w:val="17"/>
        </w:rPr>
        <w:t>El botiquín: los modelos de escrito · versión del 13 de octubre de 2026 · huella SHA-256 de los textos 2a4fcfc34e05630b…</w:t>
      </w:r>
    </w:p>
    <w:p>
      <w:pPr>
        <w:spacing w:after="20"/>
        <w:jc w:val="center"/>
      </w:pPr>
      <w:r>
        <w:rPr>
          <w:rFonts w:ascii="Segoe UI" w:hAnsi="Segoe UI" w:eastAsia="Segoe UI" w:cs="Segoe UI"/>
          <w:b w:val="0"/>
          <w:color w:val="6B665E"/>
          <w:sz w:val="17"/>
        </w:rPr>
        <w:t>La versión completa y comprobable, con cada cita en su fuente, está en la edición publicada.</w:t>
      </w:r>
    </w:p>
    <w:p>
      <w:pPr>
        <w:spacing w:after="40" w:before="40"/>
      </w:pPr>
      <w:r>
        <w:rPr>
          <w:rFonts w:ascii="Segoe UI" w:hAnsi="Segoe UI" w:eastAsia="Segoe UI" w:cs="Segoe UI"/>
          <w:color w:val="6B665E"/>
          <w:sz w:val="16"/>
        </w:rPr>
        <w:t>El juicio popular de la verdad es un tribunal de opinión: no tiene carácter oficial ni fuerza legal.</w:t>
      </w:r>
    </w:p>
    <w:p>
      <w:pPr>
        <w:spacing w:after="40" w:before="40"/>
      </w:pPr>
      <w:r>
        <w:rPr>
          <w:rFonts w:ascii="Segoe UI" w:hAnsi="Segoe UI" w:eastAsia="Segoe UI" w:cs="Segoe UI"/>
          <w:color w:val="6B665E"/>
          <w:sz w:val="16"/>
        </w:rPr>
        <w:t>Si lees esto en otro idioma, es una traducción automática, no revisada. La obra se escribió en España, en español; en caso de duda prevalece el español.</w:t>
      </w:r>
    </w:p>
    <w:p>
      <w:pPr>
        <w:spacing w:after="40" w:before="40"/>
      </w:pPr>
      <w:r>
        <w:rPr>
          <w:rFonts w:ascii="Segoe UI" w:hAnsi="Segoe UI" w:eastAsia="Segoe UI" w:cs="Segoe UI"/>
          <w:color w:val="6B665E"/>
          <w:sz w:val="16"/>
        </w:rPr>
        <w:t>Esta obra no da asesoramiento financiero ni jurídico y no exime de ninguna obligación vigente.</w:t>
      </w:r>
    </w:p>
    <w:sectPr w:rsidR="00FC693F" w:rsidRPr="0006063C" w:rsidSect="00034616">
      <w:footerReference w:type="default" r:id="rId9"/>
      <w:pgSz w:w="11906" w:h="16838"/>
      <w:pgMar w:top="1304" w:right="1361" w:bottom="1304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184" w:val="right"/>
      </w:tabs>
    </w:pPr>
    <w:r>
      <w:rPr>
        <w:rFonts w:ascii="Segoe UI" w:hAnsi="Segoe UI" w:eastAsia="Segoe UI" w:cs="Segoe UI"/>
        <w:color w:val="6B665E"/>
        <w:sz w:val="17"/>
      </w:rPr>
      <w:t>Apocalipsis del Sistema · Edición de lectura · El botiquín: los modelos de escrito · D.12 La reclamación de responsabilidad patrimonial</w:t>
      <w:tab/>
    </w:r>
    <w:r>
      <w:rPr>
        <w:rFonts w:ascii="Segoe UI" w:hAnsi="Segoe UI" w:eastAsia="Segoe UI" w:cs="Segoe UI"/>
        <w:color w:val="6B665E"/>
        <w:sz w:val="17"/>
      </w:rPr>
      <w:fldChar w:fldCharType="begin"/>
      <w:instrText xml:space="preserve"> PAGE 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312" w:lineRule="auto"/>
    </w:pPr>
    <w:rPr>
      <w:rFonts w:ascii="Georgia" w:hAnsi="Georgia" w:eastAsia="Georgia" w:cs="Georgia"/>
      <w:color w:val="1F1D1A"/>
      <w:sz w:val="22"/>
      <w:lang w:val="es-ES" w:eastAsia="es-ES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160" w:line="276" w:lineRule="auto"/>
      <w:outlineLvl w:val="0"/>
    </w:pPr>
    <w:rPr>
      <w:rFonts w:asciiTheme="majorHAnsi" w:eastAsiaTheme="majorEastAsia" w:hAnsiTheme="majorHAnsi" w:cstheme="majorBidi" w:ascii="Georgia" w:hAnsi="Georgia" w:eastAsia="Georgia" w:cs="Georgia"/>
      <w:b/>
      <w:bCs/>
      <w:i w:val="0"/>
      <w:color w:val="1F1D1A"/>
      <w:sz w:val="4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320" w:after="80" w:line="276" w:lineRule="auto"/>
      <w:outlineLvl w:val="1"/>
    </w:pPr>
    <w:rPr>
      <w:rFonts w:asciiTheme="majorHAnsi" w:eastAsiaTheme="majorEastAsia" w:hAnsiTheme="majorHAnsi" w:cstheme="majorBidi" w:ascii="Georgia" w:hAnsi="Georgia" w:eastAsia="Georgia" w:cs="Georgia"/>
      <w:b/>
      <w:bCs/>
      <w:i w:val="0"/>
      <w:color w:val="1F1D1A"/>
      <w:sz w:val="3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60" w:line="276" w:lineRule="auto"/>
      <w:outlineLvl w:val="2"/>
    </w:pPr>
    <w:rPr>
      <w:rFonts w:asciiTheme="majorHAnsi" w:eastAsiaTheme="majorEastAsia" w:hAnsiTheme="majorHAnsi" w:cstheme="majorBidi" w:ascii="Georgia" w:hAnsi="Georgia" w:eastAsia="Georgia" w:cs="Georgia"/>
      <w:b/>
      <w:bCs/>
      <w:i w:val="0"/>
      <w:color w:val="1F1D1A"/>
      <w:sz w:val="2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/>
      <w:contextualSpacing/>
    </w:pPr>
    <w:rPr>
      <w:rFonts w:ascii="Georgia" w:hAnsi="Georgia" w:eastAsia="Georgia" w:cs="Georgia"/>
      <w:color w:val="1F1D1A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after="60"/>
      <w:contextualSpacing/>
    </w:pPr>
    <w:rPr>
      <w:rFonts w:ascii="Georgia" w:hAnsi="Georgia" w:eastAsia="Georgia" w:cs="Georgia"/>
      <w:color w:val="1F1D1A"/>
      <w:sz w:val="22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spacing w:after="60"/>
      <w:contextualSpacing/>
    </w:pPr>
    <w:rPr>
      <w:rFonts w:ascii="Georgia" w:hAnsi="Georgia" w:eastAsia="Georgia" w:cs="Georgia"/>
      <w:color w:val="1F1D1A"/>
      <w:sz w:val="22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D.12 La reclamación de responsabilidad patrimonial · El botiquín: los modelos de escrito</dc:title>
  <dc:subject/>
  <dc:creator>Kiko Orozco Rocamora</dc:creator>
  <cp:keywords/>
  <dc:description>generated by python-docx</dc:description>
  <cp:lastModifiedBy/>
  <cp:revision>1</cp:revision>
  <dcterms:created xsi:type="dcterms:W3CDTF">2026-10-12T22:21:46Z</dcterms:created>
  <dcterms:modified xsi:type="dcterms:W3CDTF">2026-10-12T22:21:46Z</dcterms:modified>
  <cp:category/>
  <dc:language>es-ES</dc:language>
</cp:coreProperties>
</file>