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El botiquín: los modelos de escrito</w:t>
      </w:r>
    </w:p>
    <w:p>
      <w:pPr>
        <w:pStyle w:val="Heading1"/>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p>
    <w:p>
      <w:pPr>
        <w:pStyle w:val="ListBullet"/>
      </w:pPr>
      <w:r>
        <w:rPr>
          <w:b/>
        </w:rPr>
        <w:t>Base legal:</w:t>
      </w:r>
      <w:r>
        <w:t xml:space="preserve"> Ley 39/2015, arts. 20.1, 20.2, 21.1, 21.6 y 53.1.a y b; Ley 29/1998, art. 29 (si la Administración está obligada a una prestación concreta, </w:t>
      </w:r>
      <w:r>
        <w:t>D.5</w:t>
      </w:r>
      <w:r>
        <w:t xml:space="preserve">). </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En [lugar], a [fecha]. Firma:</w:t>
      </w:r>
    </w:p>
    <w:p>
      <w:r>
        <w:rPr>
          <w:b/>
        </w:rPr>
        <w:t>La respuesta probable de la Administración:</w:t>
      </w:r>
      <w:r>
        <w:t xml:space="preserve"> que el retraso se debe a la carga de trabajo, o seguir en silencio.</w:t>
      </w:r>
    </w:p>
    <w:p>
      <w:r>
        <w:rPr>
          <w:i/>
        </w:rPr>
        <w:t>La respuesta de la obra:</w:t>
      </w:r>
    </w:p>
    <w:p>
      <w:pPr>
        <w:spacing w:after="60"/>
        <w:ind w:left="510" w:hanging="397"/>
      </w:pPr>
      <w:r>
        <w:rPr>
          <w:b w:val="0"/>
        </w:rPr>
        <w:t xml:space="preserve">1. </w:t>
      </w:r>
      <w:r>
        <w:t>La obligación de resolver no tiene excepción por carga de trabajo</w:t>
      </w:r>
      <w:r>
        <w:t>, y su incumplimiento da lugar a responsabilidad disciplinaria</w:t>
      </w:r>
      <w:r>
        <w:t>.</w:t>
      </w:r>
    </w:p>
    <w:p>
      <w:pPr>
        <w:spacing w:after="60"/>
        <w:ind w:left="510" w:hanging="397"/>
      </w:pPr>
      <w:r>
        <w:rPr>
          <w:b w:val="0"/>
        </w:rPr>
        <w:t xml:space="preserve">2. </w:t>
      </w:r>
      <w:r>
        <w:t>Se puede pedir a la Administración de la que depende el personal que exija esa responsabilidad</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El botiquín: los modelos de escrito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El botiquín: los modelos de escrito · D.10 El recordatorio de responsabilidad por falta de respues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D.10 El recordatorio de responsabilidad por falta de respuesta · El botiquín: los modelos de escrito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