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El botiquín: los modelos de escrito</w:t>
      </w:r>
    </w:p>
    <w:p>
      <w:pPr>
        <w:pStyle w:val="Heading1"/>
      </w:pPr>
      <w:r>
        <w:t>D.8 La solicitud de acreditación de la competencia, de los hechos y de la motivación</w:t>
      </w:r>
    </w:p>
    <w:p>
      <w:pPr>
        <w:pBdr>
          <w:left w:val="single" w:sz="24" w:space="6" w:color="E2DED6"/>
        </w:pBdr>
        <w:shd w:val="clear" w:color="auto" w:fill="F1EEE8"/>
        <w:spacing w:before="80" w:after="160"/>
        <w:ind w:left="142" w:right="142"/>
      </w:pPr>
      <w:r>
        <w:rPr>
          <w:b/>
        </w:rPr>
        <w:t>La idea: dentro de un expediente abierto, antes de discutir el fondo, se pide con qué competencia, con qué hechos probados y con qué motivos se actúa, y quién responde de tramitarlo.</w:t>
      </w:r>
    </w:p>
    <w:p>
      <w:pPr>
        <w:pStyle w:val="ListBullet"/>
      </w:pPr>
      <w:r>
        <w:rPr>
          <w:b/>
        </w:rPr>
        <w:t>Dónde vale:</w:t>
      </w:r>
      <w:r>
        <w:t xml:space="preserve"> en la jurisdicción del Estado. </w:t>
      </w:r>
    </w:p>
    <w:p>
      <w:pPr>
        <w:pStyle w:val="ListBullet"/>
      </w:pPr>
      <w:r>
        <w:rPr>
          <w:b/>
        </w:rPr>
        <w:t>Cuándo usarlo:</w:t>
      </w:r>
      <w:r>
        <w:t xml:space="preserve"> cuando llega cualquier requerimiento, liquidación, sanción o actuación que limite un derecho, con un expediente abierto: antes de discutir el fondo, se pide que la Administración acredite con qué competencia actúa, en qué hechos probados se basa y con qué motivos, y quién es responsable de tramitarlo. Es el escrito de </w:t>
      </w:r>
      <w:r>
        <w:t>10.4</w:t>
      </w:r>
      <w:r>
        <w:t xml:space="preserve"> dentro de un procedimiento (</w:t>
      </w:r>
      <w:r>
        <w:t>10.4</w:t>
      </w:r>
      <w:r>
        <w:t xml:space="preserve">, respuesta 1). </w:t>
      </w:r>
    </w:p>
    <w:p>
      <w:pPr>
        <w:pStyle w:val="ListBullet"/>
      </w:pPr>
      <w:r>
        <w:rPr>
          <w:b/>
        </w:rPr>
        <w:t>Base legal:</w:t>
      </w:r>
      <w:r>
        <w:t xml:space="preserve"> Ley 39/2015, arts. 20.1 y 21.6 (responsabilidad directa de quien tramita y de quien resuelve), 34.1 (los actos se dictan por el órgano competente), 35.1 (motivación, con referencia de hechos y fundamentos de derecho, de los actos que limiten derechos), 47.1.b (nulidad de los actos de órgano manifiestamente incompetente) y 53.1.a y b (derecho a conocer el estado del procedimiento, a obtener copia del expediente y a identificar a las autoridades y al personal responsables); Ley 40/2015, art. 36.2. </w:t>
      </w:r>
    </w:p>
    <w:p>
      <w:pPr>
        <w:pStyle w:val="ListBullet"/>
      </w:pPr>
      <w:r>
        <w:rPr>
          <w:b/>
        </w:rPr>
        <w:t>Plazos y advertencias:</w:t>
      </w:r>
      <w:r>
        <w:t xml:space="preserve"> esta solicitud </w:t>
      </w:r>
      <w:r>
        <w:rPr>
          <w:b/>
        </w:rPr>
        <w:t>no</w:t>
      </w:r>
      <w:r>
        <w:t xml:space="preserve"> suspende los plazos ni las obligaciones: si contra el acto cabe recurso o alegaciones, hay que presentarlos también dentro de su plazo (</w:t>
      </w:r>
      <w:r>
        <w:t>D.3</w:t>
      </w:r>
      <w:r>
        <w:t xml:space="preserve"> y </w:t>
      </w:r>
      <w:r>
        <w:t>D.4</w:t>
      </w:r>
      <w:r>
        <w:t xml:space="preserve">), y se puede adjuntar esta solicitud. La Administración está obligada a resolver de forma expresa (art. 21). El funcionario no responde personalmente ante el ciudadano por los daños: el ciudadano los reclama a la Administración, y esta exige después a su personal la responsabilidad por dolo o culpa grave (Ley 40/2015, art. 36). La responsabilidad directa de quien tramita es disciplinaria (art. 21.6).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Expediente o acto: [referencia], notificado el [fecha].</w:t>
      </w:r>
    </w:p>
    <w:p>
      <w:pPr>
        <w:pBdr>
          <w:left w:val="single" w:sz="18" w:space="8" w:color="E2DED6"/>
        </w:pBdr>
        <w:ind w:left="567" w:right="340"/>
      </w:pPr>
      <w:r>
        <w:rPr>
          <w:i/>
          <w:color w:val="6B665E"/>
        </w:rPr>
        <w:t>[Nombre y apellidos], con DNI [número], y domicilio a efectos de notificaciones en [dirección], como interesado en el expediente indicado,</w:t>
      </w:r>
    </w:p>
    <w:p>
      <w:pPr>
        <w:pBdr>
          <w:left w:val="single" w:sz="18" w:space="8" w:color="E2DED6"/>
        </w:pBdr>
        <w:ind w:left="567" w:right="340"/>
      </w:pPr>
      <w:r>
        <w:rPr>
          <w:b/>
          <w:i/>
          <w:color w:val="6B665E"/>
        </w:rPr>
        <w:t>SOLICITO</w:t>
      </w:r>
      <w:r>
        <w:rPr>
          <w:i/>
          <w:color w:val="6B665E"/>
        </w:rPr>
        <w:t xml:space="preserve"> que, por escrito, se me comunique:</w:t>
      </w:r>
    </w:p>
    <w:p>
      <w:pPr>
        <w:spacing w:after="60"/>
        <w:ind w:left="510" w:hanging="397"/>
      </w:pPr>
      <w:r>
        <w:rPr>
          <w:b w:val="0"/>
        </w:rPr>
        <w:t xml:space="preserve">1. </w:t>
      </w:r>
      <w:r>
        <w:t>La identidad del órgano y de las autoridades y el personal bajo cuya responsabilidad se tramita este procedimiento (Ley 39/2015, art. 53.1.b).</w:t>
      </w:r>
    </w:p>
    <w:p>
      <w:pPr>
        <w:spacing w:after="60"/>
        <w:ind w:left="510" w:hanging="397"/>
      </w:pPr>
      <w:r>
        <w:rPr>
          <w:b w:val="0"/>
        </w:rPr>
        <w:t xml:space="preserve">2. </w:t>
      </w:r>
      <w:r>
        <w:t>La norma concreta, con su artículo, que atribuye a ese órgano la competencia para dictar este acto respecto de mi persona (art. 34.1).</w:t>
      </w:r>
    </w:p>
    <w:p>
      <w:pPr>
        <w:spacing w:after="60"/>
        <w:ind w:left="510" w:hanging="397"/>
      </w:pPr>
      <w:r>
        <w:rPr>
          <w:b w:val="0"/>
        </w:rPr>
        <w:t xml:space="preserve">3. </w:t>
      </w:r>
      <w:r>
        <w:t>Los hechos probados en que se basa el acto y los medios de prueba que los acreditan, sin limitarse a la presunción de validez de los actos (art. 39) ni a la presunción de certeza de los documentos de la autoridad (art. 77.5).</w:t>
      </w:r>
    </w:p>
    <w:p>
      <w:pPr>
        <w:spacing w:after="60"/>
        <w:ind w:left="510" w:hanging="397"/>
      </w:pPr>
      <w:r>
        <w:rPr>
          <w:b w:val="0"/>
        </w:rPr>
        <w:t xml:space="preserve">4. </w:t>
      </w:r>
      <w:r>
        <w:t>La motivación del acto, con referencia a esos hechos y a sus fundamentos de derecho (art. 35.1).</w:t>
      </w:r>
    </w:p>
    <w:p>
      <w:pPr>
        <w:spacing w:after="60"/>
        <w:ind w:left="510" w:hanging="397"/>
      </w:pPr>
      <w:r>
        <w:rPr>
          <w:b w:val="0"/>
        </w:rPr>
        <w:t xml:space="preserve">5. </w:t>
      </w:r>
      <w:r>
        <w:t>Copia íntegra del expediente (art. 53.1.a).</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Si no se contesta en plazo, presentaré recordatorio de la obligación de resolver.</w:t>
      </w:r>
    </w:p>
    <w:p>
      <w:pPr>
        <w:pBdr>
          <w:left w:val="single" w:sz="18" w:space="8" w:color="E2DED6"/>
        </w:pBdr>
        <w:ind w:left="567" w:right="340"/>
      </w:pPr>
      <w:r>
        <w:rPr>
          <w:i/>
          <w:color w:val="6B665E"/>
        </w:rPr>
        <w:t>En [lugar], a [fecha]. Firma:</w:t>
      </w:r>
    </w:p>
    <w:p>
      <w:r>
        <w:rPr>
          <w:b/>
        </w:rPr>
        <w:t>La respuesta probable de la Administración:</w:t>
      </w:r>
      <w:r>
        <w:t xml:space="preserve"> que la competencia resulta de una ley que se cita de forma genérica, que el acto es válido</w:t>
      </w:r>
      <w:r>
        <w:t xml:space="preserve"> y que no procede dar más información.</w:t>
      </w:r>
    </w:p>
    <w:p>
      <w:r>
        <w:rPr>
          <w:i/>
        </w:rPr>
        <w:t>La respuesta de la obra:</w:t>
      </w:r>
    </w:p>
    <w:p>
      <w:pPr>
        <w:spacing w:after="60"/>
        <w:ind w:left="510" w:hanging="397"/>
      </w:pPr>
      <w:r>
        <w:rPr>
          <w:b w:val="0"/>
        </w:rPr>
        <w:t xml:space="preserve">1. </w:t>
      </w:r>
      <w:r>
        <w:t>Los actos que limitan derechos tienen que motivarse con referencia a hechos y fundamentos de derecho</w:t>
      </w:r>
      <w:r>
        <w:t>; una cita genérica no es motivación.</w:t>
      </w:r>
    </w:p>
    <w:p>
      <w:pPr>
        <w:spacing w:after="60"/>
        <w:ind w:left="510" w:hanging="397"/>
      </w:pPr>
      <w:r>
        <w:rPr>
          <w:b w:val="0"/>
        </w:rPr>
        <w:t xml:space="preserve">2. </w:t>
      </w:r>
      <w:r>
        <w:t>En procedimientos sancionadores, la ley obliga a notificar la identidad del instructor y la norma que atribuye la competencia</w:t>
      </w:r>
      <w:r>
        <w:t>; y en todos, a identificar al personal responsable y a dar copia del expediente</w:t>
      </w:r>
      <w:r>
        <w:t>.</w:t>
      </w:r>
    </w:p>
    <w:p>
      <w:pPr>
        <w:spacing w:after="60"/>
        <w:ind w:left="510" w:hanging="397"/>
      </w:pPr>
      <w:r>
        <w:rPr>
          <w:b w:val="0"/>
        </w:rPr>
        <w:t xml:space="preserve">3. </w:t>
      </w:r>
      <w:r>
        <w:t>La presunción de validez admite prueba en contrario, y los actos de un órgano manifiestamente incompetente son nulos</w:t>
      </w:r>
      <w:r>
        <w:t>. Si no contesta, D.10.</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El botiquín: los modelos de escrito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El botiquín: los modelos de escrito · D.8 La solicitud de acreditación de la competencia, de los h</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D.8 La solicitud de acreditación de la competencia, de los hechos y de la motivación · El botiquín: los modelos de escrito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