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Segoe UI" w:hAnsi="Segoe UI" w:eastAsia="Segoe UI" w:cs="Segoe UI"/>
          <w:b/>
          <w:color w:val="6B665E"/>
          <w:sz w:val="19"/>
        </w:rPr>
        <w:t>El botiquín: los modelos de escrito</w:t>
      </w:r>
    </w:p>
    <w:p>
      <w:pPr>
        <w:pStyle w:val="Heading1"/>
      </w:pPr>
      <w:r>
        <w:t>D.7 La constancia de no consentimiento</w:t>
      </w:r>
    </w:p>
    <w:p>
      <w:pPr>
        <w:pBdr>
          <w:left w:val="single" w:sz="24" w:space="6" w:color="E2DED6"/>
        </w:pBdr>
        <w:shd w:val="clear" w:color="auto" w:fill="F1EEE8"/>
        <w:spacing w:before="80" w:after="160"/>
        <w:ind w:left="142" w:right="142"/>
      </w:pPr>
      <w:r>
        <w:rPr>
          <w:b/>
        </w:rPr>
        <w:t>La idea: dejar escrito que el consentimiento que se presume nunca se ha dado; no produce efectos legales, y lo dice él mismo.</w:t>
      </w:r>
    </w:p>
    <w:p>
      <w:pPr>
        <w:pStyle w:val="ListBullet"/>
      </w:pPr>
      <w:r>
        <w:rPr>
          <w:b/>
        </w:rPr>
        <w:t>Dónde vale:</w:t>
      </w:r>
      <w:r>
        <w:t xml:space="preserve"> en la jurisdicción de la verdad (</w:t>
      </w:r>
      <w:r>
        <w:t>1</w:t>
      </w:r>
      <w:r>
        <w:t xml:space="preserve">). </w:t>
      </w:r>
    </w:p>
    <w:p>
      <w:pPr>
        <w:pStyle w:val="ListBullet"/>
      </w:pPr>
      <w:r>
        <w:rPr>
          <w:b/>
        </w:rPr>
        <w:t>Cuándo usarlo:</w:t>
      </w:r>
      <w:r>
        <w:t xml:space="preserve"> para dejar escrito que el consentimiento que el sistema presume nunca se ha dado, y archivarlo en el Registro (</w:t>
      </w:r>
      <w:r>
        <w:t>10.8</w:t>
      </w:r>
      <w:r>
        <w:t xml:space="preserve">). </w:t>
      </w:r>
    </w:p>
    <w:p>
      <w:pPr>
        <w:pStyle w:val="ListBullet"/>
      </w:pPr>
      <w:r>
        <w:rPr>
          <w:b/>
        </w:rPr>
        <w:t>Base legal:</w:t>
      </w:r>
      <w:r>
        <w:t xml:space="preserve"> Código Civil, art. 1261 (sin consentimiento no hay contrato); Constitución, art. 10 (la dignidad y los derechos inviolables que son inherentes a la persona); Declaración Universal de los Derechos Humanos. Su fundamento en esta obra: el contrato social (</w:t>
      </w:r>
      <w:r>
        <w:t>6.1</w:t>
      </w:r>
      <w:r>
        <w:t>), el consentimiento presunto (</w:t>
      </w:r>
      <w:r>
        <w:t>5.2</w:t>
      </w:r>
      <w:r>
        <w:t xml:space="preserve"> y </w:t>
      </w:r>
      <w:r>
        <w:t>5.4</w:t>
      </w:r>
      <w:r>
        <w:t xml:space="preserve">) y las preguntas de </w:t>
      </w:r>
      <w:r>
        <w:t>11.5</w:t>
      </w:r>
      <w:r>
        <w:t xml:space="preserve">. </w:t>
      </w:r>
    </w:p>
    <w:p>
      <w:pPr>
        <w:pStyle w:val="ListBullet"/>
      </w:pPr>
      <w:r>
        <w:rPr>
          <w:b/>
        </w:rPr>
        <w:t>Plazos y advertencias:</w:t>
      </w:r>
      <w:r>
        <w:t xml:space="preserve"> no tiene plazo. Advertencia que forma parte del documento: no produce efectos legales ante la Administración ni ante los tribunales, y no exime de ninguna obligación vigente (Constitución, art. 9.1). Presentarlo como excusa para no pagar o no cumplir es el error de las afirmaciones sin documento que recoge el </w:t>
      </w:r>
      <w:r>
        <w:t>anexo E</w:t>
      </w:r>
      <w:r>
        <w:t>, con consecuencias reales (</w:t>
      </w:r>
      <w:r>
        <w:t>2.6</w:t>
      </w:r>
      <w:r>
        <w:t xml:space="preserve">). Su valor es documental y moral, en la jurisdicción de la verdad. </w:t>
      </w:r>
    </w:p>
    <w:p>
      <w:r>
        <w:rPr>
          <w:b/>
        </w:rPr>
        <w:t>Modelo para rellenar:</w:t>
      </w:r>
    </w:p>
    <w:p>
      <w:pPr>
        <w:pBdr>
          <w:left w:val="single" w:sz="18" w:space="8" w:color="E2DED6"/>
        </w:pBdr>
        <w:ind w:left="567" w:right="340"/>
      </w:pPr>
      <w:r>
        <w:rPr>
          <w:b/>
          <w:i/>
          <w:color w:val="6B665E"/>
        </w:rPr>
        <w:t>CONSTANCIA DE NO CONSENTIMIENTO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Yo, [nombre y apellidos], dejo constancia por escrito de lo siguiente: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Nunca he firmado ni prestado consentimiento expreso a un contrato social. El consentimiento que se me presume no lo he dado, y sin consentimiento no hay contrato (Código Civil, art. 1261).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No he consentido un sistema monetario en el que el dinero pierde su valor sin que nadie lo vote, ni la pérdida de mis ahorros por esa vía.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t>Los derechos inherentes a la persona no nacen de ningún contrato: la Constitución los reconoce (art. 10.1) y los recoge la Declaración Universal de los Derechos Humanos.</w:t>
      </w:r>
    </w:p>
    <w:p>
      <w:pPr>
        <w:spacing w:after="60"/>
        <w:ind w:left="510" w:hanging="397"/>
      </w:pPr>
      <w:r>
        <w:rPr>
          <w:b w:val="0"/>
        </w:rPr>
        <w:t xml:space="preserve">4. </w:t>
      </w:r>
      <w:r>
        <w:t>Actúo de buena fe y estoy dispuesto a cumplir toda obligación legítima y a corregir cualquier error.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Esta constancia no produce efectos legales ante la Administración ni ante los tribunales, y no me exime de ninguna obligación vigente (Constitución, art. 9.1). Su valor es documental: queda archivada en el Registro como prueba de que el consentimiento presunto no existe.</w:t>
      </w:r>
    </w:p>
    <w:p>
      <w:pPr>
        <w:pBdr>
          <w:left w:val="single" w:sz="18" w:space="8" w:color="E2DED6"/>
        </w:pBdr>
        <w:ind w:left="567" w:right="340"/>
      </w:pPr>
      <w:r>
        <w:rPr>
          <w:i/>
          <w:color w:val="6B665E"/>
        </w:rPr>
        <w:t>En [lugar], a [fecha]. Firma:</w:t>
      </w:r>
    </w:p>
    <w:p>
      <w:r>
        <w:rPr>
          <w:b/>
        </w:rPr>
        <w:t>La respuesta probable de la Administración:</w:t>
      </w:r>
      <w:r>
        <w:t xml:space="preserve"> ninguna respuesta, o que el documento «carece de efectos jurídicos», o tratarlo como un escrito pseudolegal.</w:t>
      </w:r>
    </w:p>
    <w:p>
      <w:r>
        <w:rPr>
          <w:i/>
        </w:rPr>
        <w:t>La respuesta de la obra:</w:t>
      </w:r>
    </w:p>
    <w:p>
      <w:pPr>
        <w:spacing w:after="60"/>
        <w:ind w:left="510" w:hanging="397"/>
      </w:pPr>
      <w:r>
        <w:rPr>
          <w:b w:val="0"/>
        </w:rPr>
        <w:t xml:space="preserve">1. </w:t>
      </w:r>
      <w:r>
        <w:t>El propio documento ya declara que no tiene efectos legales ni exime de obligaciones: no pretende lo que el sistema le atribuirá, y por eso no se le puede descalificar como una de esas afirmaciones sin documento (</w:t>
      </w:r>
      <w:r>
        <w:t>2.6</w:t>
      </w:r>
      <w:r>
        <w:t xml:space="preserve">; </w:t>
      </w:r>
      <w:r>
        <w:t>anexo E</w:t>
      </w:r>
      <w:r>
        <w:t>).</w:t>
      </w:r>
    </w:p>
    <w:p>
      <w:pPr>
        <w:spacing w:after="60"/>
        <w:ind w:left="510" w:hanging="397"/>
      </w:pPr>
      <w:r>
        <w:rPr>
          <w:b w:val="0"/>
        </w:rPr>
        <w:t xml:space="preserve">2. </w:t>
      </w:r>
      <w:r>
        <w:t>Su valor es documental: prueba que el consentimiento que se presume no se ha dado. Sin consentimiento no hay contrato (Código Civil, art. 1261), el contrato social nadie lo firmó (</w:t>
      </w:r>
      <w:r>
        <w:t>6.1</w:t>
      </w:r>
      <w:r>
        <w:t>), y quienes no votaron en 1978 nunca ratificaron la Constitución (</w:t>
      </w:r>
      <w:r>
        <w:t>5.2</w:t>
      </w:r>
      <w:r>
        <w:t xml:space="preserve">; </w:t>
      </w:r>
      <w:r>
        <w:t>cargo 3</w:t>
      </w:r>
      <w:r>
        <w:t>).</w:t>
      </w:r>
    </w:p>
    <w:p>
      <w:pPr>
        <w:spacing w:after="60"/>
        <w:ind w:left="510" w:hanging="397"/>
      </w:pPr>
      <w:r>
        <w:rPr>
          <w:b w:val="0"/>
        </w:rPr>
        <w:t xml:space="preserve">3. </w:t>
      </w:r>
      <w:r>
        <w:rPr>
          <w:b/>
        </w:rPr>
        <w:t>Lectura del autor (propuesta):</w:t>
      </w:r>
      <w:r>
        <w:t xml:space="preserve"> sumado a los de otros en el Registro (</w:t>
      </w:r>
      <w:r>
        <w:t>10.8</w:t>
      </w:r>
      <w:r>
        <w:t>), será la prueba viva de que la presunción no se sostiene.</w:t>
      </w:r>
    </w:p>
    <w:p>
      <w:pPr>
        <w:keepNext/>
        <w:pBdr>
          <w:top w:val="single" w:sz="6" w:space="8" w:color="1F1D1A"/>
        </w:pBdr>
        <w:spacing w:before="480"/>
        <w:jc w:val="center"/>
      </w:pPr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"/>
        <w:jc w:val="center"/>
      </w:pPr>
      <w:r>
        <w:rPr>
          <w:rFonts w:ascii="Segoe UI" w:hAnsi="Segoe UI" w:eastAsia="Segoe UI" w:cs="Segoe UI"/>
          <w:b/>
          <w:color w:val="1F1D1A"/>
          <w:sz w:val="19"/>
        </w:rPr>
        <w:t>Apocalipsis del Sistema · Edición de lectura · Kiko Orozco Rocamora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El botiquín: los modelos de escrito · versión del 13 de octubre de 2026 · huella SHA-256 de los textos 2a4fcfc34e05630b…</w:t>
      </w:r>
    </w:p>
    <w:p>
      <w:pPr>
        <w:spacing w:after="20"/>
        <w:jc w:val="center"/>
      </w:pPr>
      <w:r>
        <w:rPr>
          <w:rFonts w:ascii="Segoe UI" w:hAnsi="Segoe UI" w:eastAsia="Segoe UI" w:cs="Segoe UI"/>
          <w:b w:val="0"/>
          <w:color w:val="6B665E"/>
          <w:sz w:val="17"/>
        </w:rPr>
        <w:t>La versión completa y comprobable, con cada cita en su fuente, está en la edición publicada.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El juicio popular de la verdad es un tribunal de opinión: no tiene carácter oficial ni fuerza legal.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Si lees esto en otro idioma, es una traducción automática, no revisada. La obra se escribió en España, en español; en caso de duda prevalece el español.</w:t>
      </w:r>
    </w:p>
    <w:p>
      <w:pPr>
        <w:spacing w:after="40" w:before="40"/>
      </w:pPr>
      <w:r>
        <w:rPr>
          <w:rFonts w:ascii="Segoe UI" w:hAnsi="Segoe UI" w:eastAsia="Segoe UI" w:cs="Segoe UI"/>
          <w:color w:val="6B665E"/>
          <w:sz w:val="16"/>
        </w:rPr>
        <w:t>Esta obra no da asesoramiento financiero ni jurídico y no exime de ninguna obligación vigente.</w:t>
      </w:r>
    </w:p>
    <w:sectPr w:rsidR="00FC693F" w:rsidRPr="0006063C" w:rsidSect="00034616">
      <w:footerReference w:type="default" r:id="rId9"/>
      <w:pgSz w:w="11906" w:h="16838"/>
      <w:pgMar w:top="1304" w:right="1361" w:bottom="1304" w:left="136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184" w:val="right"/>
      </w:tabs>
    </w:pPr>
    <w:r>
      <w:rPr>
        <w:rFonts w:ascii="Segoe UI" w:hAnsi="Segoe UI" w:eastAsia="Segoe UI" w:cs="Segoe UI"/>
        <w:color w:val="6B665E"/>
        <w:sz w:val="17"/>
      </w:rPr>
      <w:t>Apocalipsis del Sistema · Edición de lectura · El botiquín: los modelos de escrito · D.7 La constancia de no consentimiento</w:t>
      <w:tab/>
    </w:r>
    <w:r>
      <w:rPr>
        <w:rFonts w:ascii="Segoe UI" w:hAnsi="Segoe UI" w:eastAsia="Segoe UI" w:cs="Segoe UI"/>
        <w:color w:val="6B665E"/>
        <w:sz w:val="17"/>
      </w:rPr>
      <w:fldChar w:fldCharType="begin"/>
      <w:instrText xml:space="preserve"> PAGE 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312" w:lineRule="auto"/>
    </w:pPr>
    <w:rPr>
      <w:rFonts w:ascii="Georgia" w:hAnsi="Georgia" w:eastAsia="Georgia" w:cs="Georgia"/>
      <w:color w:val="1F1D1A"/>
      <w:sz w:val="22"/>
      <w:lang w:val="es-ES" w:eastAsia="es-E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 w:line="276" w:lineRule="auto"/>
      <w:outlineLvl w:val="0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4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20" w:after="80" w:line="276" w:lineRule="auto"/>
      <w:outlineLvl w:val="1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60" w:line="276" w:lineRule="auto"/>
      <w:outlineLvl w:val="2"/>
    </w:pPr>
    <w:rPr>
      <w:rFonts w:asciiTheme="majorHAnsi" w:eastAsiaTheme="majorEastAsia" w:hAnsiTheme="majorHAnsi" w:cstheme="majorBidi" w:ascii="Georgia" w:hAnsi="Georgia" w:eastAsia="Georgia" w:cs="Georgia"/>
      <w:b/>
      <w:bCs/>
      <w:i w:val="0"/>
      <w:color w:val="1F1D1A"/>
      <w:sz w:val="2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spacing w:after="60"/>
      <w:contextualSpacing/>
    </w:pPr>
    <w:rPr>
      <w:rFonts w:ascii="Georgia" w:hAnsi="Georgia" w:eastAsia="Georgia" w:cs="Georgia"/>
      <w:color w:val="1F1D1A"/>
      <w:sz w:val="22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D.7 La constancia de no consentimiento · El botiquín: los modelos de escrito</dc:title>
  <dc:subject/>
  <dc:creator>Kiko Orozco Rocamora</dc:creator>
  <cp:keywords/>
  <dc:description>generated by python-docx</dc:description>
  <cp:lastModifiedBy/>
  <cp:revision>1</cp:revision>
  <dcterms:created xsi:type="dcterms:W3CDTF">2026-10-12T22:21:46Z</dcterms:created>
  <dcterms:modified xsi:type="dcterms:W3CDTF">2026-10-12T22:21:46Z</dcterms:modified>
  <cp:category/>
  <dc:language>es-ES</dc:language>
</cp:coreProperties>
</file>