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El botiquín: los modelos de escrito</w:t>
      </w:r>
    </w:p>
    <w:p>
      <w:pPr>
        <w:pStyle w:val="Heading1"/>
      </w:pPr>
      <w:r>
        <w:t>D.5 La reclamación por inactividad de la Administración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la Administración debe algo concreto y no lo da, se le reclama; a los tres meses queda abierto el recurso.</w:t>
      </w:r>
    </w:p>
    <w:p>
      <w:pPr>
        <w:pStyle w:val="ListBullet"/>
      </w:pPr>
      <w:r>
        <w:rPr>
          <w:b/>
        </w:rPr>
        <w:t>Dónde vale:</w:t>
      </w:r>
      <w:r>
        <w:t xml:space="preserve"> en la jurisdicción del Estado. </w:t>
      </w:r>
    </w:p>
    <w:p>
      <w:pPr>
        <w:pStyle w:val="ListBullet"/>
      </w:pPr>
      <w:r>
        <w:rPr>
          <w:b/>
        </w:rPr>
        <w:t>Cuándo usarlo:</w:t>
      </w:r>
      <w:r>
        <w:t xml:space="preserve"> cuando la Administración está obligada a dar algo concreto a una persona, por una norma, un acto o un contrato, y no lo da. </w:t>
      </w:r>
    </w:p>
    <w:p>
      <w:pPr>
        <w:pStyle w:val="ListBullet"/>
      </w:pPr>
      <w:r>
        <w:rPr>
          <w:b/>
        </w:rPr>
        <w:t>Base legal:</w:t>
      </w:r>
      <w:r>
        <w:t xml:space="preserve"> Ley 29/1998, de la Jurisdicción Contencioso-administrativa, art. 29.1; Ley 39/2015, art. 21 (obligación de resolver). </w:t>
      </w:r>
    </w:p>
    <w:p>
      <w:pPr>
        <w:pStyle w:val="ListBullet"/>
      </w:pPr>
      <w:r>
        <w:rPr>
          <w:b/>
        </w:rPr>
        <w:t>Plazos y advertencias:</w:t>
      </w:r>
      <w:r>
        <w:t xml:space="preserve"> se reclama primero a la propia Administración. Si en tres meses no cumple ni llega a un acuerdo, queda abierto el recurso contencioso-administrativo contra su inactividad (art. 29.1). Para ese recurso suele ser necesario abogado. </w:t>
      </w:r>
    </w:p>
    <w:p>
      <w:r>
        <w:rPr>
          <w:b/>
        </w:rPr>
        <w:t>Modelo para rellenar: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A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[Nombre y apellidos], con DNI [número], y domicilio a efectos de notificaciones en [dirección], al amparo del artículo 29.1 de la Ley 29/1998,</w:t>
      </w:r>
    </w:p>
    <w:p>
      <w:pPr>
        <w:pBdr>
          <w:left w:val="single" w:sz="18" w:space="8" w:color="E2DED6"/>
        </w:pBdr>
        <w:ind w:left="567" w:right="340"/>
      </w:pPr>
      <w:r>
        <w:rPr>
          <w:b/>
          <w:i/>
          <w:color w:val="6B665E"/>
        </w:rPr>
        <w:t>RECLAMO</w:t>
      </w:r>
      <w:r>
        <w:rPr>
          <w:i/>
          <w:color w:val="6B665E"/>
        </w:rPr>
        <w:t xml:space="preserve"> el cumplimiento de la siguiente obligación: [prestación concreta que se debe], que nace de [norma, acto, contrato o convenio, con su referencia].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Hago constar que, si en el plazo de tres meses no se cumple lo reclamado, quedará abierta la vía del recurso contencioso-administrativo contra la inactividad de la Administración.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En [lugar], a [fecha]. Firma:</w:t>
      </w:r>
    </w:p>
    <w:p>
      <w:r>
        <w:rPr>
          <w:b/>
        </w:rPr>
        <w:t>La respuesta probable de la Administración:</w:t>
      </w:r>
      <w:r>
        <w:t xml:space="preserve"> silencio, o que no existe una «prestación concreta» a la que la Administración esté obligada.</w:t>
      </w:r>
    </w:p>
    <w:p>
      <w:r>
        <w:rPr>
          <w:i/>
        </w:rPr>
        <w:t>La respuesta de la obra: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t>El art. 29.1 exige una prestación concreta a favor de personas determinadas, nacida de una norma, un acto, un contrato o un convenio: el escrito tiene que citar de dónde nace y qué se debe exactamente.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t>La Administración está obligada a resolver de forma expresa</w:t>
      </w:r>
      <w:r>
        <w:t>, y quien despacha el asunto es directamente responsable de hacerlo en plazo</w:t>
      </w:r>
      <w:r>
        <w:t>.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t>Pasados tres meses, queda el recurso contencioso contra la inactividad</w:t>
      </w:r>
      <w:r>
        <w:t>, y el silencio se archiva en el Registro (</w:t>
      </w:r>
      <w:r>
        <w:t>10.8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El botiquín: los modelos de escrito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El botiquín: los modelos de escrito · D.5 La reclamación por inactividad de la Administración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D.5 La reclamación por inactividad de la Administración · El botiquín: los modelos de escrito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