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Segoe UI" w:hAnsi="Segoe UI" w:eastAsia="Segoe UI" w:cs="Segoe UI"/>
          <w:b/>
          <w:color w:val="6B665E"/>
          <w:sz w:val="19"/>
        </w:rPr>
        <w:t>El botiquín: los modelos de escrito</w:t>
      </w:r>
    </w:p>
    <w:p>
      <w:pPr>
        <w:pStyle w:val="Heading1"/>
      </w:pPr>
      <w:r>
        <w:t>D.4 El recurso contra una liquidación, una providencia de apremio o un embargo de Hacienda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contra lo que cobra Hacienda, recurso en un mes y por los motivos que la ley admite; pedir siempre la prueba de la notificación.</w:t>
      </w:r>
    </w:p>
    <w:p>
      <w:pPr>
        <w:pStyle w:val="ListBullet"/>
      </w:pPr>
      <w:r>
        <w:rPr>
          <w:b/>
        </w:rPr>
        <w:t>Dónde vale:</w:t>
      </w:r>
      <w:r>
        <w:t xml:space="preserve"> en la jurisdicción del Estado. </w:t>
      </w:r>
    </w:p>
    <w:p>
      <w:pPr>
        <w:pStyle w:val="ListBullet"/>
      </w:pPr>
      <w:r>
        <w:rPr>
          <w:b/>
        </w:rPr>
        <w:t>Cuándo usarlo:</w:t>
      </w:r>
      <w:r>
        <w:t xml:space="preserve"> cuando Hacienda reclama una deuda tributaria, la pasa a apremio o embarga bienes o cuentas. </w:t>
      </w:r>
    </w:p>
    <w:p>
      <w:pPr>
        <w:pStyle w:val="ListBullet"/>
      </w:pPr>
      <w:r>
        <w:rPr>
          <w:b/>
        </w:rPr>
        <w:t>Base legal:</w:t>
      </w:r>
      <w:r>
        <w:t xml:space="preserve"> Ley 58/2003, General Tributaria, arts. 167.3, 170.3, 223, 224 y 235. </w:t>
      </w:r>
    </w:p>
    <w:p>
      <w:pPr>
        <w:pStyle w:val="ListBullet"/>
      </w:pPr>
      <w:r>
        <w:rPr>
          <w:b/>
        </w:rPr>
        <w:t>Plazos y advertencias:</w:t>
      </w:r>
      <w:r>
        <w:t xml:space="preserve"> recurso de reposición en el plazo de un mes desde la notificación (art. 223.1), o reclamación económico-administrativa, también en un mes (art. 235.1). Contra la providencia de apremio solo se admiten estos motivos: deuda extinguida o prescrita; aplazamiento, fraccionamiento o compensación pedidos en periodo voluntario u otras causas de suspensión; falta de notificación de la liquidación; anulación de la liquidación; o error en la providencia que impida identificar al deudor o la deuda (art. 167.3). Contra la diligencia de embargo, solo: deuda extinguida o prescrita; falta de notificación de la providencia de apremio; incumplimiento de las normas del embargo; o suspensión del procedimiento (art. 170.3). Recurrir no detiene el cobro, salvo que se pida la suspensión aportando garantía (art. 224). </w:t>
      </w:r>
    </w:p>
    <w:p>
      <w:r>
        <w:rPr>
          <w:b/>
        </w:rPr>
        <w:t>Modelo para rellenar:</w:t>
      </w:r>
    </w:p>
    <w:p>
      <w:pPr>
        <w:pBdr>
          <w:left w:val="single" w:sz="18" w:space="8" w:color="E2DED6"/>
        </w:pBdr>
        <w:ind w:left="567" w:right="340"/>
      </w:pPr>
      <w:r>
        <w:rPr>
          <w:i/>
          <w:color w:val="6B665E"/>
        </w:rPr>
        <w:t>A</w:t>
      </w:r>
    </w:p>
    <w:p>
      <w:pPr>
        <w:pBdr>
          <w:left w:val="single" w:sz="18" w:space="8" w:color="E2DED6"/>
        </w:pBdr>
        <w:ind w:left="567" w:right="340"/>
      </w:pPr>
      <w:r>
        <w:rPr>
          <w:i/>
          <w:color w:val="6B665E"/>
        </w:rPr>
        <w:t>Acto recurrido: [liquidación / providencia de apremio / diligencia de embargo], número [referencia], notificado el [fecha].</w:t>
      </w:r>
    </w:p>
    <w:p>
      <w:pPr>
        <w:pBdr>
          <w:left w:val="single" w:sz="18" w:space="8" w:color="E2DED6"/>
        </w:pBdr>
        <w:ind w:left="567" w:right="340"/>
      </w:pPr>
      <w:r>
        <w:rPr>
          <w:i/>
          <w:color w:val="6B665E"/>
        </w:rPr>
        <w:t>[Nombre y apellidos], con NIF [número], y domicilio a efectos de notificaciones en [dirección], dentro del plazo de un mes,</w:t>
      </w:r>
    </w:p>
    <w:p>
      <w:pPr>
        <w:pBdr>
          <w:left w:val="single" w:sz="18" w:space="8" w:color="E2DED6"/>
        </w:pBdr>
        <w:ind w:left="567" w:right="340"/>
      </w:pPr>
      <w:r>
        <w:rPr>
          <w:b/>
          <w:i/>
          <w:color w:val="6B665E"/>
        </w:rPr>
        <w:t>INTERPONGO RECURSO DE REPOSICIÓN</w:t>
      </w:r>
      <w:r>
        <w:rPr>
          <w:i/>
          <w:color w:val="6B665E"/>
        </w:rPr>
        <w:t xml:space="preserve"> contra el acto indicado, por los siguientes </w:t>
      </w:r>
      <w:r>
        <w:rPr>
          <w:b/>
          <w:i/>
          <w:color w:val="6B665E"/>
        </w:rPr>
        <w:t>MOTIVOS</w:t>
      </w:r>
      <w:r>
        <w:rPr>
          <w:i/>
          <w:color w:val="6B665E"/>
        </w:rPr>
        <w:t>:</w:t>
      </w:r>
    </w:p>
    <w:p>
      <w:pPr>
        <w:pBdr>
          <w:left w:val="single" w:sz="18" w:space="8" w:color="E2DED6"/>
        </w:pBdr>
        <w:ind w:left="567" w:right="340"/>
      </w:pPr>
      <w:r>
        <w:rPr>
          <w:b/>
          <w:i/>
          <w:color w:val="6B665E"/>
        </w:rPr>
        <w:t>SOLICITO</w:t>
      </w:r>
      <w:r>
        <w:rPr>
          <w:i/>
          <w:color w:val="6B665E"/>
        </w:rPr>
        <w:t xml:space="preserve"> que se anule el acto recurrido [y, en su caso: que se suspenda su ejecución, para lo que aporto la garantía que se acompaña].</w:t>
      </w:r>
    </w:p>
    <w:p>
      <w:pPr>
        <w:pBdr>
          <w:left w:val="single" w:sz="18" w:space="8" w:color="E2DED6"/>
        </w:pBdr>
        <w:ind w:left="567" w:right="340"/>
      </w:pPr>
      <w:r>
        <w:rPr>
          <w:i/>
          <w:color w:val="6B665E"/>
        </w:rPr>
        <w:t>En [lugar], a [fecha]. Firma:</w:t>
      </w:r>
    </w:p>
    <w:p>
      <w:r>
        <w:rPr>
          <w:b/>
        </w:rPr>
        <w:t>La respuesta probable de la Administración:</w:t>
      </w:r>
      <w:r>
        <w:t xml:space="preserve"> que el motivo alegado no está entre los admitidos por la ley</w:t>
      </w:r>
      <w:r>
        <w:t>, que el recurso no suspende el cobro y que el embargo sigue adelante.</w:t>
      </w:r>
    </w:p>
    <w:p>
      <w:r>
        <w:rPr>
          <w:i/>
        </w:rPr>
        <w:t>La respuesta de la obra:</w:t>
      </w:r>
    </w:p>
    <w:p>
      <w:pPr>
        <w:spacing w:after="60"/>
        <w:ind w:left="510" w:hanging="397"/>
      </w:pPr>
      <w:r>
        <w:rPr>
          <w:b w:val="0"/>
        </w:rPr>
        <w:t xml:space="preserve">1. </w:t>
      </w:r>
      <w:r>
        <w:t>Si el acto recurrido es una sanción tributaria, su ejecución queda suspendida automáticamente sin aportar garantía</w:t>
      </w:r>
      <w:r>
        <w:t>; en lo demás, la suspensión es automática si se garantiza la deuda.</w:t>
      </w:r>
    </w:p>
    <w:p>
      <w:pPr>
        <w:spacing w:after="60"/>
        <w:ind w:left="510" w:hanging="397"/>
      </w:pPr>
      <w:r>
        <w:rPr>
          <w:b w:val="0"/>
        </w:rPr>
        <w:t xml:space="preserve">2. </w:t>
      </w:r>
      <w:r>
        <w:t>La falta de notificación de la liquidación o de la providencia de apremio es motivo admitido</w:t>
      </w:r>
      <w:r>
        <w:t>: pedir siempre la prueba de la notificación.</w:t>
      </w:r>
    </w:p>
    <w:p>
      <w:pPr>
        <w:spacing w:after="60"/>
        <w:ind w:left="510" w:hanging="397"/>
      </w:pPr>
      <w:r>
        <w:rPr>
          <w:b w:val="0"/>
        </w:rPr>
        <w:t xml:space="preserve">3. </w:t>
      </w:r>
      <w:r>
        <w:t>El espejo: si Hacienda devuelve tarde, debe intereses sin que se le pidan</w:t>
      </w:r>
      <w:r>
        <w:t xml:space="preserve"> (</w:t>
      </w:r>
      <w:r>
        <w:t>D.11</w:t>
      </w:r>
      <w:r>
        <w:t>), y el recargo se aplica solo al ciudadano, sin que la obra haya hallado una justificación oficial de por qué existe en una sola dirección (</w:t>
      </w:r>
      <w:r>
        <w:t>7.6</w:t>
      </w:r>
      <w:r>
        <w:t xml:space="preserve">; </w:t>
      </w:r>
      <w:r>
        <w:t>cargo 13</w:t>
      </w:r>
      <w:r>
        <w:t>).</w:t>
      </w:r>
    </w:p>
    <w:p>
      <w:pPr>
        <w:keepNext/>
        <w:pBdr>
          <w:top w:val="single" w:sz="6" w:space="8" w:color="1F1D1A"/>
        </w:pBdr>
        <w:spacing w:before="480"/>
        <w:jc w:val="center"/>
      </w:pPr>
      <w:r>
        <w:drawing>
          <wp:inline xmlns:a="http://schemas.openxmlformats.org/drawingml/2006/main" xmlns:pic="http://schemas.openxmlformats.org/drawingml/2006/picture">
            <wp:extent cx="792000" cy="79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92000" cy="7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"/>
        <w:jc w:val="center"/>
      </w:pPr>
      <w:r>
        <w:rPr>
          <w:rFonts w:ascii="Segoe UI" w:hAnsi="Segoe UI" w:eastAsia="Segoe UI" w:cs="Segoe UI"/>
          <w:b/>
          <w:color w:val="1F1D1A"/>
          <w:sz w:val="19"/>
        </w:rPr>
        <w:t>Apocalipsis del Sistema · Edición de lectura · Kiko Orozco Rocamora</w:t>
      </w:r>
    </w:p>
    <w:p>
      <w:pPr>
        <w:spacing w:after="20"/>
        <w:jc w:val="center"/>
      </w:pPr>
      <w:r>
        <w:rPr>
          <w:rFonts w:ascii="Segoe UI" w:hAnsi="Segoe UI" w:eastAsia="Segoe UI" w:cs="Segoe UI"/>
          <w:b w:val="0"/>
          <w:color w:val="6B665E"/>
          <w:sz w:val="17"/>
        </w:rPr>
        <w:t>El botiquín: los modelos de escrito · versión del 13 de octubre de 2026 · huella SHA-256 de los textos 2a4fcfc34e05630b…</w:t>
      </w:r>
    </w:p>
    <w:p>
      <w:pPr>
        <w:spacing w:after="20"/>
        <w:jc w:val="center"/>
      </w:pPr>
      <w:r>
        <w:rPr>
          <w:rFonts w:ascii="Segoe UI" w:hAnsi="Segoe UI" w:eastAsia="Segoe UI" w:cs="Segoe UI"/>
          <w:b w:val="0"/>
          <w:color w:val="6B665E"/>
          <w:sz w:val="17"/>
        </w:rPr>
        <w:t>La versión completa y comprobable, con cada cita en su fuente, está en la edición publicada.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El juicio popular de la verdad es un tribunal de opinión: no tiene carácter oficial ni fuerza legal.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Si lees esto en otro idioma, es una traducción automática, no revisada. La obra se escribió en España, en español; en caso de duda prevalece el español.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Esta obra no da asesoramiento financiero ni jurídico y no exime de ninguna obligación vigente.</w:t>
      </w:r>
    </w:p>
    <w:sectPr w:rsidR="00FC693F" w:rsidRPr="0006063C" w:rsidSect="00034616">
      <w:footerReference w:type="default" r:id="rId9"/>
      <w:pgSz w:w="11906" w:h="16838"/>
      <w:pgMar w:top="1304" w:right="1361" w:bottom="130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184" w:val="right"/>
      </w:tabs>
    </w:pPr>
    <w:r>
      <w:rPr>
        <w:rFonts w:ascii="Segoe UI" w:hAnsi="Segoe UI" w:eastAsia="Segoe UI" w:cs="Segoe UI"/>
        <w:color w:val="6B665E"/>
        <w:sz w:val="17"/>
      </w:rPr>
      <w:t>Apocalipsis del Sistema · Edición de lectura · El botiquín: los modelos de escrito · D.4 El recurso contra una liquidación, una providencia de ap</w:t>
      <w:tab/>
    </w:r>
    <w:r>
      <w:rPr>
        <w:rFonts w:ascii="Segoe UI" w:hAnsi="Segoe UI" w:eastAsia="Segoe UI" w:cs="Segoe UI"/>
        <w:color w:val="6B665E"/>
        <w:sz w:val="17"/>
      </w:rP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12" w:lineRule="auto"/>
    </w:pPr>
    <w:rPr>
      <w:rFonts w:ascii="Georgia" w:hAnsi="Georgia" w:eastAsia="Georgia" w:cs="Georgia"/>
      <w:color w:val="1F1D1A"/>
      <w:sz w:val="22"/>
      <w:lang w:val="es-ES" w:eastAsia="es-E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60" w:line="276" w:lineRule="auto"/>
      <w:outlineLvl w:val="0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4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80" w:line="276" w:lineRule="auto"/>
      <w:outlineLvl w:val="1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60" w:line="276" w:lineRule="auto"/>
      <w:outlineLvl w:val="2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D.4 El recurso contra una liquidación, una providencia de apremio o un embargo de Hacienda · El botiquín: los modelos de escrito</dc:title>
  <dc:subject/>
  <dc:creator>Kiko Orozco Rocamora</dc:creator>
  <cp:keywords/>
  <dc:description>generated by python-docx</dc:description>
  <cp:lastModifiedBy/>
  <cp:revision>1</cp:revision>
  <dcterms:created xsi:type="dcterms:W3CDTF">2026-10-12T22:21:46Z</dcterms:created>
  <dcterms:modified xsi:type="dcterms:W3CDTF">2026-10-12T22:21:46Z</dcterms:modified>
  <cp:category/>
  <dc:language>es-ES</dc:language>
</cp:coreProperties>
</file>