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El botiquín: los modelos de escrito</w:t>
      </w:r>
    </w:p>
    <w:p>
      <w:pPr>
        <w:pStyle w:val="Heading1"/>
      </w:pPr>
      <w:r>
        <w:t>D.3 Las alegaciones y el recurso contra una multa o una sanción</w:t>
      </w:r>
    </w:p>
    <w:p>
      <w:pPr>
        <w:pBdr>
          <w:left w:val="single" w:sz="24" w:space="6" w:color="E2DED6"/>
        </w:pBdr>
        <w:shd w:val="clear" w:color="auto" w:fill="F1EEE8"/>
        <w:spacing w:before="80" w:after="160"/>
        <w:ind w:left="142" w:right="142"/>
      </w:pPr>
      <w:r>
        <w:rPr>
          <w:b/>
        </w:rPr>
        <w:t>La idea: ante una denuncia o una sanción, alegar en plazo y pedir la prueba; la presunción, aquí, juega a favor del ciudadano.</w:t>
      </w:r>
    </w:p>
    <w:p>
      <w:pPr>
        <w:pStyle w:val="ListBullet"/>
      </w:pPr>
      <w:r>
        <w:rPr>
          <w:b/>
        </w:rPr>
        <w:t>Dónde vale:</w:t>
      </w:r>
      <w:r>
        <w:t xml:space="preserve"> en la jurisdicción del Estado. </w:t>
      </w:r>
    </w:p>
    <w:p>
      <w:pPr>
        <w:pStyle w:val="ListBullet"/>
      </w:pPr>
      <w:r>
        <w:rPr>
          <w:b/>
        </w:rPr>
        <w:t>Cuándo usarlo:</w:t>
      </w:r>
      <w:r>
        <w:t xml:space="preserve"> cuando llega una denuncia o una sanción, por ejemplo de tráfico, y se considera injusta o mal tramitada. </w:t>
      </w:r>
    </w:p>
    <w:p>
      <w:pPr>
        <w:pStyle w:val="ListBullet"/>
      </w:pPr>
      <w:r>
        <w:rPr>
          <w:b/>
        </w:rPr>
        <w:t>Base legal:</w:t>
      </w:r>
      <w:r>
        <w:t xml:space="preserve"> Real Decreto Legislativo 6/2015, texto refundido de la Ley de Tráfico, arts. 94, 95 y 96; Ley 39/2015, del Procedimiento Administrativo Común, arts. 30 y 124. </w:t>
      </w:r>
    </w:p>
    <w:p>
      <w:pPr>
        <w:pStyle w:val="ListBullet"/>
      </w:pPr>
      <w:r>
        <w:rPr>
          <w:b/>
        </w:rPr>
        <w:t>Plazos y advertencias:</w:t>
      </w:r>
      <w:r>
        <w:t xml:space="preserve"> en las multas de tráfico, veinte días naturales desde la notificación para presentar alegaciones y pruebas (art. 95.1). Pagar en ese plazo reduce la multa a la mitad, pero supone renunciar a las alegaciones (art. 94; </w:t>
      </w:r>
      <w:r>
        <w:t>10.5</w:t>
      </w:r>
      <w:r>
        <w:t xml:space="preserve">): hay que decidir antes. Contra la resolución sancionadora cabe recurso de reposición en el plazo de un mes (art. 96.2). En otras sanciones, el plazo de alegaciones es el que indique la notificación, y el recurso de reposición, de un mes (Ley 39/2015, art. 124.1). Salvo que se diga otra cosa, los días son hábiles: no cuentan sábados, domingos ni festivos (art. 30.2). </w:t>
      </w:r>
    </w:p>
    <w:p>
      <w:r>
        <w:rPr>
          <w:b/>
        </w:rPr>
        <w:t>Modelo para rellenar:</w:t>
      </w:r>
    </w:p>
    <w:p>
      <w:pPr>
        <w:pBdr>
          <w:left w:val="single" w:sz="18" w:space="8" w:color="E2DED6"/>
        </w:pBdr>
        <w:ind w:left="567" w:right="340"/>
      </w:pPr>
      <w:r>
        <w:rPr>
          <w:i/>
          <w:color w:val="6B665E"/>
        </w:rPr>
        <w:t>A</w:t>
      </w:r>
    </w:p>
    <w:p>
      <w:pPr>
        <w:pBdr>
          <w:left w:val="single" w:sz="18" w:space="8" w:color="E2DED6"/>
        </w:pBdr>
        <w:ind w:left="567" w:right="340"/>
      </w:pPr>
      <w:r>
        <w:rPr>
          <w:i/>
          <w:color w:val="6B665E"/>
        </w:rPr>
        <w:t>Expediente número: [número]. Fecha de notificación: [fecha].</w:t>
      </w:r>
    </w:p>
    <w:p>
      <w:pPr>
        <w:pBdr>
          <w:left w:val="single" w:sz="18" w:space="8" w:color="E2DED6"/>
        </w:pBdr>
        <w:ind w:left="567" w:right="340"/>
      </w:pPr>
      <w:r>
        <w:rPr>
          <w:i/>
          <w:color w:val="6B665E"/>
        </w:rPr>
        <w:t>[Nombre y apellidos], con DNI [número], y domicilio a efectos de notificaciones en [dirección], en relación con el expediente indicado, dentro del plazo legal,</w:t>
      </w:r>
    </w:p>
    <w:p>
      <w:pPr>
        <w:pBdr>
          <w:left w:val="single" w:sz="18" w:space="8" w:color="E2DED6"/>
        </w:pBdr>
        <w:ind w:left="567" w:right="340"/>
      </w:pPr>
      <w:r>
        <w:rPr>
          <w:b/>
          <w:i/>
          <w:color w:val="6B665E"/>
        </w:rPr>
        <w:t>EXPONGO</w:t>
      </w:r>
      <w:r>
        <w:rPr>
          <w:i/>
          <w:color w:val="6B665E"/>
        </w:rPr>
        <w:t xml:space="preserve"> las siguientes </w:t>
      </w:r>
      <w:r>
        <w:rPr>
          <w:b/>
          <w:i/>
          <w:color w:val="6B665E"/>
        </w:rPr>
        <w:t>ALEGACIONES</w:t>
      </w:r>
      <w:r>
        <w:rPr>
          <w:i/>
          <w:color w:val="6B665E"/>
        </w:rPr>
        <w:t>:</w:t>
      </w:r>
    </w:p>
    <w:p>
      <w:pPr>
        <w:pBdr>
          <w:left w:val="single" w:sz="18" w:space="8" w:color="E2DED6"/>
        </w:pBdr>
        <w:ind w:left="567" w:right="340"/>
      </w:pPr>
      <w:r>
        <w:rPr>
          <w:b/>
          <w:i/>
          <w:color w:val="6B665E"/>
        </w:rPr>
        <w:t>PROPONGO</w:t>
      </w:r>
      <w:r>
        <w:rPr>
          <w:i/>
          <w:color w:val="6B665E"/>
        </w:rPr>
        <w:t xml:space="preserve"> las siguientes </w:t>
      </w:r>
      <w:r>
        <w:rPr>
          <w:b/>
          <w:i/>
          <w:color w:val="6B665E"/>
        </w:rPr>
        <w:t>PRUEBAS</w:t>
      </w:r>
      <w:r>
        <w:rPr>
          <w:i/>
          <w:color w:val="6B665E"/>
        </w:rPr>
        <w:t>: [documentos, fotografías, testigos].</w:t>
      </w:r>
    </w:p>
    <w:p>
      <w:pPr>
        <w:pBdr>
          <w:left w:val="single" w:sz="18" w:space="8" w:color="E2DED6"/>
        </w:pBdr>
        <w:ind w:left="567" w:right="340"/>
      </w:pPr>
      <w:r>
        <w:rPr>
          <w:b/>
          <w:i/>
          <w:color w:val="6B665E"/>
        </w:rPr>
        <w:t>SOLICITO</w:t>
      </w:r>
      <w:r>
        <w:rPr>
          <w:i/>
          <w:color w:val="6B665E"/>
        </w:rPr>
        <w:t xml:space="preserve"> que se tengan por presentadas estas alegaciones, se practiquen las pruebas propuestas y se acuerde el archivo del expediente.</w:t>
      </w:r>
    </w:p>
    <w:p>
      <w:pPr>
        <w:pBdr>
          <w:left w:val="single" w:sz="18" w:space="8" w:color="E2DED6"/>
        </w:pBdr>
        <w:ind w:left="567" w:right="340"/>
      </w:pPr>
      <w:r>
        <w:rPr>
          <w:i/>
          <w:color w:val="6B665E"/>
        </w:rPr>
        <w:t>En [lugar], a [fecha]. Firma:</w:t>
      </w:r>
    </w:p>
    <w:p>
      <w:r>
        <w:rPr>
          <w:b/>
        </w:rPr>
        <w:t>La respuesta probable de la Administración:</w:t>
      </w:r>
      <w:r>
        <w:t xml:space="preserve"> que la denuncia del agente tiene valor probatorio</w:t>
      </w:r>
      <w:r>
        <w:t xml:space="preserve"> y que las alegaciones no lo desvirtúan.</w:t>
      </w:r>
    </w:p>
    <w:p>
      <w:r>
        <w:rPr>
          <w:i/>
        </w:rPr>
        <w:t>La respuesta de la obra:</w:t>
      </w:r>
    </w:p>
    <w:p>
      <w:pPr>
        <w:spacing w:after="60"/>
        <w:ind w:left="510" w:hanging="397"/>
      </w:pPr>
      <w:r>
        <w:rPr>
          <w:b w:val="0"/>
        </w:rPr>
        <w:t xml:space="preserve">1. </w:t>
      </w:r>
      <w:r>
        <w:t>Ese valor probatorio es «salvo prueba en contrario»</w:t>
      </w:r>
      <w:r>
        <w:t>, y en todo procedimiento sancionador el ciudadano tiene derecho a «la presunción de no existencia de responsabilidad administrativa mientras no se demuestre lo contrario»</w:t>
      </w:r>
      <w:r>
        <w:t>: la presunción, aquí, juega a su favor.</w:t>
      </w:r>
    </w:p>
    <w:p>
      <w:pPr>
        <w:spacing w:after="60"/>
        <w:ind w:left="510" w:hanging="397"/>
      </w:pPr>
      <w:r>
        <w:rPr>
          <w:b w:val="0"/>
        </w:rPr>
        <w:t xml:space="preserve">2. </w:t>
      </w:r>
      <w:r>
        <w:t>Tiene derecho a que se le notifiquen los hechos, la infracción, la identidad del instructor y la norma que atribuye la competencia</w:t>
      </w:r>
      <w:r>
        <w:t>, y a copia del expediente, con las pruebas en que se basa</w:t>
      </w:r>
      <w:r>
        <w:t>. Si no contestan a esto, D.8.</w:t>
      </w:r>
    </w:p>
    <w:p>
      <w:pPr>
        <w:spacing w:after="60"/>
        <w:ind w:left="510" w:hanging="397"/>
      </w:pPr>
      <w:r>
        <w:rPr>
          <w:b w:val="0"/>
        </w:rPr>
        <w:t xml:space="preserve">3. </w:t>
      </w:r>
      <w:r>
        <w:t>La multa también es un ingreso presupuestado: en Madrid, lo reconocido por multas de circulación superó lo previsto un 4,1 % en 2024 y un 7,1 % en 2023 (</w:t>
      </w:r>
      <w:r>
        <w:t>9.1</w:t>
      </w:r>
      <w:r>
        <w:t>). Las tradiciones separaron el castigo del negocio (</w:t>
      </w:r>
      <w:r>
        <w:t>3.2</w:t>
      </w:r>
      <w:r>
        <w:t>, P8).</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El botiquín: los modelos de escrito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El botiquín: los modelos de escrito · D.3 Las alegaciones y el recurso contra una multa o una sanc</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D.3 Las alegaciones y el recurso contra una multa o una sanción · El botiquín: los modelos de escrito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