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El botiquín: los modelos de escrito</w:t>
      </w:r>
    </w:p>
    <w:p>
      <w:pPr>
        <w:pStyle w:val="Heading1"/>
      </w:pPr>
      <w:r>
        <w:t>D.2 La solicitud de acceso a la información pública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para pedir los datos que tiene la Administración, sin decir para qué se quieren.</w:t>
      </w:r>
    </w:p>
    <w:p>
      <w:pPr>
        <w:pStyle w:val="ListBullet"/>
      </w:pPr>
      <w:r>
        <w:rPr>
          <w:b/>
        </w:rPr>
        <w:t>Dónde vale:</w:t>
      </w:r>
      <w:r>
        <w:t xml:space="preserve"> en la jurisdicción del Estado. </w:t>
      </w:r>
    </w:p>
    <w:p>
      <w:pPr>
        <w:pStyle w:val="ListBullet"/>
      </w:pPr>
      <w:r>
        <w:rPr>
          <w:b/>
        </w:rPr>
        <w:t>Cuándo usarlo:</w:t>
      </w:r>
      <w:r>
        <w:t xml:space="preserve"> para pedir datos que tiene la Administración: cuánto cuesta algo, a quién se paga, qué se ha hecho. Sirve para enviar ya cualquiera de las preguntas de </w:t>
      </w:r>
      <w:r>
        <w:t>11.5</w:t>
      </w:r>
      <w:r>
        <w:t xml:space="preserve">. </w:t>
      </w:r>
    </w:p>
    <w:p>
      <w:pPr>
        <w:pStyle w:val="ListBullet"/>
      </w:pPr>
      <w:r>
        <w:rPr>
          <w:b/>
        </w:rPr>
        <w:t>Base legal:</w:t>
      </w:r>
      <w:r>
        <w:t xml:space="preserve"> Ley 19/2013, de transparencia, acceso a la información pública y buen gobierno, arts. 12, 17, 20 y 24. </w:t>
      </w:r>
    </w:p>
    <w:p>
      <w:pPr>
        <w:pStyle w:val="ListBullet"/>
      </w:pPr>
      <w:r>
        <w:rPr>
          <w:b/>
        </w:rPr>
        <w:t>Plazos y advertencias:</w:t>
      </w:r>
      <w:r>
        <w:t xml:space="preserve"> no hace falta explicar para qué se quiere la información (art. 17.3). La Administración debe resolver en el plazo máximo de un mes, ampliable a otro si la información es voluminosa o compleja (art. 20.1). Si no contesta, la solicitud se entiende desestimada (art. 20.4). Contra la respuesta o el silencio cabe reclamación ante el Consejo de Transparencia y Buen Gobierno en el plazo de un mes (art. 24.2); algunas comunidades autónomas tienen su propio órgano. </w:t>
      </w:r>
    </w:p>
    <w:p>
      <w:r>
        <w:rPr>
          <w:b/>
        </w:rPr>
        <w:t>Modelo para rellenar: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A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[Nombre y apellidos], con DNI [número], y con dirección a efectos de comunicaciones en [dirección postal o correo electrónico], al amparo de los artículos 12 y 17 de la Ley 19/2013, de transparencia, acceso a la información pública y buen gobierno,</w:t>
      </w:r>
    </w:p>
    <w:p>
      <w:pPr>
        <w:pBdr>
          <w:left w:val="single" w:sz="18" w:space="8" w:color="E2DED6"/>
        </w:pBdr>
        <w:ind w:left="567" w:right="340"/>
      </w:pPr>
      <w:r>
        <w:rPr>
          <w:b/>
          <w:i/>
          <w:color w:val="6B665E"/>
        </w:rPr>
        <w:t>SOLICITO</w:t>
      </w:r>
      <w:r>
        <w:rPr>
          <w:i/>
          <w:color w:val="6B665E"/>
        </w:rPr>
        <w:t xml:space="preserve"> acceso a la siguiente información: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 xml:space="preserve">[pregunta concreta; por ejemplo, una de las preguntas de </w:t>
      </w:r>
      <w:r>
        <w:rPr>
          <w:i/>
          <w:color w:val="6B665E"/>
        </w:rPr>
        <w:t>11.5</w:t>
      </w:r>
      <w:r>
        <w:rPr>
          <w:i/>
          <w:color w:val="6B665E"/>
        </w:rPr>
        <w:t>].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Modalidad preferida de acceso: [copia en formato electrónico a la dirección indicada].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Si no se resuelve en plazo, presentaré reclamación ante el Consejo de Transparencia y Buen Gobierno.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En [lugar], a [fecha]. Firma:</w:t>
      </w:r>
    </w:p>
    <w:p>
      <w:r>
        <w:rPr>
          <w:b/>
        </w:rPr>
        <w:t>La respuesta probable de la Administración:</w:t>
      </w:r>
      <w:r>
        <w:t xml:space="preserve"> que la información está protegida por algún límite legal</w:t>
      </w:r>
      <w:r>
        <w:t>, que exige una «reelaboración»</w:t>
      </w:r>
      <w:r>
        <w:t xml:space="preserve"> o que ya está publicada en otro sitio.</w:t>
      </w:r>
    </w:p>
    <w:p>
      <w:r>
        <w:rPr>
          <w:i/>
        </w:rPr>
        <w:t>La respuesta de la obra:</w:t>
      </w:r>
    </w:p>
    <w:p>
      <w:pPr>
        <w:spacing w:after="60"/>
        <w:ind w:left="510" w:hanging="397"/>
      </w:pPr>
      <w:r>
        <w:rPr>
          <w:b w:val="0"/>
        </w:rPr>
        <w:t xml:space="preserve">1. </w:t>
      </w:r>
      <w:r>
        <w:t>Los límites tienen que aplicarse de forma «justificada y proporcionada», atendiendo al caso concreto y al interés público en el acceso</w:t>
      </w:r>
      <w:r>
        <w:t>, y la denegación debe ser motivada</w:t>
      </w:r>
      <w:r>
        <w:t>.</w:t>
      </w:r>
    </w:p>
    <w:p>
      <w:pPr>
        <w:spacing w:after="60"/>
        <w:ind w:left="510" w:hanging="397"/>
      </w:pPr>
      <w:r>
        <w:rPr>
          <w:b w:val="0"/>
        </w:rPr>
        <w:t xml:space="preserve">2. </w:t>
      </w:r>
      <w:r>
        <w:t>Si el límite afecta solo a una parte, hay que dar acceso al resto</w:t>
      </w:r>
      <w:r>
        <w:t>.</w:t>
      </w:r>
    </w:p>
    <w:p>
      <w:pPr>
        <w:spacing w:after="60"/>
        <w:ind w:left="510" w:hanging="397"/>
      </w:pPr>
      <w:r>
        <w:rPr>
          <w:b w:val="0"/>
        </w:rPr>
        <w:t xml:space="preserve">3. </w:t>
      </w:r>
      <w:r>
        <w:t>Contra la denegación o el silencio cabe reclamación ante el Consejo de Transparencia en un mes</w:t>
      </w:r>
      <w:r>
        <w:t>. La obra ya documentó el patrón: cada dato publicado por separado, nunca la suma (</w:t>
      </w:r>
      <w:r>
        <w:t>8.6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El botiquín: los modelos de escrito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El botiquín: los modelos de escrito · D.2 La solicitud de acceso a la información pública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D.2 La solicitud de acceso a la información pública · El botiquín: los modelos de escrito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