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El botiquín: los modelos de escrito</w:t>
      </w:r>
    </w:p>
    <w:p>
      <w:pPr>
        <w:pStyle w:val="Heading1"/>
      </w:pPr>
      <w:r>
        <w:t>D.1 El escrito de petición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 xml:space="preserve">La idea: es el escrito de la pregunta de </w:t>
      </w:r>
      <w:r>
        <w:rPr>
          <w:b/>
        </w:rPr>
        <w:t>10.4</w:t>
      </w:r>
      <w:r>
        <w:rPr>
          <w:b/>
        </w:rPr>
        <w:t>, completo: pide la norma, la resolución y la identidad de quien tramita, y deja constancia de buena fe.</w:t>
      </w:r>
    </w:p>
    <w:p>
      <w:pPr>
        <w:pStyle w:val="ListBullet"/>
      </w:pPr>
      <w:r>
        <w:rPr>
          <w:b/>
        </w:rPr>
        <w:t>Dónde vale:</w:t>
      </w:r>
      <w:r>
        <w:t xml:space="preserve"> en la jurisdicción del Estado. </w:t>
      </w:r>
    </w:p>
    <w:p>
      <w:pPr>
        <w:pStyle w:val="ListBullet"/>
      </w:pPr>
      <w:r>
        <w:rPr>
          <w:b/>
        </w:rPr>
        <w:t>Cuándo usarlo:</w:t>
      </w:r>
      <w:r>
        <w:t xml:space="preserve"> para pedir cualquier cosa a cualquier autoridad, sobre asuntos de interés propio o general, cuando no exista otro procedimiento específico; y ante una exigencia o una actuación material sin un expediente abierto en el que alegar. Si hay un procedimiento abierto, el escrito va dentro de él: D.8. </w:t>
      </w:r>
    </w:p>
    <w:p>
      <w:pPr>
        <w:pStyle w:val="ListBullet"/>
      </w:pPr>
      <w:r>
        <w:rPr>
          <w:b/>
        </w:rPr>
        <w:t>Base legal:</w:t>
      </w:r>
      <w:r>
        <w:t xml:space="preserve"> Constitución, art. 29; Ley Orgánica 4/2001, reguladora del derecho de petición, arts. 4, 9 y 11. </w:t>
      </w:r>
    </w:p>
    <w:p>
      <w:pPr>
        <w:pStyle w:val="ListBullet"/>
      </w:pPr>
      <w:r>
        <w:rPr>
          <w:b/>
        </w:rPr>
        <w:t>Plazos y advertencias:</w:t>
      </w:r>
      <w:r>
        <w:t xml:space="preserve"> si no se admite, la inadmisión tiene que ser motivada y notificarse en los cuarenta y cinco días hábiles siguientes a la presentación (art. 9.1). Si se admite, la autoridad está obligada a contestar en el plazo máximo de tres meses desde la presentación (art. 11.1). Una petición colectiva la firman todos los peticionarios, con su nombre y apellidos junto a cada firma (art. 4.2). </w:t>
      </w:r>
    </w:p>
    <w:p>
      <w:pPr>
        <w:pStyle w:val="ListBullet"/>
      </w:pPr>
      <w:r>
        <w:rPr>
          <w:b/>
        </w:rPr>
        <w:t>Lo que lo sostiene</w:t>
      </w:r>
      <w:r>
        <w:t>, cada petición y cada derecho, está en 10.4: aquí va solo el escrito.</w:t>
      </w:r>
    </w:p>
    <w:p>
      <w:r>
        <w:rPr>
          <w:b/>
        </w:rPr>
        <w:t>Modelo para rellenar: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 xml:space="preserve">A la atención de: </w:t>
      </w:r>
      <w:r>
        <w:rPr>
          <w:i/>
          <w:color w:val="6B665E"/>
        </w:rPr>
        <w:t xml:space="preserve">Expediente o referencia: </w:t>
      </w:r>
      <w:r>
        <w:rPr>
          <w:i/>
          <w:color w:val="6B665E"/>
        </w:rPr>
        <w:t xml:space="preserve">Remitente: [nombre y apellidos completos, tal como constan en el DNI] · DNI [número] · Domicilio a efectos de notificaciones: </w:t>
      </w:r>
      <w:r>
        <w:rPr>
          <w:i/>
          <w:color w:val="6B665E"/>
        </w:rPr>
        <w:t>Fecha: [día, mes, año] · Lugar: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[Nombre y apellidos], con DNI [número], de nacionalidad [nacionalidad], y con domicilio a efectos de notificaciones en [dirección postal o medio electrónico], al amparo del artículo 29 de la Constitución y de la Ley Orgánica 4/2001, reguladora del derecho de petición, formulo la siguiente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PETICIÓN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En relación con [la actuación, la exigencia o el requerimiento recibido, con su fecha], solicito que se me explique qué es lo que legitima a esa Administración para solicitarme lo indicado, y en concreto: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Que se indique la norma concreta, con su rango, número y artículo, que ampara la actuación.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Que se acredite la resolución previa que le sirve de fundamento (Ley 39/2015, art. 97.1).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Que se motive por qué se descartaron medidas menos gravosas.</w:t>
      </w:r>
    </w:p>
    <w:p>
      <w:pPr>
        <w:spacing w:after="60"/>
        <w:ind w:left="510" w:hanging="397"/>
      </w:pPr>
      <w:r>
        <w:rPr>
          <w:b w:val="0"/>
        </w:rPr>
        <w:t xml:space="preserve">4. </w:t>
      </w:r>
      <w:r>
        <w:t>Que se certifique la fecha, el modo y el domicilio de la notificación.</w:t>
      </w:r>
    </w:p>
    <w:p>
      <w:pPr>
        <w:spacing w:after="60"/>
        <w:ind w:left="510" w:hanging="397"/>
      </w:pPr>
      <w:r>
        <w:rPr>
          <w:b w:val="0"/>
        </w:rPr>
        <w:t xml:space="preserve">5. </w:t>
      </w:r>
      <w:r>
        <w:t>Que se entregue copia íntegra del expediente (Ley 39/2015, art. 53.1.a).</w:t>
      </w:r>
    </w:p>
    <w:p>
      <w:pPr>
        <w:spacing w:after="60"/>
        <w:ind w:left="510" w:hanging="397"/>
      </w:pPr>
      <w:r>
        <w:rPr>
          <w:b w:val="0"/>
        </w:rPr>
        <w:t xml:space="preserve">6. </w:t>
      </w:r>
      <w:r>
        <w:t>Que se identifique a las autoridades y al personal bajo cuya responsabilidad se tramita (art. 53.1.b) y que, si se continúa, se haga constar por escrito con la norma y la resolución que lo amparan.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FUNDAMENTO.</w:t>
      </w:r>
      <w:r>
        <w:rPr>
          <w:i/>
          <w:color w:val="6B665E"/>
        </w:rPr>
        <w:t xml:space="preserve"> Las fuentes del ordenamiento jurídico español son la ley, la costumbre y los principios generales del derecho (art. 1.1 del Código Civil). La coacción y la inercia administrativa ejecutan el Derecho, pero no lo crean. Por ello, y sin desconocer autoridad alguna, se solicita únicamente aquello que el propio ordenamiento impone: que toda actuación material que limite derechos venga precedida de la resolución que le sirva de fundamento jurídico (art. 97.1 de la Ley 39/2015), y que esa resolución esté motivada (art. 35).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BUENA FE.</w:t>
      </w:r>
      <w:r>
        <w:rPr>
          <w:i/>
          <w:color w:val="6B665E"/>
        </w:rPr>
        <w:t xml:space="preserve"> Formulo este escrito de buena fe. Reconozco que la condición humana es propensa a errar el blanco —</w:t>
      </w:r>
      <w:r>
        <w:rPr>
          <w:i/>
          <w:color w:val="6B665E"/>
        </w:rPr>
        <w:t>hamartia</w:t>
      </w:r>
      <w:r>
        <w:rPr>
          <w:i/>
          <w:color w:val="6B665E"/>
        </w:rPr>
        <w:t>—, y que también yo puedo estar equivocado en mi apreciación: si se me indica de forma motivada, rectificaré.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Solicito que se admita a trámite y que se me conteste por escrito y de forma motivada en el plazo legal. Si no se contesta en ese plazo, presentaré recordatorio de la obligación de resolver.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En [lugar], a [fecha]. Firma:</w:t>
      </w:r>
    </w:p>
    <w:p>
      <w:r>
        <w:rPr>
          <w:b/>
        </w:rPr>
        <w:t>La respuesta probable de la Administración:</w:t>
      </w:r>
      <w:r>
        <w:t xml:space="preserve"> que no se admite porque lo pedido tiene otro procedimiento específico o es ajeno a sus atribuciones</w:t>
      </w:r>
      <w:r>
        <w:t xml:space="preserve">, o una contestación genérica que no responde a lo pedido. Las cinco respuestas posibles, con lo que contesta la obra, están en </w:t>
      </w:r>
      <w:r>
        <w:t>10.4</w:t>
      </w:r>
      <w:r>
        <w:t>.</w:t>
      </w:r>
    </w:p>
    <w:p>
      <w:r>
        <w:rPr>
          <w:i/>
        </w:rPr>
        <w:t>La respuesta de la obra: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La inadmisión tiene que ser motivada, notificarse en cuarenta y cinco días hábiles y, si se debe a otro procedimiento, indicar expresamente las disposiciones de ese procedimiento</w:t>
      </w:r>
      <w:r>
        <w:t>: si no lo hace, no cumple su propia ley.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Si se admite y la petición es fundada, la autoridad «vendrá obligado a atenderla» y a adoptar medidas para su plena efectividad</w:t>
      </w:r>
      <w:r>
        <w:t>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Una contestación que no responde a lo pedido, o el silencio, se archivan en el Registro (</w:t>
      </w:r>
      <w:r>
        <w:t>10.8</w:t>
      </w:r>
      <w:r>
        <w:t>); después cabe el recordatorio (</w:t>
      </w:r>
      <w:r>
        <w:t>D.10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El botiquín: los modelos de escrito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El botiquín: los modelos de escrito · D.1 El escrito de petición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D.1 El escrito de petición · El botiquín: los modelos de escrito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