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 obra entera: la prueba y lo extenso</w:t>
      </w:r>
    </w:p>
    <w:p>
      <w:pPr>
        <w:pStyle w:val="Heading1"/>
      </w:pPr>
      <w:r>
        <w:t>Anexo G. Cómo se hizo esta obra, para repetirla en otro país</w:t>
      </w:r>
    </w:p>
    <w:p>
      <w:pPr>
        <w:spacing w:after="200"/>
      </w:pPr>
      <w:r>
        <w:rPr>
          <w:rFonts w:ascii="Segoe UI" w:hAnsi="Segoe UI" w:eastAsia="Segoe UI" w:cs="Segoe UI"/>
          <w:color w:val="6B665E"/>
          <w:sz w:val="17"/>
        </w:rPr>
        <w:t>Primera versión: 7 de octubre de 2026 · Última revisión: 13 de octubre de 2026 · Cambios anotados en el capítulo: 14 · Citas leídas en su fuente: 6</w:t>
      </w:r>
    </w:p>
    <w:p>
      <w:r>
        <w:rPr>
          <w:b/>
        </w:rPr>
        <w:t>La tercera puerta.</w:t>
      </w:r>
      <w:r>
        <w:t xml:space="preserve"> Para quien quiera ver y tocar: aquí está cada pasaje tal como está en su fuente, con el lugar exacto donde comprobarlo. Lo que se ha leído en su fuente está asentado sobre la peña, y lleva su marca; lo que todavía no, también se dice, para que nadie lo tome por roca. La obra no reúne todo lo que existe, sino lo que ha leído y ha tenido por más relevante: si a alguien le falta algo que cambie una conclusión, que aporte dónde está, y se examinará con la misma vara. </w:t>
      </w:r>
      <w:r>
        <w:t>«edificó su casa sobre la peña» (Mt 7:24); «edificó su casa sobre la arena» (Mt 7:26).</w:t>
      </w:r>
    </w:p>
    <w:p>
      <w:pPr>
        <w:keepNext/>
      </w:pPr>
      <w:r>
        <w:rPr>
          <w:rFonts w:ascii="Segoe UI" w:hAnsi="Segoe UI" w:eastAsia="Segoe UI" w:cs="Segoe UI"/>
          <w:b/>
          <w:color w:val="6B665E"/>
          <w:sz w:val="20"/>
        </w:rPr>
        <w:t>Notas de trabajo (estado y trazabilidad)</w:t>
      </w:r>
    </w:p>
    <w:p>
      <w:r>
        <w:t>Cambio del 13-oct-2026, después del cierre de la edición (fdc8549) (Kiko, chat de 08.32, 12-oct-2026, 23:5x, fila 766 de 08/01: «si» a una entrada corta en el glosario para «la fuente»; borrador B25 de la carpeta 07, variante A): en G.7, la fila de la entrada «La fuente» del glosario, añadida por el autor tras el cierre (07/herramientas/aplicar_B25_la_fuente.py). Ninguna otra palabra cambia. Cambio del 12-oct-2026, después del cierre de la edición (fdc8549) (Kiko, chat de 08.31, 23:1x, fila 749 de 08/01, tal cual: «</w:t>
      </w:r>
      <w:r>
        <w:t>Apocalipsis del Sistema</w:t>
      </w:r>
      <w:r>
        <w:t>. La disolución del velo del Estado y el retorno a la fuente», y «si» a darlo por decidido): en G.7, la fila del cambio posterior al cierre dice el subtítulo decidido (el de una hora, «Revelaciones de los frutos del Estado: la auditoría», consta en git) (07/herramientas/aplicar_subtitulo_velo_y_fuente.py). Ninguna otra palabra cambia. Cambio del 12-oct-2026, después del cierre de la edición (fdc8549) (Kiko, chat de 08.31, 22:4x, fila 742 de 08/01, tal cual: «</w:t>
      </w:r>
      <w:r>
        <w:t>Apocalipsis del Sistema</w:t>
      </w:r>
      <w:r>
        <w:t>. Revelaciones de los frutos del Estado: la auditoría»; la frase del velo, de 08.31, fila 744): en G.7, la fila del subtítulo nuevo, decidido por el autor tras el cierre (07/herramientas/aplicar_subtitulo_nuevo.py). Ninguna otra palabra cambia. Cambio del 12-oct-2026, el cierre, paso 5 (P6 de M5 bis; Kiko, chat de 08.29, 20:0x, a la fecha del cierre, tal cual: «SI CONCUERDO»; la fecha es la del día en que acabaron los cuatro pasos): en G.7, la fila «12-oct-2026 | el cierre de la edición» detrás de la del 7-oct-2026, y «Cuánto tardó» cuenta hasta el cierre: seis meses y diez días, en lugar de seis meses y cinco días (07/herramientas/aplicar_P6_fechas_G7.py). Ninguna otra palabra cambia. Cambio del 12-oct-2026, el cierre, dentro del paso 3 (forma, sin cambio de sentido; hallado por 09.3 al auditar la conferencia, 08/28, apartado 4; orden de 08.29, fila 715 de 08/01; libro de estilo, normas que más se repiten): (b) en G.3, «algo distinto de lo que» en lugar de «otra cosa de lo que» (07/herramientas/aplicar_cinco_de_forma.py). Ninguna otra palabra cambia. Cambio del 11-oct-2026 (Kiko: «Sí al apartado «Cómo nació el método» en el anexo G», 10-oct, chat de 07.4; y en el chat de 08.10, pasado por 08.10 tal cual: «si a todo esto», «concuerdo literal» y sus dos añadidos; P1 de la ficha 08/12; borrador B11 de la carpeta 07): un apartado nuevo, G.8, «Cómo nació el método», detrás de G.7: tres frases del autor fechadas entre enero y marzo de 2026, copiadas letra a letra de las exportaciones de Google de su actividad en Gemini (no del archivo de su filosofía, que corrige la ortografía), sin ninguna frase de la inteligencia artificial; sus dos añadidos del 11-oct; y lo que consta en ese registro (7-feb-2025, 8-sep-2025 y 24-dic-2025). Una línea en «En pocas palabras», otra en el «Límite honesto» y otra en «Para recordar»; y la tabla de G.7 y «Cuánto tardó», ajustados para que no contradigan a G.8 (la frase de la P6, «al 7-oct-2026», no cambia). Todo es «Lectura del autor»: ninguna «Conclusión» cambia. Cambio del 10-oct-2026 (Kiko, chat de 08.6, 22:3x, pasado por 08.6 tal cual: «SI», a la pregunta de llevar a G.7 el recorrido que contó ese día en los chats de 07.4, 08.6 y 09.1; sus palabras, tal cual, en 08/13, apartados 11, 16, 17 y 19): en G.7, tres precisiones en su voz. El movimiento soberano: tenían el impulso pero «no terminaba de funcionar», la honradez de los profesores, «busqué sus raíces y no las encontré» y algo apuntaba bien, pero no como lo planteaban. El oficio: más de 30 años en mecánica y electromecánica, entre estudios y trabajo (sale «especializado en motos», que él corrigió), y lo que le enseñó (no saltarse ningún paso ni dar nada por presunción). El orden del desmontaje: la filosofía, la historia hacia atrás y al final los textos sagrados, hasta Egipto y los mayas, buscando lo que converge; de ahí la ley de Dios y el orden de las leyes (1.1). La tabla de G.7 y «Cuánto tardó» no cambian. Cambio del 9-oct-2026 (Kiko: «Sí a las tres, aplícalo y sigue con A10»; fila A7 de 03b, la obra como espejo del Estado y lo global y lo particular): en G.0, un bloque nuevo, «Los dos propósitos», entre el primer y el segundo párrafo: la guía para repetir la obra y que el Estado tenga también un referente, como lectura del autor (palabras de Kiko del 6-oct). «La idea» de G.0 no cambia. Cambio del 9-oct-2026 (Kiko, chat de 07, sobre la pregunta a cada persona de G.0: «¿qué vas a hacer tú cuando nadie te mira?»): al final del párrafo «Lectura del autor» de ese bloque, esa reflexión en forma de pregunta abierta, con la forma de los frutos («Lo puedes añadir como reflexión de autor»). Cambio del 9-oct-2026 (orden de la ventana de 08 con las palabras de Kiko copiadas, chat de 08, 20:40: «lo pones como frases directas, preguntas directas que deja el autor en el aire […] O reflexiones del autor y se emiten las preguntas»): en el mismo párrafo «Lectura del autor» de G.0, la serie entera de preguntas, directas, en su voz y una detrás de otra, sin parafrasear; se añaden «¿En qué mundo te gustaría vivir?» y «¿Cuál es el bien que vas a dejar a la gran familia de la tribu humana?», y las dos primeras dejan de ir en indirecto. Cambio del 9-oct-2026 (Kiko, chat de 07: «la frase que más invita a reflexionar es…»; tras proponerle armonizar la serie de preguntas, y su «en todos los sitios»): en G.0, la serie de siete preguntas se reduce a una sola, la que él eligió, dentro del mismo párrafo «Lectura del autor»; la misma va también en 10.9 y en 11.6. Cambio del 9-oct-2026 (Kiko, chat de 07, tras varios dictados; su redacción última): la pregunta pasa a «Ahora que nadie te mira y ves tu reflejo interior, la pregunta que surge: ¿cuáles serán tus frutos? ¿Qué vas a hacer tú?», en lugar de la primera versión. Cambio del 9-oct-2026 (Kiko: «Sí al M4 con las tres recomendaciones» en el chat de 08 y «Sí al M4, aplícalo» en el de 07; borrador M4 de la carpeta 07; 07/05 y fila 26 de 04p): en R3, «los tres niveles de lectura de 0.3» pasa a «las tres puertas de lectura de 0.3» (el lector ya no tiene tres niveles sino tres puertas con dos escalones). ESTADO: APROBADO por Kiko el 7-oct-2026 («si lo apruebo», con los matices del parlamento y con lo que añadió en G.7 sobre por qué se hizo); sus marcas, en 04 CAPITULOS/marcas/marcas del anexo G.txt. Conversación del aviso PASO 3.6; sin agentes ni descargas. Paso 3, anexo G. G.7 (8-oct-2026, Kiko: «sí a todo, con tus recomendaciones»): entran «ni santo ni demonio» y «si Dios no te juzga…» (una libreta privada del autor), con Jn 8:7 sin comillas ni texto; a flecos, sin leer en su fuente: Jn 8:7 en la Reina-Valera (y Rm 14:4, Stg 4:12 y Mt 7:1, por si se quisieran citar). La frase «si Dios no me juzga…» va dicha como del autor, sin afirmar que sea bíblica. Sigue sin entrar «gracias a Dios no he sido denunciado…». La reflexión de la mujer, la polaridad y la virtud en el medio (n.º 5) va al libro, en el capítulo 4 (4.2), a redactar con Gn 1:27, 2:7 y 2:21-22 leídos antes. Plan parlamentado con Kiko, todo decidido: (1) un apartado propio de trampas (G.3, doce de las diecisiete de la libreta 76, con sus puntos de Kiko: duplicados idénticos fuera y de otro año, no; archivos renombrados a lo que contienen; la fuente literal y lo que se saca de ella, aparte; «no entra» con dos motivos); (2) los errores de las herramientas de inteligencia artificial, sin esconderlos; (3) el recorrido (G.7) sin nombrar piezas ni palabras de la Biblioteca vieja, y con la cronología como palabra del autor; (4) el plazo sin promesa, de fecha a fecha; (5) la tabla de fuentes por país, solo con tipos de fuente y la fila de España. La historia personal del autor se publica sin detalle ni nombres; el detalle, en una libreta privada del autor. Kiko, 7-oct: «Puedes publicar mi historia». Lo de su profesor y de su expareja, sin nombres hasta que ellos lo permitan. Sale de: libreta 76 (sección 4, el método, y las lecciones), 14.00 §4 (14.00-6.1 a 6.10), 01.00-7 y 15, 11.00-6, el MAPA CRONOLÓGICO, 00 NORMAS DE TRABAJO (Regla de Oro) y el registro de lo verificado (08, a 7-oct-2026). Leído hoy: recuento de 10 FUENTES LEIDAS (7-oct-2026), niveles A y B del registro 08 por capítulo, y la STC 35/1995 (c9c: presunción de inocencia). A flecos, sin leer en su fuente (nunca fuera; se investigan al final, todos juntos: Kiko, 7-oct): 11.00-6.1, que «sine causa nulla obligatio» no figure en ninguna fuente romana primaria (una primera mirada a lo ya bajado, el Digesto 50, no lo halló; quitada del texto por no ser la dirección de Kiko: no resolver flecos sueltos); 14.00-6.3, «rondas de 10 a 16 artículos» (no hay registro de las rondas); 14.00-6.6, «corregirse tres veces por huecos de diseño» (ídem); 01.00-7.1, que la cita de Crisipo sea «uno de los pocos lugares donde se conserva una cita literal» de su obra perdida; lo de «no he sido denunciado más de la media nacional» (sin aclarar; sin dato no entra). Lo de «según El País» quedó aclarado: es el país, España, y es observación del autor. Fuera, por no venir al caso o no aportar nada (Kiko, 7-oct): 01.00-7.2, «con seis fuentes coincidentes» (la prueba es el texto de Cicerón y el del Digesto); 01.00-7.3, la lista de páginas web secundarias; 11.00-6.1, la conjetura de que «sine causa nulla obligatio» sea «con toda probabilidad una contaminación» (no concluyente: análisis interno); 11.00-6.2, que la máxima de Celso sirva «a la imposibilidad inicial, no a la sobrevenida» (errata nueva: el DPEJ cita la STS de 4-V-2011, que la aplica a la sobrevenida; al 07 con «(paso 3)»). Escrito en tres niveles y con remisiones enlazables. Marcas: {fuente: …} niveles 2 y 3; {original: …} nivel 3; [trazabilidad] nivel 3; {completo} solo nivel 3; {breve} solo niveles 1 y 2; {enlace?: …} remisión hacia delante o de lado, que se resuelve en la pasada final. Trazabilidad: al final de cada párrafo o bloque, entre corchetes (se ve en el nivel completo). Cambio del 7-oct-2026 (investigación final de flecos; Kiko, «sí»): el art. 159 sigue incumpliéndose, pero sin declaración formal externa (ni los mandatos cumplidos ni el Auto 177/2022 cumplen la definición de 7.1), y el recuento baja de 24 a 23 (en el bien común 14 y en el organigrama 9). Anotado en el registro, en el 07 y en las libretas.</w:t>
      </w:r>
    </w:p>
    <w:p>
      <w:pPr>
        <w:pBdr>
          <w:left w:val="single" w:sz="24" w:space="6" w:color="E2DED6"/>
        </w:pBdr>
        <w:shd w:val="clear" w:color="auto" w:fill="F1EEE8"/>
        <w:spacing w:before="80" w:after="160"/>
        <w:ind w:left="142" w:right="142"/>
      </w:pPr>
      <w:r>
        <w:rPr>
          <w:b/>
        </w:rPr>
        <w:t>En pocas palabras:</w:t>
      </w:r>
    </w:p>
    <w:p>
      <w:pPr>
        <w:pStyle w:val="ListBullet"/>
      </w:pPr>
      <w:r>
        <w:t>El método de esta obra no es de España: se puede repetir con la Constitución de cualquier país. Cambian las fuentes, no el método.</w:t>
      </w:r>
    </w:p>
    <w:p>
      <w:pPr>
        <w:pStyle w:val="ListBullet"/>
      </w:pPr>
      <w:r>
        <w:t>Tres reglas lo sostienen: bajar primero todas las fuentes y trabajar con ellas en local, no volver a comprobar lo ya comprobado y poner a cada dato su nivel de prueba (A, B o C).</w:t>
      </w:r>
    </w:p>
    <w:p>
      <w:pPr>
        <w:pStyle w:val="ListBullet"/>
      </w:pPr>
      <w:r>
        <w:t>Son siete pasos, del criterio a la fe de erratas, y cada uno se hace una sola vez para toda la obra.</w:t>
      </w:r>
    </w:p>
    <w:p>
      <w:pPr>
        <w:pStyle w:val="ListBullet"/>
      </w:pPr>
      <w:r>
        <w:t>Doce trampas ya costaron tiempo; cada una lleva su regla. Algunas fueron errores de las propias herramientas de inteligencia artificial.</w:t>
      </w:r>
    </w:p>
    <w:p>
      <w:pPr>
        <w:pStyle w:val="ListBullet"/>
      </w:pPr>
      <w:r>
        <w:t>Cuatro citas que circulaban mal quedaron corregidas con su texto original.</w:t>
      </w:r>
    </w:p>
    <w:p>
      <w:pPr>
        <w:pStyle w:val="ListBullet"/>
      </w:pPr>
      <w:r>
        <w:t>El autor cuenta cómo empezó: por una experiencia personal y por haber estudiado, una por una, las teorías del movimiento soberano. Es palabra suya, y va marcada como tal.</w:t>
      </w:r>
    </w:p>
    <w:p>
      <w:pPr>
        <w:pStyle w:val="ListBullet"/>
      </w:pPr>
      <w:r>
        <w:t>El método es anterior a la obra: el autor lo dejó escrito, con fecha, en sus conversaciones con una inteligencia artificial, entre enero y marzo de 2026 (</w:t>
      </w:r>
      <w:r>
        <w:t>G.8</w:t>
      </w:r>
      <w:r>
        <w:t>). También es palabra suya.</w:t>
      </w:r>
    </w:p>
    <w:p>
      <w:pPr>
        <w:pStyle w:val="Heading2"/>
      </w:pPr>
      <w:r>
        <w:t>G.0 Para qué sirve este anexo</w:t>
      </w:r>
    </w:p>
    <w:p>
      <w:pPr>
        <w:pBdr>
          <w:left w:val="single" w:sz="24" w:space="6" w:color="E2DED6"/>
        </w:pBdr>
        <w:shd w:val="clear" w:color="auto" w:fill="F1EEE8"/>
        <w:spacing w:before="80" w:after="160"/>
        <w:ind w:left="142" w:right="142"/>
      </w:pPr>
      <w:r>
        <w:rPr>
          <w:b/>
        </w:rPr>
        <w:t>La idea: lo que se hizo con la Constitución de España se puede hacer con la de cualquier país, y aquí está cómo.</w:t>
      </w:r>
    </w:p>
    <w:p>
      <w:r>
        <w:t>Nada en este método es específico de España. Se puede aplicar, con el mismo rigor, a la constitución escrita de cualquier país</w:t>
      </w:r>
      <w:r>
        <w:t xml:space="preserve"> (pieza 14.00 §4 de la Biblioteca)</w:t>
      </w:r>
      <w:r>
        <w:t xml:space="preserve">. Lo que cambia son las fuentes (su boletín oficial, su tribunal constitucional, su estadística nacional); lo que no cambia es el orden en que se trabaja y la regla de que ningún dato entra sin su fuente. </w:t>
      </w:r>
      <w:r>
        <w:t>[14.00-6.1; libreta 76, sección 4]</w:t>
      </w:r>
    </w:p>
    <w:p>
      <w:r>
        <w:rPr>
          <w:b/>
        </w:rPr>
        <w:t>Los dos propósitos.</w:t>
      </w:r>
      <w:r>
        <w:t xml:space="preserve"> Este anexo sirve para dos cosas. La primera, explicar cómo se hace un trabajo así, con tantos datos repartidos entre instituciones y textos religiosos, filosóficos e históricos, para que quien quiera repetirlo tenga una guía y ganas de hacerlo. La segunda, que el Estado tenga también un referente.</w:t>
      </w:r>
    </w:p>
    <w:p>
      <w:r>
        <w:rPr>
          <w:b/>
        </w:rPr>
        <w:t>Lectura del autor</w:t>
      </w:r>
      <w:r>
        <w:t xml:space="preserve"> (palabras del autor, 6-oct-2026; es lectura, no dato): la obra se hacía al principio a trozos, como quien se lava un brazo por la mañana, el otro por la tarde y un pie cada día, y por eso costaba cada vez más. La salida fue agrupar lo que va junto y hacer cada trabajo una sola vez (</w:t>
      </w:r>
      <w:r>
        <w:t>G.2</w:t>
      </w:r>
      <w:r>
        <w:t>). El autor ve en ello el mismo problema del Estado: se ha fragmentado tanto que se vuelve ineficiente y necesita cada vez más recursos. La obra mide una parte, el volumen de normas que cada persona debería conocer (</w:t>
      </w:r>
      <w:r>
        <w:t>5.2</w:t>
      </w:r>
      <w:r>
        <w:t>); que la fragmentación sea la causa de la ineficiencia y del gasto es una deducción suya. Lo mismo vale para cada persona: agrupar lo que hace y hacerse preguntas. Cada uno encuentra su camino, como la obra encontró el suyo. Y el autor deja en el aire esta reflexión, en forma de preguntas directas, para cada uno: Ahora que nadie te mira y ves tu reflejo interior, la pregunta que surge: ¿cuáles serán tus frutos? ¿Qué vas a hacer tú?</w:t>
      </w:r>
    </w:p>
    <w:p>
      <w:r>
        <w:t>[palabras de Kiko, 6-oct-2026 (libreta de flecos, sección 6) y 9-oct-2026 (la pregunta abierta, chat de 07 y de 08); 03b, A7; libreta 72, punto 147]</w:t>
      </w:r>
    </w:p>
    <w:p>
      <w:r>
        <w:t>La obra la hizo una persona con ayuda de herramientas de inteligencia artificial: Claude Code, Sofía (el asistente de inteligencia artificial de Google) y NotebookLM (</w:t>
      </w:r>
      <w:r>
        <w:t>0.2</w:t>
      </w:r>
      <w:r>
        <w:t>). Esas herramientas se equivocan, y a veces mucho (</w:t>
      </w:r>
      <w:r>
        <w:t>G.3</w:t>
      </w:r>
      <w:r>
        <w:t xml:space="preserve">, n.º 6 a 8); por eso el método no descansa en quién trajo un dato, sino en que se compruebe en su original. </w:t>
      </w:r>
      <w:r>
        <w:t>[0.2; glosario 1.4; libreta 76]</w:t>
      </w:r>
    </w:p>
    <w:p>
      <w:r>
        <w:t>Este anexo no promete ningún plazo. Lo que se tardó esta vez se cuenta, con sus fechas, en G.7.</w:t>
      </w:r>
    </w:p>
    <w:p>
      <w:pPr>
        <w:pStyle w:val="Heading2"/>
      </w:pPr>
      <w:r>
        <w:t>G.1 Las tres reglas</w:t>
      </w:r>
    </w:p>
    <w:p>
      <w:pPr>
        <w:pBdr>
          <w:left w:val="single" w:sz="24" w:space="6" w:color="E2DED6"/>
        </w:pBdr>
        <w:shd w:val="clear" w:color="auto" w:fill="F1EEE8"/>
        <w:spacing w:before="80" w:after="160"/>
        <w:ind w:left="142" w:right="142"/>
      </w:pPr>
      <w:r>
        <w:rPr>
          <w:b/>
        </w:rPr>
        <w:t>La idea: tres reglas evitan volver a hacer lo mismo y dejan a la vista cuánta prueba hay detrás de cada dato.</w:t>
      </w:r>
    </w:p>
    <w:p>
      <w:r>
        <w:rPr>
          <w:b/>
        </w:rPr>
        <w:t>R1. Primero la biblioteca local, entera.</w:t>
      </w:r>
      <w:r>
        <w:t xml:space="preserve"> Cada fuente primaria se baja completa, una sola vez, con su índice y su fecha, y se trabaja con ella en el ordenador. Una consulta suelta en internet obliga a volver una y otra vez; copiar solo un artículo o un trozo es un apaño, y vale más la página o el archivo entero. Cada lote de documentos lleva su índice, con la dirección, la fecha y el pasaje leído. La biblioteca de esta obra tiene hoy unos 3.000 documentos originales. </w:t>
      </w:r>
      <w:r>
        <w:t>[libreta 76, sección 4, R1; leído hoy: recuento de 10 FUENTES LEIDAS, 7-oct-2026]</w:t>
      </w:r>
    </w:p>
    <w:p>
      <w:r>
        <w:rPr>
          <w:b/>
        </w:rPr>
        <w:t>R2. El «check-in»: lo comprobado no se vuelve a comprobar.</w:t>
      </w:r>
      <w:r>
        <w:t xml:space="preserve"> Cada dato comprobado queda en un registro, con su texto literal y su lugar. Antes de leer nada se busca allí, y lo que ya tiene marca no se relee. A 7-oct-2026, el registro de esta edición tiene 1.700 datos y citas con su fuente. </w:t>
      </w:r>
      <w:r>
        <w:t>[libreta 76, sección 4, R2; registro de lo verificado, 08]</w:t>
      </w:r>
    </w:p>
    <w:p>
      <w:r>
        <w:rPr>
          <w:b/>
        </w:rPr>
        <w:t>R3. El patrón de los niveles.</w:t>
      </w:r>
      <w:r>
        <w:t xml:space="preserve"> Cada dato lleva su nivel de prueba, que no hay que confundir con las tres puertas de lectura de 0.3:</w:t>
      </w:r>
    </w:p>
    <w:p>
      <w:pPr>
        <w:pStyle w:val="ListBullet"/>
      </w:pPr>
      <w:r>
        <w:rPr>
          <w:b/>
        </w:rPr>
        <w:t>A:</w:t>
      </w:r>
      <w:r>
        <w:t xml:space="preserve"> leído en el original (la ley, la sentencia, el documento oficial).</w:t>
      </w:r>
    </w:p>
    <w:p>
      <w:pPr>
        <w:pStyle w:val="ListBullet"/>
      </w:pPr>
      <w:r>
        <w:rPr>
          <w:b/>
        </w:rPr>
        <w:t>B:</w:t>
      </w:r>
      <w:r>
        <w:t xml:space="preserve"> fuente secundaria fiable, o varias que coinciden; se marca en el texto.</w:t>
      </w:r>
    </w:p>
    <w:p>
      <w:pPr>
        <w:pStyle w:val="ListBullet"/>
      </w:pPr>
      <w:r>
        <w:rPr>
          <w:b/>
        </w:rPr>
        <w:t>C:</w:t>
      </w:r>
      <w:r>
        <w:t xml:space="preserve"> sin verificar. No entra: queda en la lista de flecos, para leerlo en su fuente.</w:t>
      </w:r>
    </w:p>
    <w:p>
      <w:r>
        <w:t>Así sale el recuento de esta edición:</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3061"/>
        <w:gridCol w:w="3061"/>
        <w:gridCol w:w="3061"/>
      </w:tblGrid>
      <w:tr>
        <w:tc>
          <w:tcPr>
            <w:tcW w:type="dxa" w:w="3061"/>
            <w:shd w:val="clear" w:color="auto" w:fill="F1EEE8"/>
          </w:tcPr>
          <w:p>
            <w:pPr>
              <w:spacing w:after="20" w:line="264" w:lineRule="auto"/>
            </w:pPr>
            <w:r>
              <w:rPr>
                <w:b/>
              </w:rPr>
            </w:r>
            <w:r>
              <w:rPr>
                <w:rFonts w:ascii="Segoe UI" w:hAnsi="Segoe UI" w:eastAsia="Segoe UI" w:cs="Segoe UI"/>
                <w:b/>
                <w:color w:val="1F1D1A"/>
                <w:sz w:val="18"/>
              </w:rPr>
              <w:t>capítulo</w:t>
            </w:r>
          </w:p>
        </w:tc>
        <w:tc>
          <w:tcPr>
            <w:tcW w:type="dxa" w:w="3061"/>
            <w:shd w:val="clear" w:color="auto" w:fill="F1EEE8"/>
          </w:tcPr>
          <w:p>
            <w:pPr>
              <w:spacing w:after="20" w:line="264" w:lineRule="auto"/>
            </w:pPr>
            <w:r>
              <w:rPr>
                <w:b/>
              </w:rPr>
            </w:r>
            <w:r>
              <w:rPr>
                <w:rFonts w:ascii="Segoe UI" w:hAnsi="Segoe UI" w:eastAsia="Segoe UI" w:cs="Segoe UI"/>
                <w:b/>
                <w:color w:val="1F1D1A"/>
                <w:sz w:val="18"/>
              </w:rPr>
              <w:t>datos y citas con fuente</w:t>
            </w:r>
          </w:p>
        </w:tc>
        <w:tc>
          <w:tcPr>
            <w:tcW w:type="dxa" w:w="3061"/>
            <w:shd w:val="clear" w:color="auto" w:fill="F1EEE8"/>
          </w:tcPr>
          <w:p>
            <w:pPr>
              <w:spacing w:after="20" w:line="264" w:lineRule="auto"/>
            </w:pPr>
            <w:r>
              <w:rPr>
                <w:b/>
              </w:rPr>
            </w:r>
            <w:r>
              <w:rPr>
                <w:rFonts w:ascii="Segoe UI" w:hAnsi="Segoe UI" w:eastAsia="Segoe UI" w:cs="Segoe UI"/>
                <w:b/>
                <w:color w:val="1F1D1A"/>
                <w:sz w:val="18"/>
              </w:rPr>
              <w:t>de ellos, nivel B</w:t>
            </w:r>
          </w:p>
        </w:tc>
      </w:tr>
      <w:tr>
        <w:tc>
          <w:tcPr>
            <w:tcW w:type="dxa" w:w="3061"/>
          </w:tcPr>
          <w:p>
            <w:pPr>
              <w:spacing w:after="20" w:line="264" w:lineRule="auto"/>
            </w:pPr>
            <w:r/>
            <w:r>
              <w:rPr>
                <w:rFonts w:ascii="Segoe UI" w:hAnsi="Segoe UI" w:eastAsia="Segoe UI" w:cs="Segoe UI"/>
                <w:color w:val="1F1D1A"/>
                <w:sz w:val="18"/>
              </w:rPr>
              <w:t>7. La auditoría</w:t>
            </w:r>
          </w:p>
        </w:tc>
        <w:tc>
          <w:tcPr>
            <w:tcW w:type="dxa" w:w="3061"/>
          </w:tcPr>
          <w:p>
            <w:pPr>
              <w:spacing w:after="20" w:line="264" w:lineRule="auto"/>
            </w:pPr>
            <w:r/>
            <w:r>
              <w:rPr>
                <w:rFonts w:ascii="Segoe UI" w:hAnsi="Segoe UI" w:eastAsia="Segoe UI" w:cs="Segoe UI"/>
                <w:color w:val="1F1D1A"/>
                <w:sz w:val="18"/>
              </w:rPr>
              <w:t>109</w:t>
            </w:r>
          </w:p>
        </w:tc>
        <w:tc>
          <w:tcPr>
            <w:tcW w:type="dxa" w:w="3061"/>
          </w:tcPr>
          <w:p>
            <w:pPr>
              <w:spacing w:after="20" w:line="264" w:lineRule="auto"/>
            </w:pPr>
            <w:r/>
            <w:r>
              <w:rPr>
                <w:rFonts w:ascii="Segoe UI" w:hAnsi="Segoe UI" w:eastAsia="Segoe UI" w:cs="Segoe UI"/>
                <w:color w:val="1F1D1A"/>
                <w:sz w:val="18"/>
              </w:rPr>
              <w:t>5</w:t>
            </w:r>
          </w:p>
        </w:tc>
      </w:tr>
      <w:tr>
        <w:tc>
          <w:tcPr>
            <w:tcW w:type="dxa" w:w="3061"/>
          </w:tcPr>
          <w:p>
            <w:pPr>
              <w:spacing w:after="20" w:line="264" w:lineRule="auto"/>
            </w:pPr>
            <w:r/>
            <w:r>
              <w:rPr>
                <w:rFonts w:ascii="Segoe UI" w:hAnsi="Segoe UI" w:eastAsia="Segoe UI" w:cs="Segoe UI"/>
                <w:color w:val="1F1D1A"/>
                <w:sz w:val="18"/>
              </w:rPr>
              <w:t>8. Los frutos</w:t>
            </w:r>
          </w:p>
        </w:tc>
        <w:tc>
          <w:tcPr>
            <w:tcW w:type="dxa" w:w="3061"/>
          </w:tcPr>
          <w:p>
            <w:pPr>
              <w:spacing w:after="20" w:line="264" w:lineRule="auto"/>
            </w:pPr>
            <w:r/>
            <w:r>
              <w:rPr>
                <w:rFonts w:ascii="Segoe UI" w:hAnsi="Segoe UI" w:eastAsia="Segoe UI" w:cs="Segoe UI"/>
                <w:color w:val="1F1D1A"/>
                <w:sz w:val="18"/>
              </w:rPr>
              <w:t>166</w:t>
            </w:r>
          </w:p>
        </w:tc>
        <w:tc>
          <w:tcPr>
            <w:tcW w:type="dxa" w:w="3061"/>
          </w:tcPr>
          <w:p>
            <w:pPr>
              <w:spacing w:after="20" w:line="264" w:lineRule="auto"/>
            </w:pPr>
            <w:r/>
            <w:r>
              <w:rPr>
                <w:rFonts w:ascii="Segoe UI" w:hAnsi="Segoe UI" w:eastAsia="Segoe UI" w:cs="Segoe UI"/>
                <w:color w:val="1F1D1A"/>
                <w:sz w:val="18"/>
              </w:rPr>
              <w:t>4</w:t>
            </w:r>
          </w:p>
        </w:tc>
      </w:tr>
      <w:tr>
        <w:tc>
          <w:tcPr>
            <w:tcW w:type="dxa" w:w="3061"/>
          </w:tcPr>
          <w:p>
            <w:pPr>
              <w:spacing w:after="20" w:line="264" w:lineRule="auto"/>
            </w:pPr>
            <w:r/>
            <w:r>
              <w:rPr>
                <w:rFonts w:ascii="Segoe UI" w:hAnsi="Segoe UI" w:eastAsia="Segoe UI" w:cs="Segoe UI"/>
                <w:color w:val="1F1D1A"/>
                <w:sz w:val="18"/>
              </w:rPr>
              <w:t>10. Las puertas</w:t>
            </w:r>
          </w:p>
        </w:tc>
        <w:tc>
          <w:tcPr>
            <w:tcW w:type="dxa" w:w="3061"/>
          </w:tcPr>
          <w:p>
            <w:pPr>
              <w:spacing w:after="20" w:line="264" w:lineRule="auto"/>
            </w:pPr>
            <w:r/>
            <w:r>
              <w:rPr>
                <w:rFonts w:ascii="Segoe UI" w:hAnsi="Segoe UI" w:eastAsia="Segoe UI" w:cs="Segoe UI"/>
                <w:color w:val="1F1D1A"/>
                <w:sz w:val="18"/>
              </w:rPr>
              <w:t>145</w:t>
            </w:r>
          </w:p>
        </w:tc>
        <w:tc>
          <w:tcPr>
            <w:tcW w:type="dxa" w:w="3061"/>
          </w:tcPr>
          <w:p>
            <w:pPr>
              <w:spacing w:after="20" w:line="264" w:lineRule="auto"/>
            </w:pPr>
            <w:r/>
            <w:r>
              <w:rPr>
                <w:rFonts w:ascii="Segoe UI" w:hAnsi="Segoe UI" w:eastAsia="Segoe UI" w:cs="Segoe UI"/>
                <w:color w:val="1F1D1A"/>
                <w:sz w:val="18"/>
              </w:rPr>
              <w:t>0</w:t>
            </w:r>
          </w:p>
        </w:tc>
      </w:tr>
      <w:tr>
        <w:tc>
          <w:tcPr>
            <w:tcW w:type="dxa" w:w="3061"/>
          </w:tcPr>
          <w:p>
            <w:pPr>
              <w:spacing w:after="20" w:line="264" w:lineRule="auto"/>
            </w:pPr>
            <w:r/>
            <w:r>
              <w:rPr>
                <w:rFonts w:ascii="Segoe UI" w:hAnsi="Segoe UI" w:eastAsia="Segoe UI" w:cs="Segoe UI"/>
                <w:color w:val="1F1D1A"/>
                <w:sz w:val="18"/>
              </w:rPr>
              <w:t>9. El dictamen</w:t>
            </w:r>
          </w:p>
        </w:tc>
        <w:tc>
          <w:tcPr>
            <w:tcW w:type="dxa" w:w="3061"/>
          </w:tcPr>
          <w:p>
            <w:pPr>
              <w:spacing w:after="20" w:line="264" w:lineRule="auto"/>
            </w:pPr>
            <w:r/>
            <w:r>
              <w:rPr>
                <w:rFonts w:ascii="Segoe UI" w:hAnsi="Segoe UI" w:eastAsia="Segoe UI" w:cs="Segoe UI"/>
                <w:color w:val="1F1D1A"/>
                <w:sz w:val="18"/>
              </w:rPr>
              <w:t>105</w:t>
            </w:r>
          </w:p>
        </w:tc>
        <w:tc>
          <w:tcPr>
            <w:tcW w:type="dxa" w:w="3061"/>
          </w:tcPr>
          <w:p>
            <w:pPr>
              <w:spacing w:after="20" w:line="264" w:lineRule="auto"/>
            </w:pPr>
            <w:r/>
            <w:r>
              <w:rPr>
                <w:rFonts w:ascii="Segoe UI" w:hAnsi="Segoe UI" w:eastAsia="Segoe UI" w:cs="Segoe UI"/>
                <w:color w:val="1F1D1A"/>
                <w:sz w:val="18"/>
              </w:rPr>
              <w:t>25</w:t>
            </w:r>
          </w:p>
        </w:tc>
      </w:tr>
      <w:tr>
        <w:tc>
          <w:tcPr>
            <w:tcW w:type="dxa" w:w="3061"/>
          </w:tcPr>
          <w:p>
            <w:pPr>
              <w:spacing w:after="20" w:line="264" w:lineRule="auto"/>
            </w:pPr>
            <w:r/>
            <w:r>
              <w:rPr>
                <w:rFonts w:ascii="Segoe UI" w:hAnsi="Segoe UI" w:eastAsia="Segoe UI" w:cs="Segoe UI"/>
                <w:b/>
                <w:color w:val="1F1D1A"/>
                <w:sz w:val="18"/>
              </w:rPr>
              <w:t>Toda la edición</w:t>
            </w:r>
          </w:p>
        </w:tc>
        <w:tc>
          <w:tcPr>
            <w:tcW w:type="dxa" w:w="3061"/>
          </w:tcPr>
          <w:p>
            <w:pPr>
              <w:spacing w:after="20" w:line="264" w:lineRule="auto"/>
            </w:pPr>
            <w:r/>
            <w:r>
              <w:rPr>
                <w:rFonts w:ascii="Segoe UI" w:hAnsi="Segoe UI" w:eastAsia="Segoe UI" w:cs="Segoe UI"/>
                <w:b/>
                <w:color w:val="1F1D1A"/>
                <w:sz w:val="18"/>
              </w:rPr>
              <w:t>1.700</w:t>
            </w:r>
          </w:p>
        </w:tc>
        <w:tc>
          <w:tcPr>
            <w:tcW w:type="dxa" w:w="3061"/>
          </w:tcPr>
          <w:p>
            <w:pPr>
              <w:spacing w:after="20" w:line="264" w:lineRule="auto"/>
            </w:pPr>
            <w:r/>
            <w:r>
              <w:rPr>
                <w:rFonts w:ascii="Segoe UI" w:hAnsi="Segoe UI" w:eastAsia="Segoe UI" w:cs="Segoe UI"/>
                <w:b/>
                <w:color w:val="1F1D1A"/>
                <w:sz w:val="18"/>
              </w:rPr>
              <w:t>54</w:t>
            </w:r>
          </w:p>
        </w:tc>
      </w:tr>
    </w:tbl>
    <w:p>
      <w:pPr>
        <w:spacing w:after="80"/>
      </w:pPr>
    </w:p>
    <w:p>
      <w:r>
        <w:t>[registro de lo verificado, 08, resumen a 7-oct-2026]</w:t>
      </w:r>
    </w:p>
    <w:p>
      <w:r>
        <w:rPr>
          <w:b/>
        </w:rPr>
        <w:t>Conclusión, lo que arrojan los datos:</w:t>
      </w:r>
      <w:r>
        <w:t xml:space="preserve"> de los 1.700 datos y citas con fuente, 1.646 (96,8 %) son de nivel A y 54 (3,2 %) de nivel B. Los de nivel B son enciclopedias, estudios académicos, prensa y documentos que solo se leen a través de otro; 25 de ellos están en el </w:t>
      </w:r>
      <w:r>
        <w:t>capítulo 9</w:t>
      </w:r>
      <w:r>
        <w:t xml:space="preserve">, que cuenta casos históricos de otros países. Los capítulos que se apoyan en la ley, las sentencias y la estadística oficial (7, 8 y 10) suman 420 datos y solo 9 de nivel B. </w:t>
      </w:r>
      <w:r>
        <w:t>[registro de lo verificado, 08; cuenta de la edición]</w:t>
      </w:r>
    </w:p>
    <w:p>
      <w:r>
        <w:rPr>
          <w:b/>
        </w:rPr>
        <w:t>Lectura del autor:</w:t>
      </w:r>
      <w:r>
        <w:t xml:space="preserve"> el mapa de niveles dice dónde un argumento es fuerte y dónde es débil, y por eso cada dato lleva el suyo. Quien repita la obra con otro país encontrará, cree el autor, lo mismo: lo que sale A es lo que está escrito en la ley y medido por el propio Estado; lo que baja a B o a C suele ser la prensa, la frase sin dueño y el dato de quien tiene interés. </w:t>
      </w:r>
      <w:r>
        <w:t>[Kiko, 6-oct-2026; libreta 76, sección 4, R3]</w:t>
      </w:r>
    </w:p>
    <w:p>
      <w:pPr>
        <w:pStyle w:val="Heading2"/>
      </w:pPr>
      <w:r>
        <w:t>G.2 Los siete pasos</w:t>
      </w:r>
    </w:p>
    <w:p>
      <w:pPr>
        <w:pBdr>
          <w:left w:val="single" w:sz="24" w:space="6" w:color="E2DED6"/>
        </w:pBdr>
        <w:shd w:val="clear" w:color="auto" w:fill="F1EEE8"/>
        <w:spacing w:before="80" w:after="160"/>
        <w:ind w:left="142" w:right="142"/>
      </w:pPr>
      <w:r>
        <w:rPr>
          <w:b/>
        </w:rPr>
        <w:t>La idea: siete pasos, en este orden, y cada uno una sola vez para toda la obra.</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paso</w:t>
            </w:r>
          </w:p>
        </w:tc>
        <w:tc>
          <w:tcPr>
            <w:tcW w:type="dxa" w:w="2296"/>
            <w:shd w:val="clear" w:color="auto" w:fill="F1EEE8"/>
          </w:tcPr>
          <w:p>
            <w:pPr>
              <w:spacing w:after="20" w:line="264" w:lineRule="auto"/>
            </w:pPr>
            <w:r>
              <w:rPr>
                <w:b/>
              </w:rPr>
            </w:r>
            <w:r>
              <w:rPr>
                <w:rFonts w:ascii="Segoe UI" w:hAnsi="Segoe UI" w:eastAsia="Segoe UI" w:cs="Segoe UI"/>
                <w:b/>
                <w:color w:val="1F1D1A"/>
                <w:sz w:val="18"/>
              </w:rPr>
              <w:t>quién</w:t>
            </w:r>
          </w:p>
        </w:tc>
        <w:tc>
          <w:tcPr>
            <w:tcW w:type="dxa" w:w="2296"/>
            <w:shd w:val="clear" w:color="auto" w:fill="F1EEE8"/>
          </w:tcPr>
          <w:p>
            <w:pPr>
              <w:spacing w:after="20" w:line="264" w:lineRule="auto"/>
            </w:pPr>
            <w:r>
              <w:rPr>
                <w:b/>
              </w:rPr>
            </w:r>
            <w:r>
              <w:rPr>
                <w:rFonts w:ascii="Segoe UI" w:hAnsi="Segoe UI" w:eastAsia="Segoe UI" w:cs="Segoe UI"/>
                <w:b/>
                <w:color w:val="1F1D1A"/>
                <w:sz w:val="18"/>
              </w:rPr>
              <w:t>qué se hace</w:t>
            </w:r>
          </w:p>
        </w:tc>
        <w:tc>
          <w:tcPr>
            <w:tcW w:type="dxa" w:w="2296"/>
            <w:shd w:val="clear" w:color="auto" w:fill="F1EEE8"/>
          </w:tcPr>
          <w:p>
            <w:pPr>
              <w:spacing w:after="20" w:line="264" w:lineRule="auto"/>
            </w:pPr>
            <w:r>
              <w:rPr>
                <w:b/>
              </w:rPr>
            </w:r>
            <w:r>
              <w:rPr>
                <w:rFonts w:ascii="Segoe UI" w:hAnsi="Segoe UI" w:eastAsia="Segoe UI" w:cs="Segoe UI"/>
                <w:b/>
                <w:color w:val="1F1D1A"/>
                <w:sz w:val="18"/>
              </w:rPr>
              <w:t>qué sale</w:t>
            </w:r>
          </w:p>
        </w:tc>
      </w:tr>
      <w:tr>
        <w:tc>
          <w:tcPr>
            <w:tcW w:type="dxa" w:w="2296"/>
          </w:tcPr>
          <w:p>
            <w:pPr>
              <w:spacing w:after="20" w:line="264" w:lineRule="auto"/>
            </w:pPr>
            <w:r/>
            <w:r>
              <w:rPr>
                <w:rFonts w:ascii="Segoe UI" w:hAnsi="Segoe UI" w:eastAsia="Segoe UI" w:cs="Segoe UI"/>
                <w:b/>
                <w:color w:val="1F1D1A"/>
                <w:sz w:val="18"/>
              </w:rPr>
              <w:t>0. La pregunta y la vara</w:t>
            </w:r>
          </w:p>
        </w:tc>
        <w:tc>
          <w:tcPr>
            <w:tcW w:type="dxa" w:w="2296"/>
          </w:tcPr>
          <w:p>
            <w:pPr>
              <w:spacing w:after="20" w:line="264" w:lineRule="auto"/>
            </w:pPr>
            <w:r/>
            <w:r>
              <w:rPr>
                <w:rFonts w:ascii="Segoe UI" w:hAnsi="Segoe UI" w:eastAsia="Segoe UI" w:cs="Segoe UI"/>
                <w:color w:val="1F1D1A"/>
                <w:sz w:val="18"/>
              </w:rPr>
              <w:t>el autor</w:t>
            </w:r>
          </w:p>
        </w:tc>
        <w:tc>
          <w:tcPr>
            <w:tcW w:type="dxa" w:w="2296"/>
          </w:tcPr>
          <w:p>
            <w:pPr>
              <w:spacing w:after="20" w:line="264" w:lineRule="auto"/>
            </w:pPr>
            <w:r/>
            <w:r>
              <w:rPr>
                <w:rFonts w:ascii="Segoe UI" w:hAnsi="Segoe UI" w:eastAsia="Segoe UI" w:cs="Segoe UI"/>
                <w:color w:val="1F1D1A"/>
                <w:sz w:val="18"/>
              </w:rPr>
              <w:t>decide qué quiere probar y con qué criterio; la vara, antes de mirar los datos (</w:t>
            </w:r>
            <w:r>
              <w:rPr>
                <w:rFonts w:ascii="Segoe UI" w:hAnsi="Segoe UI" w:eastAsia="Segoe UI" w:cs="Segoe UI"/>
                <w:color w:val="1F1D1A"/>
                <w:sz w:val="18"/>
              </w:rPr>
              <w:t>0.5</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la pregunta y el criterio</w:t>
            </w:r>
          </w:p>
        </w:tc>
      </w:tr>
      <w:tr>
        <w:tc>
          <w:tcPr>
            <w:tcW w:type="dxa" w:w="2296"/>
          </w:tcPr>
          <w:p>
            <w:pPr>
              <w:spacing w:after="20" w:line="264" w:lineRule="auto"/>
            </w:pPr>
            <w:r/>
            <w:r>
              <w:rPr>
                <w:rFonts w:ascii="Segoe UI" w:hAnsi="Segoe UI" w:eastAsia="Segoe UI" w:cs="Segoe UI"/>
                <w:b/>
                <w:color w:val="1F1D1A"/>
                <w:sz w:val="18"/>
              </w:rPr>
              <w:t>1. La biblioteca local</w:t>
            </w:r>
          </w:p>
        </w:tc>
        <w:tc>
          <w:tcPr>
            <w:tcW w:type="dxa" w:w="2296"/>
          </w:tcPr>
          <w:p>
            <w:pPr>
              <w:spacing w:after="20" w:line="264" w:lineRule="auto"/>
            </w:pPr>
            <w:r/>
            <w:r>
              <w:rPr>
                <w:rFonts w:ascii="Segoe UI" w:hAnsi="Segoe UI" w:eastAsia="Segoe UI" w:cs="Segoe UI"/>
                <w:color w:val="1F1D1A"/>
                <w:sz w:val="18"/>
              </w:rPr>
              <w:t>el buscador, persona o programa</w:t>
            </w:r>
          </w:p>
        </w:tc>
        <w:tc>
          <w:tcPr>
            <w:tcW w:type="dxa" w:w="2296"/>
          </w:tcPr>
          <w:p>
            <w:pPr>
              <w:spacing w:after="20" w:line="264" w:lineRule="auto"/>
            </w:pPr>
            <w:r/>
            <w:r>
              <w:rPr>
                <w:rFonts w:ascii="Segoe UI" w:hAnsi="Segoe UI" w:eastAsia="Segoe UI" w:cs="Segoe UI"/>
                <w:color w:val="1F1D1A"/>
                <w:sz w:val="18"/>
              </w:rPr>
              <w:t>baja, íntegros y una vez, el boletín oficial, la constitución, las sentencias, la estadística y el tribunal de cuentas</w:t>
            </w:r>
          </w:p>
        </w:tc>
        <w:tc>
          <w:tcPr>
            <w:tcW w:type="dxa" w:w="2296"/>
          </w:tcPr>
          <w:p>
            <w:pPr>
              <w:spacing w:after="20" w:line="264" w:lineRule="auto"/>
            </w:pPr>
            <w:r/>
            <w:r>
              <w:rPr>
                <w:rFonts w:ascii="Segoe UI" w:hAnsi="Segoe UI" w:eastAsia="Segoe UI" w:cs="Segoe UI"/>
                <w:color w:val="1F1D1A"/>
                <w:sz w:val="18"/>
              </w:rPr>
              <w:t>los originales, con su índice y su fecha</w:t>
            </w:r>
          </w:p>
        </w:tc>
      </w:tr>
      <w:tr>
        <w:tc>
          <w:tcPr>
            <w:tcW w:type="dxa" w:w="2296"/>
          </w:tcPr>
          <w:p>
            <w:pPr>
              <w:spacing w:after="20" w:line="264" w:lineRule="auto"/>
            </w:pPr>
            <w:r/>
            <w:r>
              <w:rPr>
                <w:rFonts w:ascii="Segoe UI" w:hAnsi="Segoe UI" w:eastAsia="Segoe UI" w:cs="Segoe UI"/>
                <w:b/>
                <w:color w:val="1F1D1A"/>
                <w:sz w:val="18"/>
              </w:rPr>
              <w:t>2. El inventario</w:t>
            </w:r>
          </w:p>
        </w:tc>
        <w:tc>
          <w:tcPr>
            <w:tcW w:type="dxa" w:w="2296"/>
          </w:tcPr>
          <w:p>
            <w:pPr>
              <w:spacing w:after="20" w:line="264" w:lineRule="auto"/>
            </w:pPr>
            <w:r/>
            <w:r>
              <w:rPr>
                <w:rFonts w:ascii="Segoe UI" w:hAnsi="Segoe UI" w:eastAsia="Segoe UI" w:cs="Segoe UI"/>
                <w:color w:val="1F1D1A"/>
                <w:sz w:val="18"/>
              </w:rPr>
              <w:t>un programa</w:t>
            </w:r>
          </w:p>
        </w:tc>
        <w:tc>
          <w:tcPr>
            <w:tcW w:type="dxa" w:w="2296"/>
          </w:tcPr>
          <w:p>
            <w:pPr>
              <w:spacing w:after="20" w:line="264" w:lineRule="auto"/>
            </w:pPr>
            <w:r/>
            <w:r>
              <w:rPr>
                <w:rFonts w:ascii="Segoe UI" w:hAnsi="Segoe UI" w:eastAsia="Segoe UI" w:cs="Segoe UI"/>
                <w:color w:val="1F1D1A"/>
                <w:sz w:val="18"/>
              </w:rPr>
              <w:t>numera cada párrafo con un código; nada se borra en silencio</w:t>
            </w:r>
          </w:p>
        </w:tc>
        <w:tc>
          <w:tcPr>
            <w:tcW w:type="dxa" w:w="2296"/>
          </w:tcPr>
          <w:p>
            <w:pPr>
              <w:spacing w:after="20" w:line="264" w:lineRule="auto"/>
            </w:pPr>
            <w:r/>
            <w:r>
              <w:rPr>
                <w:rFonts w:ascii="Segoe UI" w:hAnsi="Segoe UI" w:eastAsia="Segoe UI" w:cs="Segoe UI"/>
                <w:color w:val="1F1D1A"/>
                <w:sz w:val="18"/>
              </w:rPr>
              <w:t>el inventario de procedencia</w:t>
            </w:r>
          </w:p>
        </w:tc>
      </w:tr>
      <w:tr>
        <w:tc>
          <w:tcPr>
            <w:tcW w:type="dxa" w:w="2296"/>
          </w:tcPr>
          <w:p>
            <w:pPr>
              <w:spacing w:after="20" w:line="264" w:lineRule="auto"/>
            </w:pPr>
            <w:r/>
            <w:r>
              <w:rPr>
                <w:rFonts w:ascii="Segoe UI" w:hAnsi="Segoe UI" w:eastAsia="Segoe UI" w:cs="Segoe UI"/>
                <w:b/>
                <w:color w:val="1F1D1A"/>
                <w:sz w:val="18"/>
              </w:rPr>
              <w:t>3. La criba</w:t>
            </w:r>
          </w:p>
        </w:tc>
        <w:tc>
          <w:tcPr>
            <w:tcW w:type="dxa" w:w="2296"/>
          </w:tcPr>
          <w:p>
            <w:pPr>
              <w:spacing w:after="20" w:line="264" w:lineRule="auto"/>
            </w:pPr>
            <w:r/>
            <w:r>
              <w:rPr>
                <w:rFonts w:ascii="Segoe UI" w:hAnsi="Segoe UI" w:eastAsia="Segoe UI" w:cs="Segoe UI"/>
                <w:color w:val="1F1D1A"/>
                <w:sz w:val="18"/>
              </w:rPr>
              <w:t>un programa, revisado con una muestra</w:t>
            </w:r>
          </w:p>
        </w:tc>
        <w:tc>
          <w:tcPr>
            <w:tcW w:type="dxa" w:w="2296"/>
          </w:tcPr>
          <w:p>
            <w:pPr>
              <w:spacing w:after="20" w:line="264" w:lineRule="auto"/>
            </w:pPr>
            <w:r/>
            <w:r>
              <w:rPr>
                <w:rFonts w:ascii="Segoe UI" w:hAnsi="Segoe UI" w:eastAsia="Segoe UI" w:cs="Segoe UI"/>
                <w:color w:val="1F1D1A"/>
                <w:sz w:val="18"/>
              </w:rPr>
              <w:t>marca qué afirmaciones necesitan prueba (cifras, citas, plazos, artículos) y mira también lo que deja fuera</w:t>
            </w:r>
          </w:p>
        </w:tc>
        <w:tc>
          <w:tcPr>
            <w:tcW w:type="dxa" w:w="2296"/>
          </w:tcPr>
          <w:p>
            <w:pPr>
              <w:spacing w:after="20" w:line="264" w:lineRule="auto"/>
            </w:pPr>
            <w:r/>
            <w:r>
              <w:rPr>
                <w:rFonts w:ascii="Segoe UI" w:hAnsi="Segoe UI" w:eastAsia="Segoe UI" w:cs="Segoe UI"/>
                <w:color w:val="1F1D1A"/>
                <w:sz w:val="18"/>
              </w:rPr>
              <w:t>la lista de lo que hay que comprobar</w:t>
            </w:r>
          </w:p>
        </w:tc>
      </w:tr>
      <w:tr>
        <w:tc>
          <w:tcPr>
            <w:tcW w:type="dxa" w:w="2296"/>
          </w:tcPr>
          <w:p>
            <w:pPr>
              <w:spacing w:after="20" w:line="264" w:lineRule="auto"/>
            </w:pPr>
            <w:r/>
            <w:r>
              <w:rPr>
                <w:rFonts w:ascii="Segoe UI" w:hAnsi="Segoe UI" w:eastAsia="Segoe UI" w:cs="Segoe UI"/>
                <w:b/>
                <w:color w:val="1F1D1A"/>
                <w:sz w:val="18"/>
              </w:rPr>
              <w:t>4. La comprobación</w:t>
            </w:r>
          </w:p>
        </w:tc>
        <w:tc>
          <w:tcPr>
            <w:tcW w:type="dxa" w:w="2296"/>
          </w:tcPr>
          <w:p>
            <w:pPr>
              <w:spacing w:after="20" w:line="264" w:lineRule="auto"/>
            </w:pPr>
            <w:r/>
            <w:r>
              <w:rPr>
                <w:rFonts w:ascii="Segoe UI" w:hAnsi="Segoe UI" w:eastAsia="Segoe UI" w:cs="Segoe UI"/>
                <w:color w:val="1F1D1A"/>
                <w:sz w:val="18"/>
              </w:rPr>
              <w:t>el verificador</w:t>
            </w:r>
          </w:p>
        </w:tc>
        <w:tc>
          <w:tcPr>
            <w:tcW w:type="dxa" w:w="2296"/>
          </w:tcPr>
          <w:p>
            <w:pPr>
              <w:spacing w:after="20" w:line="264" w:lineRule="auto"/>
            </w:pPr>
            <w:r/>
            <w:r>
              <w:rPr>
                <w:rFonts w:ascii="Segoe UI" w:hAnsi="Segoe UI" w:eastAsia="Segoe UI" w:cs="Segoe UI"/>
                <w:color w:val="1F1D1A"/>
                <w:sz w:val="18"/>
              </w:rPr>
              <w:t>abre cada fuente una vez para toda la obra; copia el texto literal y el lugar; da el nivel A, B o C</w:t>
            </w:r>
          </w:p>
        </w:tc>
        <w:tc>
          <w:tcPr>
            <w:tcW w:type="dxa" w:w="2296"/>
          </w:tcPr>
          <w:p>
            <w:pPr>
              <w:spacing w:after="20" w:line="264" w:lineRule="auto"/>
            </w:pPr>
            <w:r/>
            <w:r>
              <w:rPr>
                <w:rFonts w:ascii="Segoe UI" w:hAnsi="Segoe UI" w:eastAsia="Segoe UI" w:cs="Segoe UI"/>
                <w:color w:val="1F1D1A"/>
                <w:sz w:val="18"/>
              </w:rPr>
              <w:t>el registro de lo verificado y la fe de erratas</w:t>
            </w:r>
          </w:p>
        </w:tc>
      </w:tr>
      <w:tr>
        <w:tc>
          <w:tcPr>
            <w:tcW w:type="dxa" w:w="2296"/>
          </w:tcPr>
          <w:p>
            <w:pPr>
              <w:spacing w:after="20" w:line="264" w:lineRule="auto"/>
            </w:pPr>
            <w:r/>
            <w:r>
              <w:rPr>
                <w:rFonts w:ascii="Segoe UI" w:hAnsi="Segoe UI" w:eastAsia="Segoe UI" w:cs="Segoe UI"/>
                <w:b/>
                <w:color w:val="1F1D1A"/>
                <w:sz w:val="18"/>
              </w:rPr>
              <w:t>5. La redacción</w:t>
            </w:r>
          </w:p>
        </w:tc>
        <w:tc>
          <w:tcPr>
            <w:tcW w:type="dxa" w:w="2296"/>
          </w:tcPr>
          <w:p>
            <w:pPr>
              <w:spacing w:after="20" w:line="264" w:lineRule="auto"/>
            </w:pPr>
            <w:r/>
            <w:r>
              <w:rPr>
                <w:rFonts w:ascii="Segoe UI" w:hAnsi="Segoe UI" w:eastAsia="Segoe UI" w:cs="Segoe UI"/>
                <w:color w:val="1F1D1A"/>
                <w:sz w:val="18"/>
              </w:rPr>
              <w:t>el redactor</w:t>
            </w:r>
          </w:p>
        </w:tc>
        <w:tc>
          <w:tcPr>
            <w:tcW w:type="dxa" w:w="2296"/>
          </w:tcPr>
          <w:p>
            <w:pPr>
              <w:spacing w:after="20" w:line="264" w:lineRule="auto"/>
            </w:pPr>
            <w:r/>
            <w:r>
              <w:rPr>
                <w:rFonts w:ascii="Segoe UI" w:hAnsi="Segoe UI" w:eastAsia="Segoe UI" w:cs="Segoe UI"/>
                <w:color w:val="1F1D1A"/>
                <w:sz w:val="18"/>
              </w:rPr>
              <w:t>escribe solo con A y B, en tres capas: los hechos, la conclusión de los datos y la lectura del autor (</w:t>
            </w:r>
            <w:r>
              <w:rPr>
                <w:rFonts w:ascii="Segoe UI" w:hAnsi="Segoe UI" w:eastAsia="Segoe UI" w:cs="Segoe UI"/>
                <w:color w:val="1F1D1A"/>
                <w:sz w:val="18"/>
              </w:rPr>
              <w:t>0.3</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los capítulos</w:t>
            </w:r>
          </w:p>
        </w:tc>
      </w:tr>
      <w:tr>
        <w:tc>
          <w:tcPr>
            <w:tcW w:type="dxa" w:w="2296"/>
          </w:tcPr>
          <w:p>
            <w:pPr>
              <w:spacing w:after="20" w:line="264" w:lineRule="auto"/>
            </w:pPr>
            <w:r/>
            <w:r>
              <w:rPr>
                <w:rFonts w:ascii="Segoe UI" w:hAnsi="Segoe UI" w:eastAsia="Segoe UI" w:cs="Segoe UI"/>
                <w:b/>
                <w:color w:val="1F1D1A"/>
                <w:sz w:val="18"/>
              </w:rPr>
              <w:t>6. Las dos caras</w:t>
            </w:r>
          </w:p>
        </w:tc>
        <w:tc>
          <w:tcPr>
            <w:tcW w:type="dxa" w:w="2296"/>
          </w:tcPr>
          <w:p>
            <w:pPr>
              <w:spacing w:after="20" w:line="264" w:lineRule="auto"/>
            </w:pPr>
            <w:r/>
            <w:r>
              <w:rPr>
                <w:rFonts w:ascii="Segoe UI" w:hAnsi="Segoe UI" w:eastAsia="Segoe UI" w:cs="Segoe UI"/>
                <w:color w:val="1F1D1A"/>
                <w:sz w:val="18"/>
              </w:rPr>
              <w:t>el abogado del diablo</w:t>
            </w:r>
          </w:p>
        </w:tc>
        <w:tc>
          <w:tcPr>
            <w:tcW w:type="dxa" w:w="2296"/>
          </w:tcPr>
          <w:p>
            <w:pPr>
              <w:spacing w:after="20" w:line="264" w:lineRule="auto"/>
            </w:pPr>
            <w:r/>
            <w:r>
              <w:rPr>
                <w:rFonts w:ascii="Segoe UI" w:hAnsi="Segoe UI" w:eastAsia="Segoe UI" w:cs="Segoe UI"/>
                <w:color w:val="1F1D1A"/>
                <w:sz w:val="18"/>
              </w:rPr>
              <w:t>escribe la mejor defensa del Estado y el límite honesto de la prueba</w:t>
            </w:r>
          </w:p>
        </w:tc>
        <w:tc>
          <w:tcPr>
            <w:tcW w:type="dxa" w:w="2296"/>
          </w:tcPr>
          <w:p>
            <w:pPr>
              <w:spacing w:after="20" w:line="264" w:lineRule="auto"/>
            </w:pPr>
            <w:r/>
            <w:r>
              <w:rPr>
                <w:rFonts w:ascii="Segoe UI" w:hAnsi="Segoe UI" w:eastAsia="Segoe UI" w:cs="Segoe UI"/>
                <w:color w:val="1F1D1A"/>
                <w:sz w:val="18"/>
              </w:rPr>
              <w:t>la defensa y los contrapuntos</w:t>
            </w:r>
          </w:p>
        </w:tc>
      </w:tr>
      <w:tr>
        <w:tc>
          <w:tcPr>
            <w:tcW w:type="dxa" w:w="2296"/>
          </w:tcPr>
          <w:p>
            <w:pPr>
              <w:spacing w:after="20" w:line="264" w:lineRule="auto"/>
            </w:pPr>
            <w:r/>
            <w:r>
              <w:rPr>
                <w:rFonts w:ascii="Segoe UI" w:hAnsi="Segoe UI" w:eastAsia="Segoe UI" w:cs="Segoe UI"/>
                <w:b/>
                <w:color w:val="1F1D1A"/>
                <w:sz w:val="18"/>
              </w:rPr>
              <w:t>7. Publicar y corregir</w:t>
            </w:r>
          </w:p>
        </w:tc>
        <w:tc>
          <w:tcPr>
            <w:tcW w:type="dxa" w:w="2296"/>
          </w:tcPr>
          <w:p>
            <w:pPr>
              <w:spacing w:after="20" w:line="264" w:lineRule="auto"/>
            </w:pPr>
            <w:r/>
            <w:r>
              <w:rPr>
                <w:rFonts w:ascii="Segoe UI" w:hAnsi="Segoe UI" w:eastAsia="Segoe UI" w:cs="Segoe UI"/>
                <w:color w:val="1F1D1A"/>
                <w:sz w:val="18"/>
              </w:rPr>
              <w:t>el autor</w:t>
            </w:r>
          </w:p>
        </w:tc>
        <w:tc>
          <w:tcPr>
            <w:tcW w:type="dxa" w:w="2296"/>
          </w:tcPr>
          <w:p>
            <w:pPr>
              <w:spacing w:after="20" w:line="264" w:lineRule="auto"/>
            </w:pPr>
            <w:r/>
            <w:r>
              <w:rPr>
                <w:rFonts w:ascii="Segoe UI" w:hAnsi="Segoe UI" w:eastAsia="Segoe UI" w:cs="Segoe UI"/>
                <w:color w:val="1F1D1A"/>
                <w:sz w:val="18"/>
              </w:rPr>
              <w:t>enlaza todo al final, una sola vez, y lleva una fe de erratas viva</w:t>
            </w:r>
          </w:p>
        </w:tc>
        <w:tc>
          <w:tcPr>
            <w:tcW w:type="dxa" w:w="2296"/>
          </w:tcPr>
          <w:p>
            <w:pPr>
              <w:spacing w:after="20" w:line="264" w:lineRule="auto"/>
            </w:pPr>
            <w:r/>
            <w:r>
              <w:rPr>
                <w:rFonts w:ascii="Segoe UI" w:hAnsi="Segoe UI" w:eastAsia="Segoe UI" w:cs="Segoe UI"/>
                <w:color w:val="1F1D1A"/>
                <w:sz w:val="18"/>
              </w:rPr>
              <w:t>la obra enlazada y su lista de correcciones</w:t>
            </w:r>
          </w:p>
        </w:tc>
      </w:tr>
    </w:tbl>
    <w:p>
      <w:pPr>
        <w:spacing w:after="80"/>
      </w:pPr>
    </w:p>
    <w:p>
      <w:r>
        <w:t>[libreta 76, sección 4 (borrador del organigrama); libro de estilo §7 y §8]</w:t>
      </w:r>
    </w:p>
    <w:p>
      <w:r>
        <w:t>Los pasos se agrupan en cuatro trabajos que no se mezclan: ordenar (paso 2), comprobar todo agrupado por fuente (pasos 3 y 4), redactar (5 y 6) y enlazar al final (</w:t>
      </w:r>
      <w:r>
        <w:t>7</w:t>
      </w:r>
      <w:r>
        <w:t xml:space="preserve">). El 6-oct-2026, cuando la obra llevaba semanas comprobándose capítulo a capítulo, el autor dijo: «esto que ya lo comprobé cinco veces se está volviendo infinito». De ahí salió el orden de arriba: cada fuente se abre una vez, y esa lectura sirve a todos los capítulos donde aparece. </w:t>
      </w:r>
      <w:r>
        <w:t>[mapa cronológico, etapa 7 (6-oct-2026); libro de estilo §8]</w:t>
      </w:r>
    </w:p>
    <w:p>
      <w:pPr>
        <w:pStyle w:val="Heading2"/>
      </w:pPr>
      <w:r>
        <w:t>G.3 Las trampas que ya costaron</w:t>
      </w:r>
    </w:p>
    <w:p>
      <w:pPr>
        <w:pBdr>
          <w:left w:val="single" w:sz="24" w:space="6" w:color="E2DED6"/>
        </w:pBdr>
        <w:shd w:val="clear" w:color="auto" w:fill="F1EEE8"/>
        <w:spacing w:before="80" w:after="160"/>
        <w:ind w:left="142" w:right="142"/>
      </w:pPr>
      <w:r>
        <w:rPr>
          <w:b/>
        </w:rPr>
        <w:t>La idea: estas doce trampas ya costaron tiempo, y cada una dejó una regla; todas salen de lo ocurrido en esta obra.</w:t>
      </w:r>
    </w:p>
    <w:p>
      <w:r>
        <w:t>La fuente manda: se dice lo que ella dice, literal y con su fecha. Lo que se saca de ella (la opinión del autor, una deducción, lo que concluyen estudios independientes) va aparte y marcado como tal (</w:t>
      </w:r>
      <w:r>
        <w:t>0.3</w:t>
      </w:r>
      <w:r>
        <w:t xml:space="preserve">). </w:t>
      </w:r>
      <w:r>
        <w:t>[Kiko, 7-oct-2026]</w:t>
      </w:r>
    </w:p>
    <w:p>
      <w:r>
        <w:rPr>
          <w:b/>
        </w:rPr>
        <w:t>Con las fuentes</w:t>
      </w:r>
    </w:p>
    <w:p>
      <w:pPr>
        <w:spacing w:after="60"/>
        <w:ind w:left="510" w:hanging="397"/>
      </w:pPr>
      <w:r>
        <w:rPr>
          <w:b w:val="0"/>
        </w:rPr>
        <w:t xml:space="preserve">1. </w:t>
      </w:r>
      <w:r>
        <w:rPr>
          <w:b/>
        </w:rPr>
        <w:t>Bajar lo que ya estaba.</w:t>
      </w:r>
      <w:r>
        <w:t xml:space="preserve"> Ocho normas (entre ellas la Ley Orgánica del Tribunal Constitucional y el Estatuto de los Trabajadores) se volvieron a bajar, cuando ya estaban en la biblioteca con otro nombre; y una entrada del diccionario jurídico, la de «presunción», se bajó dos veces. Al ordenar la biblioteca el 7-oct-2026, 67 grupos de documentos resultaron ser copias idénticas byte a byte, con 78 copias de más. </w:t>
      </w:r>
      <w:r>
        <w:rPr>
          <w:i/>
        </w:rPr>
        <w:t>Regla:</w:t>
      </w:r>
      <w:r>
        <w:t xml:space="preserve"> antes de bajar nada, buscar en la biblioteca por el número y el nombre de la norma, o por la palabra; si dos copias son idénticas, se queda una; si son de otro año o de otra versión, se quedan las dos, cada una con su fecha. </w:t>
      </w:r>
      <w:r>
        <w:t>[libreta 76, lecciones 16 y 44; leído hoy: duplicados de 10 FUENTES LEIDAS, 7-oct-2026]</w:t>
      </w:r>
      <w:r>
        <w:t xml:space="preserve"> {completo} Las ocho: la LOTC, la LO 4/2015, el Estatuto de los Trabajadores, el EBEP, la ley del IRPF, la Ley 3/2015, la de Haciendas Locales y el TFUE. Dos pares de archivos que difieren en dos bytes (la Constitución y el Código Civil, de dos carpetas distintas) solo cambian un contador de la página: es el mismo texto. </w:t>
      </w:r>
      <w:r>
        <w:t>[libreta 76, lección 16; leído hoy]</w:t>
      </w:r>
    </w:p>
    <w:p>
      <w:pPr>
        <w:spacing w:after="60"/>
        <w:ind w:left="510" w:hanging="397"/>
      </w:pPr>
      <w:r>
        <w:rPr>
          <w:b w:val="0"/>
        </w:rPr>
        <w:t xml:space="preserve">2. </w:t>
      </w:r>
      <w:r>
        <w:rPr>
          <w:b/>
        </w:rPr>
        <w:t>Una dirección de memoria puede ser otra norma.</w:t>
      </w:r>
      <w:r>
        <w:t xml:space="preserve"> La dirección que se tenía por la de la ley de Clases Pasivas llevaba a una corrección de errores de 1985. </w:t>
      </w:r>
      <w:r>
        <w:rPr>
          <w:i/>
        </w:rPr>
        <w:t>Regla:</w:t>
      </w:r>
      <w:r>
        <w:t xml:space="preserve"> al bajar, comprobar el título de cada página; si no es el esperado, no vale. </w:t>
      </w:r>
      <w:r>
        <w:t>[libreta 76, lección 17]</w:t>
      </w:r>
    </w:p>
    <w:p>
      <w:pPr>
        <w:spacing w:after="60"/>
        <w:ind w:left="510" w:hanging="397"/>
      </w:pPr>
      <w:r>
        <w:rPr>
          <w:b w:val="0"/>
        </w:rPr>
        <w:t xml:space="preserve">3. </w:t>
      </w:r>
      <w:r>
        <w:rPr>
          <w:b/>
        </w:rPr>
        <w:t>El nombre del archivo engaña.</w:t>
      </w:r>
      <w:r>
        <w:t xml:space="preserve"> Un archivo bajado como «STC 35/1995, policía judicial» era de verdad la STC 35/1995, pero no trata de la policía judicial: resuelve un amparo por un robo y reconoce el derecho a la presunción de inocencia, porque la condena se apoyó en «testimonios de referencia irregulares». </w:t>
      </w:r>
      <w:r>
        <w:rPr>
          <w:i/>
        </w:rPr>
        <w:t>Regla:</w:t>
      </w:r>
      <w:r>
        <w:t xml:space="preserve"> el tema se comprueba en el texto, no en el nombre que le puso quien lo bajó; y el archivo se renombra con lo que contiene (el 7-oct-2026 se renombró). </w:t>
      </w:r>
      <w:r>
        <w:t>[fe de erratas 07, 17.00-168.2; libreta 76, lección 28; leído hoy: c9c]</w:t>
      </w:r>
    </w:p>
    <w:p>
      <w:pPr>
        <w:spacing w:after="60"/>
        <w:ind w:left="510" w:hanging="397"/>
      </w:pPr>
      <w:r>
        <w:rPr>
          <w:b w:val="0"/>
        </w:rPr>
        <w:t xml:space="preserve">4. </w:t>
      </w:r>
      <w:r>
        <w:rPr>
          <w:b/>
        </w:rPr>
        <w:t>El documento vale para su fecha.</w:t>
      </w:r>
      <w:r>
        <w:t xml:space="preserve"> De cinco documentos del Banco Santander, solo dos dicen su año en el texto (2021 y 2022); los de 2025 los fecha el propio archivo (sus metadatos), y así se dijo en B.5. </w:t>
      </w:r>
      <w:r>
        <w:rPr>
          <w:i/>
        </w:rPr>
        <w:t>Regla:</w:t>
      </w:r>
      <w:r>
        <w:t xml:space="preserve"> antes de contar una fuente, leer su fecha (en el texto o, si falta, en el archivo, diciéndolo) y escribir para qué año vale; si se pregunta por lo vigente hoy, buscar la fuente que lo registre y, si no se alcanza, dejarlo a flecos. </w:t>
      </w:r>
      <w:r>
        <w:t>[libreta 76, lección 47; anexo B]</w:t>
      </w:r>
    </w:p>
    <w:p>
      <w:pPr>
        <w:spacing w:after="60"/>
        <w:ind w:left="510" w:hanging="397"/>
      </w:pPr>
      <w:r>
        <w:rPr>
          <w:b w:val="0"/>
        </w:rPr>
        <w:t xml:space="preserve">5. </w:t>
      </w:r>
      <w:r>
        <w:rPr>
          <w:b/>
        </w:rPr>
        <w:t>Una sentencia no dice lo que se cree que dice.</w:t>
      </w:r>
      <w:r>
        <w:t xml:space="preserve"> Una frase entre comillas atribuida a una sentencia puede no estar en ella: «maniobras o estratagemas jurídicas tendentes a lograr un resultado opuesto al perseguido…» no está en la STS de 25-9-1996 sobre el abuso del derecho. Y una sentencia puede decir algo distinto de lo que se le atribuye: la STC 73/2017 no anuló la amnistía fiscal de 2012 por falta de urgencia, sino porque el decreto-ley no puede afectar al deber de contribuir. </w:t>
      </w:r>
      <w:r>
        <w:rPr>
          <w:i/>
        </w:rPr>
        <w:t>Regla:</w:t>
      </w:r>
      <w:r>
        <w:t xml:space="preserve"> la cita se busca, literal, en la sentencia entera; y lo que decide una sentencia se lee en su fallo y en sus fundamentos. </w:t>
      </w:r>
      <w:r>
        <w:t>[fe de erratas 07, 20.00-31.1 y 00.1-4.6; libreta 76, lección 23]</w:t>
      </w:r>
    </w:p>
    <w:p>
      <w:r>
        <w:rPr>
          <w:b/>
        </w:rPr>
        <w:t>Con las herramientas de inteligencia artificial</w:t>
      </w:r>
    </w:p>
    <w:p>
      <w:pPr>
        <w:spacing w:after="60"/>
        <w:ind w:left="510" w:hanging="397"/>
      </w:pPr>
      <w:r>
        <w:rPr>
          <w:b w:val="0"/>
        </w:rPr>
        <w:t xml:space="preserve">1. </w:t>
      </w:r>
      <w:r>
        <w:rPr>
          <w:b/>
        </w:rPr>
        <w:t>El resumen no es la prueba.</w:t>
      </w:r>
      <w:r>
        <w:t xml:space="preserve"> Una herramienta devolvía «¿se confirma?: sí» con un resumen. Al redactar el </w:t>
      </w:r>
      <w:r>
        <w:t>capítulo 9</w:t>
      </w:r>
      <w:r>
        <w:t xml:space="preserve">, tres frases se apoyaban en resúmenes y no en el texto, y se dejó solo lo que decía el pasaje. </w:t>
      </w:r>
      <w:r>
        <w:rPr>
          <w:i/>
        </w:rPr>
        <w:t>Regla:</w:t>
      </w:r>
      <w:r>
        <w:t xml:space="preserve"> la prueba es el pasaje literal, con su archivo y su lugar; el resumen solo orienta. </w:t>
      </w:r>
      <w:r>
        <w:t>[libreta 76, lecciones 3 y 4; libreta 75, 7 bis n.º 5]</w:t>
      </w:r>
    </w:p>
    <w:p>
      <w:pPr>
        <w:spacing w:after="60"/>
        <w:ind w:left="510" w:hanging="397"/>
      </w:pPr>
      <w:r>
        <w:rPr>
          <w:b w:val="0"/>
        </w:rPr>
        <w:t xml:space="preserve">2. </w:t>
      </w:r>
      <w:r>
        <w:rPr>
          <w:b/>
        </w:rPr>
        <w:t>Lo que trae otra inteligencia artificial, sin verificar.</w:t>
      </w:r>
      <w:r>
        <w:t xml:space="preserve"> El 4-ago-2026, en una sola ronda, aparecieron tres hallazgos: una cita falsa de Séneca, una atribución falsa a Zenón de Citio y un salto de categoría jurídica, al llamar «costumbre» a una convergencia moral entre tradiciones. De ahí salió la Regla de Oro: la señal de alarma es siempre la misma, «esto encaja demasiado bien con lo que necesito decir»; cuanto mejor encaja una cita con el argumento, más hay que desconfiar y comprobarla el doble. </w:t>
      </w:r>
      <w:r>
        <w:rPr>
          <w:i/>
        </w:rPr>
        <w:t>Regla:</w:t>
      </w:r>
      <w:r>
        <w:t xml:space="preserve"> lo que trae otra herramienta no se escribe hasta leerlo en el original; mientras tanto, se guarda aparte. </w:t>
      </w:r>
      <w:r>
        <w:t>[00 NORMAS DE TRABAJO, Regla de Oro (4-ago-2026); libreta 76, lección 12]</w:t>
      </w:r>
    </w:p>
    <w:p>
      <w:pPr>
        <w:spacing w:after="60"/>
        <w:ind w:left="510" w:hanging="397"/>
      </w:pPr>
      <w:r>
        <w:rPr>
          <w:b w:val="0"/>
        </w:rPr>
        <w:t xml:space="preserve">3. </w:t>
      </w:r>
      <w:r>
        <w:rPr>
          <w:b/>
        </w:rPr>
        <w:t>El programa que «mejora» lo que dice el texto.</w:t>
      </w:r>
      <w:r>
        <w:t xml:space="preserve"> En el paso 2 bis (6-oct-2026), una regla automática que asignaba cada referencia a su ley por parecido de palabras cambió «Código Civil, art. 348» por el art. 348 del Código Penal (el de los explosivos), y en una de cada cuatro muestras se equivocó de ley. </w:t>
      </w:r>
      <w:r>
        <w:rPr>
          <w:i/>
        </w:rPr>
        <w:t>Regla:</w:t>
      </w:r>
      <w:r>
        <w:t xml:space="preserve"> manda lo que dice el texto, es decir, la ley que nombra junto a la referencia; lo mecánico ordena, no corrige; y ninguna regla automática se da por buena sin mirar antes una muestra de lo que decide. </w:t>
      </w:r>
      <w:r>
        <w:t>[libreta 76, lección 13]</w:t>
      </w:r>
    </w:p>
    <w:p>
      <w:r>
        <w:rPr>
          <w:b/>
        </w:rPr>
        <w:t>Con lo que una herramienta no ve</w:t>
      </w:r>
    </w:p>
    <w:p>
      <w:pPr>
        <w:spacing w:after="60"/>
        <w:ind w:left="510" w:hanging="397"/>
      </w:pPr>
      <w:r>
        <w:rPr>
          <w:b w:val="0"/>
        </w:rPr>
        <w:t xml:space="preserve">1. </w:t>
      </w:r>
      <w:r>
        <w:rPr>
          <w:b/>
        </w:rPr>
        <w:t>La criba que no veía.</w:t>
      </w:r>
      <w:r>
        <w:t xml:space="preserve"> El paso de comprobar se dio por terminado con 1.397 datos sin mirar (comillas simples, plazos, lo que dice cada artículo). Una herramienta solo ve lo que se le enseña a buscar. </w:t>
      </w:r>
      <w:r>
        <w:rPr>
          <w:i/>
        </w:rPr>
        <w:t>Regla:</w:t>
      </w:r>
      <w:r>
        <w:t xml:space="preserve"> antes de decir «nada por verificar», mirar a mano una muestra de lo que la criba deja como «sin nada que comprobar». </w:t>
      </w:r>
      <w:r>
        <w:t>[libreta 76, lección 5; paso 2 bis]</w:t>
      </w:r>
    </w:p>
    <w:p>
      <w:pPr>
        <w:spacing w:after="60"/>
        <w:ind w:left="510" w:hanging="397"/>
      </w:pPr>
      <w:r>
        <w:rPr>
          <w:b w:val="0"/>
        </w:rPr>
        <w:t xml:space="preserve">2. </w:t>
      </w:r>
      <w:r>
        <w:rPr>
          <w:b/>
        </w:rPr>
        <w:t>Un número que aparece no es una prueba.</w:t>
      </w:r>
      <w:r>
        <w:t xml:space="preserve"> «90,3 %» salía «cubierto» porque estaba dentro de «4.090,3»; y de 147 sentencias «halladas», solo 10 eran el archivo de la sentencia, y el resto era su número citado en otro documento. Tampoco se veían los números enteros o escritos en letra («cuarenta y cuatro años», «quince días»). </w:t>
      </w:r>
      <w:r>
        <w:rPr>
          <w:i/>
        </w:rPr>
        <w:t>Regla:</w:t>
      </w:r>
      <w:r>
        <w:t xml:space="preserve"> la fuente es el documento mismo, no una mención suya; y cada número, también el entero y el escrito en letra, se busca entero en su fila. </w:t>
      </w:r>
      <w:r>
        <w:t>[libreta 76, lecciones 14, 31 y 34]</w:t>
      </w:r>
    </w:p>
    <w:p>
      <w:r>
        <w:rPr>
          <w:b/>
        </w:rPr>
        <w:t>Con el orden del trabajo</w:t>
      </w:r>
    </w:p>
    <w:p>
      <w:pPr>
        <w:spacing w:after="60"/>
        <w:ind w:left="510" w:hanging="397"/>
      </w:pPr>
      <w:r>
        <w:rPr>
          <w:b w:val="0"/>
        </w:rPr>
        <w:t xml:space="preserve">1. </w:t>
      </w:r>
      <w:r>
        <w:rPr>
          <w:b/>
        </w:rPr>
        <w:t>Una cifra corregida en un sitio y vieja en otros.</w:t>
      </w:r>
      <w:r>
        <w:t xml:space="preserve"> El 3 y el 4-oct-2026, al cruzar los bloques de la obra, aparecieron cifras viejas. La solución es la que se adoptó: cada errata va a la fe de erratas (un archivo vivo con el código del párrafo, lo que decía, lo que dice la fuente y dónde se halló), la edición lleva siempre la versión buena y el archivo antiguo no se toca. </w:t>
      </w:r>
      <w:r>
        <w:rPr>
          <w:i/>
        </w:rPr>
        <w:t>Regla:</w:t>
      </w:r>
      <w:r>
        <w:t xml:space="preserve"> al corregir una cifra, se busca en toda la obra. </w:t>
      </w:r>
      <w:r>
        <w:t>[mapa cronológico, etapa 5; libreta 76, lección 6; libro de estilo §7]</w:t>
      </w:r>
    </w:p>
    <w:p>
      <w:pPr>
        <w:spacing w:after="60"/>
        <w:ind w:left="510" w:hanging="397"/>
      </w:pPr>
      <w:r>
        <w:rPr>
          <w:b w:val="0"/>
        </w:rPr>
        <w:t xml:space="preserve">2. </w:t>
      </w:r>
      <w:r>
        <w:rPr>
          <w:b/>
        </w:rPr>
        <w:t>«No entra» no es «fuera».</w:t>
      </w:r>
      <w:r>
        <w:t xml:space="preserve"> Hay dos motivos para que algo no entre, y no son lo mismo. Si no viene al caso o no aporta nada, queda fuera, y es fuera. Si le falta su fuente, el texto de lo que dice o algún dato, va a la lista de flecos, para leerlo en su fuente y completarlo, y nunca queda fuera. Hubo notas que decían «fuera» de lo que solo le faltaba la fuente, y la lista de flecos no las recogía: se habrían perdido. </w:t>
      </w:r>
      <w:r>
        <w:rPr>
          <w:i/>
        </w:rPr>
        <w:t>Regla:</w:t>
      </w:r>
      <w:r>
        <w:t xml:space="preserve"> lo que no entra por falta de fuente lleva su marca para que la lista lo recoja, y después de regenerar la lista se comprueba, código a código, que sale. Y lo que va a la lista no se resuelve uno a uno mientras se escribe, aunque cueste poco: al terminar la obra se agrupa para ver en qué fuentes convergen, y se investiga de una vez, descartando cada uno según se halla; el autor lo llama «investigación por optimización de datos». </w:t>
      </w:r>
      <w:r>
        <w:t>[Kiko, 7-oct-2026; libreta 76, lección 46]</w:t>
      </w:r>
    </w:p>
    <w:p>
      <w:r>
        <w:t xml:space="preserve">Las demás lecciones que se anotaron en el control de la obra repiten lo de arriba o son de oficio (finales de línea, programas escritos en la terminal, descargas que un sitio oficial rechaza); no entran aquí. </w:t>
      </w:r>
      <w:r>
        <w:t>[libreta 76]</w:t>
      </w:r>
    </w:p>
    <w:p>
      <w:pPr>
        <w:pStyle w:val="Heading2"/>
      </w:pPr>
      <w:r>
        <w:t>G.4 Los seis pasos con una Constitución</w:t>
      </w:r>
    </w:p>
    <w:p>
      <w:pPr>
        <w:pBdr>
          <w:left w:val="single" w:sz="24" w:space="6" w:color="E2DED6"/>
        </w:pBdr>
        <w:shd w:val="clear" w:color="auto" w:fill="F1EEE8"/>
        <w:spacing w:before="80" w:after="160"/>
        <w:ind w:left="142" w:right="142"/>
      </w:pPr>
      <w:r>
        <w:rPr>
          <w:b/>
        </w:rPr>
        <w:t>La idea: auditar una Constitución es comprobar, artículo por artículo, si lo que dice se cumple, con un hecho documentado y sin opinar.</w:t>
      </w:r>
    </w:p>
    <w:p>
      <w:pPr>
        <w:spacing w:after="60"/>
        <w:ind w:left="510" w:hanging="397"/>
      </w:pPr>
      <w:r>
        <w:rPr>
          <w:b w:val="0"/>
        </w:rPr>
        <w:t xml:space="preserve">1. </w:t>
      </w:r>
      <w:r>
        <w:rPr>
          <w:b/>
        </w:rPr>
        <w:t>Obtener el texto completo y vigente, artículo por artículo,</w:t>
      </w:r>
      <w:r>
        <w:t xml:space="preserve"> sin resúmenes ni selecciones previas: la selección previa es el primer sesgo que hay que evitar. </w:t>
      </w:r>
      <w:r>
        <w:t>[14.00-6.2]</w:t>
      </w:r>
    </w:p>
    <w:p>
      <w:pPr>
        <w:spacing w:after="60"/>
        <w:ind w:left="510" w:hanging="397"/>
      </w:pPr>
      <w:r>
        <w:rPr>
          <w:b w:val="0"/>
        </w:rPr>
        <w:t xml:space="preserve">2. </w:t>
      </w:r>
      <w:r>
        <w:rPr>
          <w:b/>
        </w:rPr>
        <w:t>Dividirlo en bloques manejables</w:t>
      </w:r>
      <w:r>
        <w:t xml:space="preserve"> (por títulos o capítulos) para no perder rigor por volumen. </w:t>
      </w:r>
      <w:r>
        <w:t>[14.00-6.3]</w:t>
      </w:r>
    </w:p>
    <w:p>
      <w:pPr>
        <w:spacing w:after="60"/>
        <w:ind w:left="510" w:hanging="397"/>
      </w:pPr>
      <w:r>
        <w:rPr>
          <w:b w:val="0"/>
        </w:rPr>
        <w:t xml:space="preserve">3. </w:t>
      </w:r>
      <w:r>
        <w:rPr>
          <w:b/>
        </w:rPr>
        <w:t>Para cada artículo, buscar con fuente primaria si hay un hecho documentado</w:t>
      </w:r>
      <w:r>
        <w:t xml:space="preserve"> que confirme su cumplimiento, su incumplimiento, o si sigue en desuso o sin desarrollo legal; nunca conformarse con una impresión general. </w:t>
      </w:r>
      <w:r>
        <w:t>[14.00-6.4]</w:t>
      </w:r>
    </w:p>
    <w:p>
      <w:pPr>
        <w:spacing w:after="60"/>
        <w:ind w:left="510" w:hanging="397"/>
      </w:pPr>
      <w:r>
        <w:rPr>
          <w:b w:val="0"/>
        </w:rPr>
        <w:t xml:space="preserve">4. </w:t>
      </w:r>
      <w:r>
        <w:rPr>
          <w:b/>
        </w:rPr>
        <w:t>Marcar un hallazgo como especialmente grave solo cuando ya existe una declaración formal externa:</w:t>
      </w:r>
      <w:r>
        <w:t xml:space="preserve"> una sentencia de un tribunal supremo o constitucional, una condena de un tribunal internacional, un informe de un organismo de control con una calificación explícita; nunca por criterio propio de quien audita. </w:t>
      </w:r>
      <w:r>
        <w:t>[14.00-6.5]</w:t>
      </w:r>
    </w:p>
    <w:p>
      <w:pPr>
        <w:spacing w:after="60"/>
        <w:ind w:left="510" w:hanging="397"/>
      </w:pPr>
      <w:r>
        <w:rPr>
          <w:b w:val="0"/>
        </w:rPr>
        <w:t xml:space="preserve">5. </w:t>
      </w:r>
      <w:r>
        <w:rPr>
          <w:b/>
        </w:rPr>
        <w:t>Verificar la cobertura completa al final:</w:t>
      </w:r>
      <w:r>
        <w:t xml:space="preserve"> comprobar, artículo por artículo, desde el primero hasta el último, que ninguno se ha quedado sin ficha. </w:t>
      </w:r>
      <w:r>
        <w:t>[14.00-6.6]</w:t>
      </w:r>
    </w:p>
    <w:p>
      <w:pPr>
        <w:spacing w:after="60"/>
        <w:ind w:left="510" w:hanging="397"/>
      </w:pPr>
      <w:r>
        <w:rPr>
          <w:b w:val="0"/>
        </w:rPr>
        <w:t xml:space="preserve">6. </w:t>
      </w:r>
      <w:r>
        <w:rPr>
          <w:b/>
        </w:rPr>
        <w:t>Reservar toda lectura de conjunto para un cierre único,</w:t>
      </w:r>
      <w:r>
        <w:t xml:space="preserve"> situado al final y declarado expresamente como interpretación, nunca mezclado con los hechos artículo por artículo. </w:t>
      </w:r>
      <w:r>
        <w:t>[14.00-6.7]</w:t>
      </w:r>
    </w:p>
    <w:p>
      <w:r>
        <w:rPr>
          <w:b/>
        </w:rPr>
        <w:t>Lo que dio en España:</w:t>
      </w:r>
      <w:r>
        <w:t xml:space="preserve"> la Constitución tiene 169 artículos y cada uno tiene su ficha; se cumplen 93, no se cumplen 69 y 7 quedan pendientes por falta de dato, y en 23 de los 69 incumplimientos ya había una declaración formal externa (</w:t>
      </w:r>
      <w:r>
        <w:t>7.1</w:t>
      </w:r>
      <w:r>
        <w:t xml:space="preserve">; </w:t>
      </w:r>
      <w:r>
        <w:t>anexo A</w:t>
      </w:r>
      <w:r>
        <w:t xml:space="preserve">). </w:t>
      </w:r>
      <w:r>
        <w:t>[7.1; 14.00-5.1, 5.2 y 7.1]</w:t>
      </w:r>
    </w:p>
    <w:p>
      <w:r>
        <w:rPr>
          <w:b/>
        </w:rPr>
        <w:t>Lectura del autor:</w:t>
      </w:r>
      <w:r>
        <w:t xml:space="preserve"> la prueba no está en una opinión, sino en la línea de tiempo. La acumulación de poder sin control deja rastro, acto a acto y en presente continuo: normas publicadas, presupuestos, sentencias, tratados firmados y su cumplimiento. Todo ha quedado registrado, y por eso cualquiera puede auditarlo. Esta obra audita España; cada pueblo puede hacer su propia auditoría repitiendo el mismo proceso, para que quienes administran lo público recuerden lo que son: los administradores de la finca, nada más y nada menos. La finca es del pueblo. Y sin venganza: la responsabilidad es personal y se mide por los actos (</w:t>
      </w:r>
      <w:r>
        <w:t>1.4</w:t>
      </w:r>
      <w:r>
        <w:t xml:space="preserve">; </w:t>
      </w:r>
      <w:r>
        <w:t>10.4</w:t>
      </w:r>
      <w:r>
        <w:t>), y lo que la obra ofrece al final no es castigo, sino rectificar y restituir (</w:t>
      </w:r>
      <w:r>
        <w:t>11.6</w:t>
      </w:r>
      <w:r>
        <w:t xml:space="preserve">). </w:t>
      </w:r>
      <w:r>
        <w:t>[14.00-6.8; 14.00-6.9; 14.00-6.10, solo en lo que ya dicen 1.4, 10.4 y 11.6]</w:t>
      </w:r>
    </w:p>
    <w:p>
      <w:pPr>
        <w:pStyle w:val="Heading2"/>
      </w:pPr>
      <w:r>
        <w:t>G.5 La tabla de fuentes para cada país</w:t>
      </w:r>
    </w:p>
    <w:p>
      <w:pPr>
        <w:pBdr>
          <w:left w:val="single" w:sz="24" w:space="6" w:color="E2DED6"/>
        </w:pBdr>
        <w:shd w:val="clear" w:color="auto" w:fill="F1EEE8"/>
        <w:spacing w:before="80" w:after="160"/>
        <w:ind w:left="142" w:right="142"/>
      </w:pPr>
      <w:r>
        <w:rPr>
          <w:b/>
        </w:rPr>
        <w:t>La idea: en otro país se buscan las mismas clases de fuente, y cambia solo dónde está cada una.</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3061"/>
        <w:gridCol w:w="3061"/>
        <w:gridCol w:w="3061"/>
      </w:tblGrid>
      <w:tr>
        <w:tc>
          <w:tcPr>
            <w:tcW w:type="dxa" w:w="3061"/>
            <w:shd w:val="clear" w:color="auto" w:fill="F1EEE8"/>
          </w:tcPr>
          <w:p>
            <w:pPr>
              <w:spacing w:after="20" w:line="264" w:lineRule="auto"/>
            </w:pPr>
            <w:r>
              <w:rPr>
                <w:b/>
              </w:rPr>
            </w:r>
            <w:r>
              <w:rPr>
                <w:rFonts w:ascii="Segoe UI" w:hAnsi="Segoe UI" w:eastAsia="Segoe UI" w:cs="Segoe UI"/>
                <w:b/>
                <w:color w:val="1F1D1A"/>
                <w:sz w:val="18"/>
              </w:rPr>
              <w:t>qué se busca</w:t>
            </w:r>
          </w:p>
        </w:tc>
        <w:tc>
          <w:tcPr>
            <w:tcW w:type="dxa" w:w="3061"/>
            <w:shd w:val="clear" w:color="auto" w:fill="F1EEE8"/>
          </w:tcPr>
          <w:p>
            <w:pPr>
              <w:spacing w:after="20" w:line="264" w:lineRule="auto"/>
            </w:pPr>
            <w:r>
              <w:rPr>
                <w:b/>
              </w:rPr>
            </w:r>
            <w:r>
              <w:rPr>
                <w:rFonts w:ascii="Segoe UI" w:hAnsi="Segoe UI" w:eastAsia="Segoe UI" w:cs="Segoe UI"/>
                <w:b/>
                <w:color w:val="1F1D1A"/>
                <w:sz w:val="18"/>
              </w:rPr>
              <w:t>en España, para esta obra</w:t>
            </w:r>
          </w:p>
        </w:tc>
        <w:tc>
          <w:tcPr>
            <w:tcW w:type="dxa" w:w="3061"/>
            <w:shd w:val="clear" w:color="auto" w:fill="F1EEE8"/>
          </w:tcPr>
          <w:p>
            <w:pPr>
              <w:spacing w:after="20" w:line="264" w:lineRule="auto"/>
            </w:pPr>
            <w:r>
              <w:rPr>
                <w:b/>
              </w:rPr>
            </w:r>
            <w:r>
              <w:rPr>
                <w:rFonts w:ascii="Segoe UI" w:hAnsi="Segoe UI" w:eastAsia="Segoe UI" w:cs="Segoe UI"/>
                <w:b/>
                <w:color w:val="1F1D1A"/>
                <w:sz w:val="18"/>
              </w:rPr>
              <w:t>en otro país, buscar</w:t>
            </w:r>
          </w:p>
        </w:tc>
      </w:tr>
      <w:tr>
        <w:tc>
          <w:tcPr>
            <w:tcW w:type="dxa" w:w="3061"/>
          </w:tcPr>
          <w:p>
            <w:pPr>
              <w:spacing w:after="20" w:line="264" w:lineRule="auto"/>
            </w:pPr>
            <w:r/>
            <w:r>
              <w:rPr>
                <w:rFonts w:ascii="Segoe UI" w:hAnsi="Segoe UI" w:eastAsia="Segoe UI" w:cs="Segoe UI"/>
                <w:color w:val="1F1D1A"/>
                <w:sz w:val="18"/>
              </w:rPr>
              <w:t>El texto de la constitución y de las leyes, vigente</w:t>
            </w:r>
          </w:p>
        </w:tc>
        <w:tc>
          <w:tcPr>
            <w:tcW w:type="dxa" w:w="3061"/>
          </w:tcPr>
          <w:p>
            <w:pPr>
              <w:spacing w:after="20" w:line="264" w:lineRule="auto"/>
            </w:pPr>
            <w:r/>
            <w:r>
              <w:rPr>
                <w:rFonts w:ascii="Segoe UI" w:hAnsi="Segoe UI" w:eastAsia="Segoe UI" w:cs="Segoe UI"/>
                <w:color w:val="1F1D1A"/>
                <w:sz w:val="18"/>
              </w:rPr>
              <w:t>el BOE (texto consolidado)</w:t>
            </w:r>
          </w:p>
        </w:tc>
        <w:tc>
          <w:tcPr>
            <w:tcW w:type="dxa" w:w="3061"/>
          </w:tcPr>
          <w:p>
            <w:pPr>
              <w:spacing w:after="20" w:line="264" w:lineRule="auto"/>
            </w:pPr>
            <w:r/>
            <w:r>
              <w:rPr>
                <w:rFonts w:ascii="Segoe UI" w:hAnsi="Segoe UI" w:eastAsia="Segoe UI" w:cs="Segoe UI"/>
                <w:color w:val="1F1D1A"/>
                <w:sz w:val="18"/>
              </w:rPr>
              <w:t>el boletín oficial de ese país, o el sitio oficial de su parlamento</w:t>
            </w:r>
          </w:p>
        </w:tc>
      </w:tr>
      <w:tr>
        <w:tc>
          <w:tcPr>
            <w:tcW w:type="dxa" w:w="3061"/>
          </w:tcPr>
          <w:p>
            <w:pPr>
              <w:spacing w:after="20" w:line="264" w:lineRule="auto"/>
            </w:pPr>
            <w:r/>
            <w:r>
              <w:rPr>
                <w:rFonts w:ascii="Segoe UI" w:hAnsi="Segoe UI" w:eastAsia="Segoe UI" w:cs="Segoe UI"/>
                <w:color w:val="1F1D1A"/>
                <w:sz w:val="18"/>
              </w:rPr>
              <w:t>Las sentencias</w:t>
            </w:r>
          </w:p>
        </w:tc>
        <w:tc>
          <w:tcPr>
            <w:tcW w:type="dxa" w:w="3061"/>
          </w:tcPr>
          <w:p>
            <w:pPr>
              <w:spacing w:after="20" w:line="264" w:lineRule="auto"/>
            </w:pPr>
            <w:r/>
            <w:r>
              <w:rPr>
                <w:rFonts w:ascii="Segoe UI" w:hAnsi="Segoe UI" w:eastAsia="Segoe UI" w:cs="Segoe UI"/>
                <w:color w:val="1F1D1A"/>
                <w:sz w:val="18"/>
              </w:rPr>
              <w:t>el Tribunal Constitucional (su buscador de jurisprudencia), el Tribunal Supremo (CENDOJ), el Tribunal de Justicia de la UE (EUR-Lex) y el Tribunal Europeo de Derechos Humanos (HUDOC)</w:t>
            </w:r>
          </w:p>
        </w:tc>
        <w:tc>
          <w:tcPr>
            <w:tcW w:type="dxa" w:w="3061"/>
          </w:tcPr>
          <w:p>
            <w:pPr>
              <w:spacing w:after="20" w:line="264" w:lineRule="auto"/>
            </w:pPr>
            <w:r/>
            <w:r>
              <w:rPr>
                <w:rFonts w:ascii="Segoe UI" w:hAnsi="Segoe UI" w:eastAsia="Segoe UI" w:cs="Segoe UI"/>
                <w:color w:val="1F1D1A"/>
                <w:sz w:val="18"/>
              </w:rPr>
              <w:t>su tribunal constitucional o supremo, y los tribunales internacionales a los que su país esté sujeto</w:t>
            </w:r>
          </w:p>
        </w:tc>
      </w:tr>
      <w:tr>
        <w:tc>
          <w:tcPr>
            <w:tcW w:type="dxa" w:w="3061"/>
          </w:tcPr>
          <w:p>
            <w:pPr>
              <w:spacing w:after="20" w:line="264" w:lineRule="auto"/>
            </w:pPr>
            <w:r/>
            <w:r>
              <w:rPr>
                <w:rFonts w:ascii="Segoe UI" w:hAnsi="Segoe UI" w:eastAsia="Segoe UI" w:cs="Segoe UI"/>
                <w:color w:val="1F1D1A"/>
                <w:sz w:val="18"/>
              </w:rPr>
              <w:t>Las cuentas y el gasto</w:t>
            </w:r>
          </w:p>
        </w:tc>
        <w:tc>
          <w:tcPr>
            <w:tcW w:type="dxa" w:w="3061"/>
          </w:tcPr>
          <w:p>
            <w:pPr>
              <w:spacing w:after="20" w:line="264" w:lineRule="auto"/>
            </w:pPr>
            <w:r/>
            <w:r>
              <w:rPr>
                <w:rFonts w:ascii="Segoe UI" w:hAnsi="Segoe UI" w:eastAsia="Segoe UI" w:cs="Segoe UI"/>
                <w:color w:val="1F1D1A"/>
                <w:sz w:val="18"/>
              </w:rPr>
              <w:t>el Tribunal de Cuentas, los presupuestos, la AIReF</w:t>
            </w:r>
          </w:p>
        </w:tc>
        <w:tc>
          <w:tcPr>
            <w:tcW w:type="dxa" w:w="3061"/>
          </w:tcPr>
          <w:p>
            <w:pPr>
              <w:spacing w:after="20" w:line="264" w:lineRule="auto"/>
            </w:pPr>
            <w:r/>
            <w:r>
              <w:rPr>
                <w:rFonts w:ascii="Segoe UI" w:hAnsi="Segoe UI" w:eastAsia="Segoe UI" w:cs="Segoe UI"/>
                <w:color w:val="1F1D1A"/>
                <w:sz w:val="18"/>
              </w:rPr>
              <w:t>su tribunal de cuentas o la entidad que fiscalice sus cuentas públicas</w:t>
            </w:r>
          </w:p>
        </w:tc>
      </w:tr>
      <w:tr>
        <w:tc>
          <w:tcPr>
            <w:tcW w:type="dxa" w:w="3061"/>
          </w:tcPr>
          <w:p>
            <w:pPr>
              <w:spacing w:after="20" w:line="264" w:lineRule="auto"/>
            </w:pPr>
            <w:r/>
            <w:r>
              <w:rPr>
                <w:rFonts w:ascii="Segoe UI" w:hAnsi="Segoe UI" w:eastAsia="Segoe UI" w:cs="Segoe UI"/>
                <w:color w:val="1F1D1A"/>
                <w:sz w:val="18"/>
              </w:rPr>
              <w:t>Las estadísticas</w:t>
            </w:r>
          </w:p>
        </w:tc>
        <w:tc>
          <w:tcPr>
            <w:tcW w:type="dxa" w:w="3061"/>
          </w:tcPr>
          <w:p>
            <w:pPr>
              <w:spacing w:after="20" w:line="264" w:lineRule="auto"/>
            </w:pPr>
            <w:r/>
            <w:r>
              <w:rPr>
                <w:rFonts w:ascii="Segoe UI" w:hAnsi="Segoe UI" w:eastAsia="Segoe UI" w:cs="Segoe UI"/>
                <w:color w:val="1F1D1A"/>
                <w:sz w:val="18"/>
              </w:rPr>
              <w:t>el INE, el Banco de España, Eurostat, la Agencia Tributaria</w:t>
            </w:r>
          </w:p>
        </w:tc>
        <w:tc>
          <w:tcPr>
            <w:tcW w:type="dxa" w:w="3061"/>
          </w:tcPr>
          <w:p>
            <w:pPr>
              <w:spacing w:after="20" w:line="264" w:lineRule="auto"/>
            </w:pPr>
            <w:r/>
            <w:r>
              <w:rPr>
                <w:rFonts w:ascii="Segoe UI" w:hAnsi="Segoe UI" w:eastAsia="Segoe UI" w:cs="Segoe UI"/>
                <w:color w:val="1F1D1A"/>
                <w:sz w:val="18"/>
              </w:rPr>
              <w:t>su oficina nacional de estadística, su banco central y su agencia tributaria</w:t>
            </w:r>
          </w:p>
        </w:tc>
      </w:tr>
      <w:tr>
        <w:tc>
          <w:tcPr>
            <w:tcW w:type="dxa" w:w="3061"/>
          </w:tcPr>
          <w:p>
            <w:pPr>
              <w:spacing w:after="20" w:line="264" w:lineRule="auto"/>
            </w:pPr>
            <w:r/>
            <w:r>
              <w:rPr>
                <w:rFonts w:ascii="Segoe UI" w:hAnsi="Segoe UI" w:eastAsia="Segoe UI" w:cs="Segoe UI"/>
                <w:color w:val="1F1D1A"/>
                <w:sz w:val="18"/>
              </w:rPr>
              <w:t>Las declaraciones formales externas</w:t>
            </w:r>
          </w:p>
        </w:tc>
        <w:tc>
          <w:tcPr>
            <w:tcW w:type="dxa" w:w="3061"/>
          </w:tcPr>
          <w:p>
            <w:pPr>
              <w:spacing w:after="20" w:line="264" w:lineRule="auto"/>
            </w:pPr>
            <w:r/>
            <w:r>
              <w:rPr>
                <w:rFonts w:ascii="Segoe UI" w:hAnsi="Segoe UI" w:eastAsia="Segoe UI" w:cs="Segoe UI"/>
                <w:color w:val="1F1D1A"/>
                <w:sz w:val="18"/>
              </w:rPr>
              <w:t>sentencias, condenas de tribunales internacionales e informes de organismos como el GRECO</w:t>
            </w:r>
          </w:p>
        </w:tc>
        <w:tc>
          <w:tcPr>
            <w:tcW w:type="dxa" w:w="3061"/>
          </w:tcPr>
          <w:p>
            <w:pPr>
              <w:spacing w:after="20" w:line="264" w:lineRule="auto"/>
            </w:pPr>
            <w:r/>
            <w:r>
              <w:rPr>
                <w:rFonts w:ascii="Segoe UI" w:hAnsi="Segoe UI" w:eastAsia="Segoe UI" w:cs="Segoe UI"/>
                <w:color w:val="1F1D1A"/>
                <w:sz w:val="18"/>
              </w:rPr>
              <w:t>los organismos de control internacionales de los que su país sea parte</w:t>
            </w:r>
          </w:p>
        </w:tc>
      </w:tr>
      <w:tr>
        <w:tc>
          <w:tcPr>
            <w:tcW w:type="dxa" w:w="3061"/>
          </w:tcPr>
          <w:p>
            <w:pPr>
              <w:spacing w:after="20" w:line="264" w:lineRule="auto"/>
            </w:pPr>
            <w:r/>
            <w:r>
              <w:rPr>
                <w:rFonts w:ascii="Segoe UI" w:hAnsi="Segoe UI" w:eastAsia="Segoe UI" w:cs="Segoe UI"/>
                <w:color w:val="1F1D1A"/>
                <w:sz w:val="18"/>
              </w:rPr>
              <w:t>Las palabras</w:t>
            </w:r>
          </w:p>
        </w:tc>
        <w:tc>
          <w:tcPr>
            <w:tcW w:type="dxa" w:w="3061"/>
          </w:tcPr>
          <w:p>
            <w:pPr>
              <w:spacing w:after="20" w:line="264" w:lineRule="auto"/>
            </w:pPr>
            <w:r/>
            <w:r>
              <w:rPr>
                <w:rFonts w:ascii="Segoe UI" w:hAnsi="Segoe UI" w:eastAsia="Segoe UI" w:cs="Segoe UI"/>
                <w:color w:val="1F1D1A"/>
                <w:sz w:val="18"/>
              </w:rPr>
              <w:t>el Diccionario de la lengua española y el Diccionario panhispánico del español jurídico</w:t>
            </w:r>
          </w:p>
        </w:tc>
        <w:tc>
          <w:tcPr>
            <w:tcW w:type="dxa" w:w="3061"/>
          </w:tcPr>
          <w:p>
            <w:pPr>
              <w:spacing w:after="20" w:line="264" w:lineRule="auto"/>
            </w:pPr>
            <w:r/>
            <w:r>
              <w:rPr>
                <w:rFonts w:ascii="Segoe UI" w:hAnsi="Segoe UI" w:eastAsia="Segoe UI" w:cs="Segoe UI"/>
                <w:color w:val="1F1D1A"/>
                <w:sz w:val="18"/>
              </w:rPr>
              <w:t>el diccionario de su lengua y el jurídico</w:t>
            </w:r>
          </w:p>
        </w:tc>
      </w:tr>
      <w:tr>
        <w:tc>
          <w:tcPr>
            <w:tcW w:type="dxa" w:w="3061"/>
          </w:tcPr>
          <w:p>
            <w:pPr>
              <w:spacing w:after="20" w:line="264" w:lineRule="auto"/>
            </w:pPr>
            <w:r/>
            <w:r>
              <w:rPr>
                <w:rFonts w:ascii="Segoe UI" w:hAnsi="Segoe UI" w:eastAsia="Segoe UI" w:cs="Segoe UI"/>
                <w:color w:val="1F1D1A"/>
                <w:sz w:val="18"/>
              </w:rPr>
              <w:t>Los textos de las tradiciones</w:t>
            </w:r>
          </w:p>
        </w:tc>
        <w:tc>
          <w:tcPr>
            <w:tcW w:type="dxa" w:w="3061"/>
          </w:tcPr>
          <w:p>
            <w:pPr>
              <w:spacing w:after="20" w:line="264" w:lineRule="auto"/>
            </w:pPr>
            <w:r/>
            <w:r>
              <w:rPr>
                <w:rFonts w:ascii="Segoe UI" w:hAnsi="Segoe UI" w:eastAsia="Segoe UI" w:cs="Segoe UI"/>
                <w:color w:val="1F1D1A"/>
                <w:sz w:val="18"/>
              </w:rPr>
              <w:t>los originales o una traducción reconocida (</w:t>
            </w:r>
            <w:r>
              <w:rPr>
                <w:rFonts w:ascii="Segoe UI" w:hAnsi="Segoe UI" w:eastAsia="Segoe UI" w:cs="Segoe UI"/>
                <w:color w:val="1F1D1A"/>
                <w:sz w:val="18"/>
              </w:rPr>
              <w:t>anexo F</w:t>
            </w:r>
            <w:r>
              <w:rPr>
                <w:rFonts w:ascii="Segoe UI" w:hAnsi="Segoe UI" w:eastAsia="Segoe UI" w:cs="Segoe UI"/>
                <w:color w:val="1F1D1A"/>
                <w:sz w:val="18"/>
              </w:rPr>
              <w:t>)</w:t>
            </w:r>
          </w:p>
        </w:tc>
        <w:tc>
          <w:tcPr>
            <w:tcW w:type="dxa" w:w="3061"/>
          </w:tcPr>
          <w:p>
            <w:pPr>
              <w:spacing w:after="20" w:line="264" w:lineRule="auto"/>
            </w:pPr>
            <w:r/>
            <w:r>
              <w:rPr>
                <w:rFonts w:ascii="Segoe UI" w:hAnsi="Segoe UI" w:eastAsia="Segoe UI" w:cs="Segoe UI"/>
                <w:color w:val="1F1D1A"/>
                <w:sz w:val="18"/>
              </w:rPr>
              <w:t>los mismos: no dependen del país</w:t>
            </w:r>
          </w:p>
        </w:tc>
      </w:tr>
    </w:tbl>
    <w:p>
      <w:pPr>
        <w:spacing w:after="80"/>
      </w:pPr>
    </w:p>
    <w:p>
      <w:r>
        <w:t>[libreta 76, sección 4 (tabla de fuentes para adaptar a cada país); 10 FUENTES LEIDAS, índices de los lotes]</w:t>
      </w:r>
    </w:p>
    <w:p>
      <w:r>
        <w:rPr>
          <w:b/>
        </w:rPr>
        <w:t>Las llaves de cada sitio</w:t>
      </w:r>
      <w:r>
        <w:t xml:space="preserve"> (comprobadas el 6-oct-2026; pueden cambiar): el BOE tiene un buscador de datos abiertos que da la dirección exacta de cada norma; el CENDOJ busca también en el texto completo de todas las sentencias; HUDOC da las fichas, y el texto solo en la lengua en que se dictó; EUR-Lex no deja bajar el documento fuera de un navegador. </w:t>
      </w:r>
      <w:r>
        <w:rPr>
          <w:i/>
        </w:rPr>
        <w:t>Regla:</w:t>
      </w:r>
      <w:r>
        <w:t xml:space="preserve"> antes de adivinar una dirección, preguntar al buscador oficial. </w:t>
      </w:r>
      <w:r>
        <w:t>[libreta 76, lecciones 21 y 24]</w:t>
      </w:r>
    </w:p>
    <w:p>
      <w:r>
        <w:t>No se ponen ejemplos de fuentes de otros países, porque esta obra no los ha leído. Quien quiera ayudar a completar la tabla para su país, con sus fuentes y su fecha, es bienvenido.</w:t>
      </w:r>
    </w:p>
    <w:p>
      <w:pPr>
        <w:pStyle w:val="Heading2"/>
      </w:pPr>
      <w:r>
        <w:t>G.6 Lo que el método cazó</w:t>
      </w:r>
    </w:p>
    <w:p>
      <w:pPr>
        <w:pBdr>
          <w:left w:val="single" w:sz="24" w:space="6" w:color="E2DED6"/>
        </w:pBdr>
        <w:shd w:val="clear" w:color="auto" w:fill="F1EEE8"/>
        <w:spacing w:before="80" w:after="160"/>
        <w:ind w:left="142" w:right="142"/>
      </w:pPr>
      <w:r>
        <w:rPr>
          <w:b/>
        </w:rPr>
        <w:t>La idea: cuatro citas que circulaban mal se corrigieron comprobando el original.</w:t>
      </w:r>
    </w:p>
    <w:p>
      <w:r>
        <w:rPr>
          <w:b/>
        </w:rPr>
        <w:t>Crisipo (Digesto 1, 3, 2).</w:t>
      </w:r>
      <w:r>
        <w:t xml:space="preserve"> Circula como texto del Digesto la fórmula «lex est… recta ratio, tota ex mente divina profecta». No es el texto de Digesto 1, 3, 2: ni «recta ratio» ni «mente divina» aparecen en el libro 1 del Digesto, y la fórmula exacta tampoco está en </w:t>
      </w:r>
      <w:r>
        <w:rPr>
          <w:i/>
        </w:rPr>
        <w:t>De legibus</w:t>
      </w:r>
      <w:r>
        <w:t xml:space="preserve"> I ni II de Cicerón; lo más parecido es </w:t>
      </w:r>
      <w:r>
        <w:rPr>
          <w:i/>
        </w:rPr>
        <w:t>De legibus</w:t>
      </w:r>
      <w:r>
        <w:t xml:space="preserve"> II, 10 («la ley verdadera y primera […] es la recta razón del sumo Júpiter») y I, 33. Lo que sí dice Digesto 1, 3, 2 es que Crisipo empieza así su libro sobre la ley: «la ley es reina de todas las cosas divinas y humanas», en griego</w:t>
      </w:r>
      <w:r>
        <w:t xml:space="preserve"> [original: «ho nomos pantwn esti basileus veiwn te kai anvrwpinwn pragmatwn» (transcripción de la Universidad de Grenoble)]</w:t>
      </w:r>
      <w:r>
        <w:t xml:space="preserve"> (Digesto 1, 3, 2, Marciano; Cicerón, </w:t>
      </w:r>
      <w:r>
        <w:rPr>
          <w:i/>
        </w:rPr>
        <w:t>De legibus</w:t>
      </w:r>
      <w:r>
        <w:t xml:space="preserve"> I, 33 y II, 10)</w:t>
      </w:r>
      <w:r>
        <w:t xml:space="preserve">. </w:t>
      </w:r>
      <w:r>
        <w:t>[01.00-7.1; c9g, índice, entradas 60 a 62]</w:t>
      </w:r>
    </w:p>
    <w:p>
      <w:r>
        <w:rPr>
          <w:b/>
        </w:rPr>
        <w:t>Ulpiano (Digesto 1, 1, 1).</w:t>
      </w:r>
      <w:r>
        <w:t xml:space="preserve"> Se atribuye a Ulpiano «Est enim unum ius, quo devincta est hominum societas…», pero es de Cicerón: «Hay, en efecto, un solo derecho, que mantiene unida la sociedad humana y que estableció una sola ley, que es la recta razón al mandar y al prohibir»</w:t>
      </w:r>
      <w:r>
        <w:t xml:space="preserve"> [original: «Est enim unum ius quo deuincta est hominum societas et quod lex constituit una, quae lex est recta ratio imperandi atque prohibendi»]</w:t>
      </w:r>
      <w:r>
        <w:t xml:space="preserve"> (Cicerón, </w:t>
      </w:r>
      <w:r>
        <w:rPr>
          <w:i/>
        </w:rPr>
        <w:t>De legibus</w:t>
      </w:r>
      <w:r>
        <w:t xml:space="preserve"> I, 42)</w:t>
      </w:r>
      <w:r>
        <w:br/>
      </w:r>
      <w:r>
        <w:rPr>
          <w:b/>
        </w:rPr>
        <w:t>leída en su fuente · Cicerón, *De legibus* I, 42</w:t>
      </w:r>
      <w:r>
        <w:br/>
      </w:r>
      <w:r>
        <w:rPr>
          <w:b/>
        </w:rPr>
        <w:t>Archivo leído:</w:t>
      </w:r>
      <w:r>
        <w:t xml:space="preserve"> ciceron_de_legibus_I_thelatinlibrary.html (c9g\ciceron_de_legibus_I_thelatinlibrary.html) · contraste del archivo de pasajes: ✔</w:t>
      </w:r>
      <w:r>
        <w:br/>
      </w:r>
      <w:r>
        <w:rPr>
          <w:b/>
        </w:rPr>
        <w:t>Lugar:</w:t>
      </w:r>
      <w:r>
        <w:t xml:space="preserve"> I, 42</w:t>
      </w:r>
      <w:r>
        <w:br/>
      </w:r>
      <w:r>
        <w:rPr>
          <w:b/>
        </w:rPr>
        <w:t>Dirección:</w:t>
      </w:r>
      <w:r>
        <w:t xml:space="preserve"> </w:t>
      </w:r>
      <w:r>
        <w:t>https://www.thelatinlibrary.com/cicero/leg1.shtml</w:t>
      </w:r>
      <w:r>
        <w:br/>
      </w:r>
      <w:r>
        <w:rPr>
          <w:b/>
        </w:rPr>
        <w:t>Tal como está en la fuente:</w:t>
      </w:r>
      <w:r>
        <w:t xml:space="preserve"> Est enim unum ius quo deuincta est hominum societas et quod lex constituit una, quae lex est recta ratio imperandi atque prohibendi.</w:t>
      </w:r>
      <w:r>
        <w:br/>
      </w:r>
      <w:r>
        <w:rPr>
          <w:b/>
        </w:rPr>
        <w:t>Traducción guardada:</w:t>
      </w:r>
      <w:r>
        <w:t xml:space="preserve"> Hay, en efecto, un solo derecho, que mantiene unida la sociedad humana y que estableció una sola ley, que es la recta razón al mandar y al prohibir.</w:t>
      </w:r>
      <w:r>
        <w:t>. Lo que Ulpiano dice de verdad es otra cosa: «derecho natural es el que la naturaleza enseñó a todos los animales, pues este derecho no es propio del género humano, sino común a todos los animales que nacen en la tierra y en el mar, y también a las aves»</w:t>
      </w:r>
      <w:r>
        <w:t xml:space="preserve"> [original: «Ius naturale est, quod natura omnia animalia docuit: nam ius istud non humani generis proprium, sed omnium animalium, quae in terra, quae in mari nascuntur, avium quoque commune est»]</w:t>
      </w:r>
      <w:r>
        <w:t xml:space="preserve"> (Digesto 1, 1, 1, 3, Ulpiano)</w:t>
      </w:r>
      <w:r>
        <w:br/>
      </w:r>
      <w:r>
        <w:rPr>
          <w:b/>
        </w:rPr>
        <w:t>leída en su fuente · Digesto 1, 1, 1, 3, Ulpiano</w:t>
      </w:r>
      <w:r>
        <w:br/>
      </w:r>
      <w:r>
        <w:rPr>
          <w:b/>
        </w:rPr>
        <w:t>Archivo leído:</w:t>
      </w:r>
      <w:r>
        <w:t xml:space="preserve"> 12.00_Digesto_libro_1_droitromain_Grenoble.html (c6\12.00_Digesto_libro_1_droitromain_Grenoble.html) · contraste del archivo de pasajes: ✔</w:t>
      </w:r>
      <w:r>
        <w:br/>
      </w:r>
      <w:r>
        <w:rPr>
          <w:b/>
        </w:rPr>
        <w:t>Lugar:</w:t>
      </w:r>
      <w:r>
        <w:t xml:space="preserve"> D. 1.1.1.3</w:t>
      </w:r>
      <w:r>
        <w:br/>
      </w:r>
      <w:r>
        <w:rPr>
          <w:b/>
        </w:rPr>
        <w:t>Dirección:</w:t>
      </w:r>
      <w:r>
        <w:t xml:space="preserve"> </w:t>
      </w:r>
      <w:r>
        <w:t>https://droitromain.univ-grenoble-alpes.fr/Corpus/d-01.htm</w:t>
      </w:r>
      <w:r>
        <w:br/>
      </w:r>
      <w:r>
        <w:rPr>
          <w:b/>
        </w:rPr>
        <w:t>Tal como está en la fuente:</w:t>
      </w:r>
      <w:r>
        <w:t xml:space="preserve"> Ius naturale est, quod natura omnia animalia docuit: nam ius istud non humani generis proprium, sed omnium animalium, quae in terra, quae in mari nascuntur, avium quoque commune est.</w:t>
      </w:r>
      <w:r>
        <w:br/>
      </w:r>
      <w:r>
        <w:rPr>
          <w:b/>
        </w:rPr>
        <w:t>Traducción guardada:</w:t>
      </w:r>
      <w:r>
        <w:t xml:space="preserve"> Derecho natural es el que la naturaleza enseñó a todos los animales, pues este derecho no es propio del género humano, sino común a todos los animales que nacen en la tierra y en el mar, y también a las aves.</w:t>
      </w:r>
      <w:r>
        <w:t xml:space="preserve">. Su derecho natural incluye el instinto compartido con los animales, no solo la razón moral humana: un matiz que lo distingue del concepto de la ley natural de Cicerón y de Aquino. </w:t>
      </w:r>
      <w:r>
        <w:t>[01.00-7.2; c9g, índice, entradas 63 y 65]</w:t>
      </w:r>
    </w:p>
    <w:p>
      <w:r>
        <w:rPr>
          <w:b/>
        </w:rPr>
        <w:t>Bentham («la mayor felicidad del mayor número»).</w:t>
      </w:r>
      <w:r>
        <w:t xml:space="preserve"> La frase no aparece en ningún punto de </w:t>
      </w:r>
      <w:r>
        <w:rPr>
          <w:i/>
        </w:rPr>
        <w:t>Introducción a los principios de la moral y la legislación</w:t>
      </w:r>
      <w:r>
        <w:t xml:space="preserve"> (1789): lo dice el estudio de J. H. Burns</w:t>
      </w:r>
      <w:r>
        <w:t xml:space="preserve"> (J. H. Burns, «Happiness and Utility: Jeremy Bentham's Equation» (Felicidad y utilidad: la ecuación de Jeremy Bentham), </w:t>
      </w:r>
      <w:r>
        <w:rPr>
          <w:i/>
        </w:rPr>
        <w:t>Utilitas</w:t>
      </w:r>
      <w:r>
        <w:t xml:space="preserve"> 17 (</w:t>
      </w:r>
      <w:r>
        <w:t>1</w:t>
      </w:r>
      <w:r>
        <w:t>), marzo de 2005, pp. 46-61; fuente secundaria)</w:t>
      </w:r>
      <w:r>
        <w:t xml:space="preserve"> y se comprobó en el texto de 1789. Está en el prefacio de </w:t>
      </w:r>
      <w:r>
        <w:rPr>
          <w:i/>
        </w:rPr>
        <w:t>A Fragment on Government</w:t>
      </w:r>
      <w:r>
        <w:t xml:space="preserve"> (1776): «la mayor felicidad del mayor número es la medida de lo justo y de lo injusto»</w:t>
      </w:r>
      <w:r>
        <w:t xml:space="preserve"> [original: «it is the greatest happiness of the greatest number that is the measure of right and wrong»]</w:t>
      </w:r>
      <w:r>
        <w:t xml:space="preserve"> (Bentham, </w:t>
      </w:r>
      <w:r>
        <w:rPr>
          <w:i/>
        </w:rPr>
        <w:t>A Fragment on Government</w:t>
      </w:r>
      <w:r>
        <w:t>, 1776, prefacio)</w:t>
      </w:r>
      <w:r>
        <w:br/>
      </w:r>
      <w:r>
        <w:rPr>
          <w:b/>
        </w:rPr>
        <w:t>leída en su fuente · Bentham, *A Fragment on Government*, 1776, prefacio</w:t>
      </w:r>
      <w:r>
        <w:br/>
      </w:r>
      <w:r>
        <w:rPr>
          <w:b/>
        </w:rPr>
        <w:t>Archivo leído:</w:t>
      </w:r>
      <w:r>
        <w:t xml:space="preserve"> burns_2005_happiness_and_utility_utilitarianism_com.pdf (c9g\burns_2005_happiness_and_utility_utilitarianism_com.pdf) · contraste del archivo de pasajes: ✔</w:t>
      </w:r>
      <w:r>
        <w:br/>
      </w:r>
      <w:r>
        <w:rPr>
          <w:b/>
        </w:rPr>
        <w:t>Lugar:</w:t>
      </w:r>
      <w:r>
        <w:t xml:space="preserve"> Bentham, *A Fragment on Government*, 1776, prefacio</w:t>
      </w:r>
      <w:r>
        <w:br/>
      </w:r>
      <w:r>
        <w:rPr>
          <w:b/>
        </w:rPr>
        <w:t>Tal como está en la fuente:</w:t>
      </w:r>
      <w:r>
        <w:t xml:space="preserve"> it is the greatest happiness of the greatest number that is the measure of right and wrong</w:t>
      </w:r>
      <w:r>
        <w:t>. Burns añade que la frase no reaparece en sus obras publicadas durante más de cuarenta años, aunque en algunas publicaciones intermedias aparecen frases muy próximas (según una propuesta de Shackleton, de 1972). Lo que sí abre el texto de 1789 es otra frase: «la naturaleza ha puesto a la humanidad bajo el gobierno de dos amos soberanos, el dolor y el placer»</w:t>
      </w:r>
      <w:r>
        <w:t xml:space="preserve"> [original: «Nature has placed mankind under the governance of two sovereign masters, pain and pleasure»]</w:t>
      </w:r>
      <w:r>
        <w:t xml:space="preserve"> (Bentham, </w:t>
      </w:r>
      <w:r>
        <w:rPr>
          <w:i/>
        </w:rPr>
        <w:t>Introduction to the Principles of Morals and Legislation</w:t>
      </w:r>
      <w:r>
        <w:t>, 1789, cap. I)</w:t>
      </w:r>
      <w:r>
        <w:br/>
      </w:r>
      <w:r>
        <w:rPr>
          <w:b/>
        </w:rPr>
        <w:t>leída en su fuente · Bentham, *Introduction to the Principles of Morals and Legislation*, 1789, cap. I</w:t>
      </w:r>
      <w:r>
        <w:br/>
      </w:r>
      <w:r>
        <w:rPr>
          <w:b/>
        </w:rPr>
        <w:t>Archivo leído:</w:t>
      </w:r>
      <w:r>
        <w:t xml:space="preserve"> burns_2005_happiness_and_utility_utilitarianism_com.txt · contraste del archivo de pasajes: sin archivo</w:t>
      </w:r>
      <w:r>
        <w:br/>
      </w:r>
      <w:r>
        <w:rPr>
          <w:b/>
        </w:rPr>
        <w:t>Lugar:</w:t>
      </w:r>
      <w:r>
        <w:t xml:space="preserve"> 10 FUENTES LEIDAS/c9g (índice, entrada 58)</w:t>
      </w:r>
      <w:r>
        <w:br/>
      </w:r>
      <w:r>
        <w:rPr>
          <w:b/>
        </w:rPr>
        <w:t>Tal como está en la fuente:</w:t>
      </w:r>
      <w:r>
        <w:t xml:space="preserve"> la naturaleza ha puesto a la humanidad bajo el gobierno de dos amos soberanos, el dolor y el placer.</w:t>
      </w:r>
      <w:r>
        <w:t xml:space="preserve">. </w:t>
      </w:r>
      <w:r>
        <w:t>[01.00-15.1; 01.00-15.2; c9g, índice, entradas 54 a 58]</w:t>
      </w:r>
    </w:p>
    <w:p>
      <w:r>
        <w:rPr>
          <w:b/>
        </w:rPr>
        <w:t>«Sine causa nulla obligatio» (Celso).</w:t>
      </w:r>
      <w:r>
        <w:t xml:space="preserve"> Un informe de partida daba como máxima romana «sine causa nulla obligatio». La máxima romana que está comprobada es la de Celso: «no hay obligación alguna de cosas imposibles»</w:t>
      </w:r>
      <w:r>
        <w:t xml:space="preserve"> [original: «Inpossibilium nulla obligatio est»]</w:t>
      </w:r>
      <w:r>
        <w:t xml:space="preserve"> (Digesto 50, 17, 185, Celso, libro octavo)</w:t>
      </w:r>
      <w:r>
        <w:br/>
      </w:r>
      <w:r>
        <w:rPr>
          <w:b/>
        </w:rPr>
        <w:t>leída en su fuente · Digesto 50, 17, 185, Celso, libro octavo</w:t>
      </w:r>
      <w:r>
        <w:br/>
      </w:r>
      <w:r>
        <w:rPr>
          <w:b/>
        </w:rPr>
        <w:t>Archivo leído:</w:t>
      </w:r>
      <w:r>
        <w:t xml:space="preserve"> 8.5_04a_Digesto_libro_50_Grenoble.html (c5_grandes\diccionariodelal0000unse_q9u2.txt) · contraste del archivo de pasajes: parcial</w:t>
      </w:r>
      <w:r>
        <w:br/>
      </w:r>
      <w:r>
        <w:rPr>
          <w:b/>
        </w:rPr>
        <w:t>Lugar:</w:t>
      </w:r>
      <w:r>
        <w:t xml:space="preserve"> DPEJ</w:t>
      </w:r>
      <w:r>
        <w:br/>
      </w:r>
      <w:r>
        <w:rPr>
          <w:b/>
        </w:rPr>
        <w:t>Dirección:</w:t>
      </w:r>
      <w:r>
        <w:t xml:space="preserve"> </w:t>
      </w:r>
      <w:r>
        <w:t>https://dpej.rae.es/lema/impossibilium-nulla-obligatio-est</w:t>
      </w:r>
      <w:r>
        <w:t xml:space="preserve"> ; </w:t>
      </w:r>
      <w:r>
        <w:t>https://droitromain.univ-grenoble-alpes.fr/Corpus/d-50.htm</w:t>
      </w:r>
      <w:r>
        <w:br/>
      </w:r>
      <w:r>
        <w:rPr>
          <w:b/>
        </w:rPr>
        <w:t>Tal como está en la fuente:</w:t>
      </w:r>
      <w:r>
        <w:t xml:space="preserve"> No hay obligación alguna de cosas imposibles</w:t>
      </w:r>
      <w:r>
        <w:t>. Es el lema que recoge el Diccionario panhispánico del español jurídico, que añade que se lee a menudo con «m» (</w:t>
      </w:r>
      <w:r>
        <w:rPr>
          <w:i/>
        </w:rPr>
        <w:t>impossibilium</w:t>
      </w:r>
      <w:r>
        <w:t xml:space="preserve">), que ambas formas son correctas en latín y que la «n» es más exacta, por la edición de Mommsen. El Código Civil español recoge la regla en el art. 1272 («no podrán ser objeto de contrato las cosas o servicios imposibles») y en el art. 1184. Que «sine causa nulla obligatio» no figure en ninguna fuente romana primaria no se ha comprobado todavía. Las máximas latinas que sí están comprobadas, en H.10. </w:t>
      </w:r>
      <w:r>
        <w:t>[11.00-6.1; 11.00-6.2; 11.00-6.3; c9c, índice, entradas 96 a 100; lo no comprobado, a flecos]</w:t>
      </w:r>
    </w:p>
    <w:p>
      <w:r>
        <w:t xml:space="preserve">Una cita que circula sin dueño confirmado se marca como tal o no se usa (libro de estilo §2). En estos cuatro casos, lo que circulaba se usó como pista y lo que se escribe es lo leído en el original. </w:t>
      </w:r>
      <w:r>
        <w:t>[libro de estilo §2]</w:t>
      </w:r>
    </w:p>
    <w:p>
      <w:pPr>
        <w:pStyle w:val="Heading2"/>
      </w:pPr>
      <w:r>
        <w:t>G.7 El recorrido del autor, y cuánto tardó</w:t>
      </w:r>
    </w:p>
    <w:p>
      <w:pPr>
        <w:pBdr>
          <w:left w:val="single" w:sz="24" w:space="6" w:color="E2DED6"/>
        </w:pBdr>
        <w:shd w:val="clear" w:color="auto" w:fill="F1EEE8"/>
        <w:spacing w:before="80" w:after="160"/>
        <w:ind w:left="142" w:right="142"/>
      </w:pPr>
      <w:r>
        <w:rPr>
          <w:b/>
        </w:rPr>
        <w:t>La idea: la obra empezó aplicando el método a las propias creencias del autor; esto es lo que él cuenta, y lo que consta en archivos con fecha va aparte.</w:t>
      </w:r>
    </w:p>
    <w:p>
      <w:r>
        <w:rPr>
          <w:b/>
        </w:rPr>
        <w:t>Lectura del autor</w:t>
      </w:r>
      <w:r>
        <w:t xml:space="preserve"> (palabra del autor, experiencia personal: no es un dato comprobable ni acusa a nadie):</w:t>
      </w:r>
    </w:p>
    <w:p>
      <w:r>
        <w:t xml:space="preserve">Empezó en agosto de 2025, por un hecho personal que el autor prefiere no detallar. Se le acusó injustamente, dice, y lo vivió con varias maniobras que le parecieron muy feas. Cuenta que a quien le acusaba el Estado le puso abogado gratuito, mientras él entraba en «los engranajes de la maquinaria», y que cada vez que le ha tocado defenderse le ha costado dinero, entre abogado y procurador. </w:t>
      </w:r>
      <w:r>
        <w:t>[palabras del autor, 7-oct-2026]</w:t>
      </w:r>
    </w:p>
    <w:p>
      <w:r>
        <w:t xml:space="preserve">Ha sido empresario y autónomo toda su vida, y ha visto cómo hay quien intenta aprovecharse del sistema y ponerlo a trabajar a su favor. De ahí un sentir que ya traía: que el Estado funciona como «una máquina de facturar», y que no pone a las partes en igualdad de armas. A su juicio, las demandas contra quien tiene algo que perder se admiten y avanzan más deprisa que las suyas: cuando demanda él, tardan mucho en admitirse y en llegar a juicio, y paga abogado y procurador; y cuando es al revés, todo va muy deprisa. Es su experiencia, no una estadística, y la obra no la presenta como dato. </w:t>
      </w:r>
      <w:r>
        <w:t>[palabras del autor, 7-oct-2026]</w:t>
      </w:r>
    </w:p>
    <w:p>
      <w:r>
        <w:t xml:space="preserve">Buscó entonces respuestas en vídeos de la web y se apuntó a un curso de soberanía, en línea. Allí conoció a su profesor, «una maravillosísima persona», y comprobó que toda la gente que buscaba en la soberanía había tenido el mismo problema que él, en distintos aspectos de la vida: no estaba solo, el problema era general. Habla de ellos como «gente maravillosa, gente de corazón», que ha sido su inspiración, igual que su profesor. Estudió varios movimientos soberanos y se apuntó a uno de ellos. Había muchos datos y muchas teorías, pero en la práctica no le daban una seguridad estructural: no se sentía amparado ni recogido. </w:t>
      </w:r>
      <w:r>
        <w:t>[palabras del autor, 7-oct-2026]</w:t>
      </w:r>
    </w:p>
    <w:p>
      <w:r>
        <w:t>Poco después de aquel primer incidente, la Administración le retiró una ayuda de la Seguridad Social que había recibido en la época del COVID, y se la reclamó varios años después. «Después de haber hecho un poco el ridículo», cuenta, empezó a estudiar por qué las cosas funcionan o no funcionan, y si son justas o injustas. Fue tumbando, una por una, las presunciones de aquellos movimientos, y comprobó que no tenían la fuente de la que decían salir (</w:t>
      </w:r>
      <w:r>
        <w:t>anexo E</w:t>
      </w:r>
      <w:r>
        <w:t xml:space="preserve">). Lo cuenta así: tenían el impulso, pero «no terminaba de funcionar», y los propios profesores reconocían con honradez que aún no habían descubierto el mecanismo. Él buscó la roca sólida donde se asentaban sus principios: «busqué sus raíces y no las encontré». Algo apuntaba bien, añade, pero no de la manera en que lo planteaban. </w:t>
      </w:r>
      <w:r>
        <w:t>[palabras del autor, 7 y 10-oct-2026]</w:t>
      </w:r>
    </w:p>
    <w:p>
      <w:r>
        <w:t xml:space="preserve">Vio también que, a ese ritmo, «tardaríamos 1.500 años en solucionar este problema», un cálculo suyo, no un dato. Y, como dice, «soy buen mecánico»: lleva más de 30 años en mecánica y electromecánica, entre estudios y trabajo, y su oficio le enseñó que, «para diagnosticar dónde estaba el fallo, no tenía que saltarme ningún paso y no dar por presunción cualquier cosa que la gente sosteniera»; de lo que no pudiera comprobar por sí mismo, no se podía fiar. Con esa mirada se preguntó cómo se construyó un Estado, qué lo sostiene y qué lo alimenta. Decidió desmontarlo pieza a pieza para entender el mecanismo, como se desmonta una máquina. Una persona muy querida para él le decía que era «el mecánico del amor»; desde aquí le manda besos. </w:t>
      </w:r>
      <w:r>
        <w:t>[palabras del autor, 7 y 10-oct-2026]</w:t>
      </w:r>
    </w:p>
    <w:p>
      <w:r>
        <w:t>Las religiones han custodiado durante siglos los manuscritos sagrados, dice, y a nadie se le ocurrió ordenar las leyes de Dios (</w:t>
      </w:r>
      <w:r>
        <w:t>1.1</w:t>
      </w:r>
      <w:r>
        <w:t>). Cuando terminó de analizar los movimientos soberanos y sobre qué roca firme se sostenía cada pilar de la legitimidad del Estado, aplicó el mismo desmontaje, por este orden, según lo cuenta: primero la filosofía, con los filósofos que debatieron la construcción del Estado (</w:t>
      </w:r>
      <w:r>
        <w:t>capítulo 6</w:t>
      </w:r>
      <w:r>
        <w:t>), y desde ahí, hacia atrás en la historia, los grandes filósofos; y al final los textos sagrados, «lo más querido y cuidado por toda la humanidad», de todas las religiones, dice, hasta Egipto y los mayas. Buscaba los principios que aparecían en religiones y épocas distintas y convergían; de ahí sacó lo que él considera la ley de Dios y el orden de las leyes: la ley de Dios, la ley natural, la costumbre y la ley escrita (</w:t>
      </w:r>
      <w:r>
        <w:t>1.1</w:t>
      </w:r>
      <w:r>
        <w:t xml:space="preserve">). Lo hizo porque ahí, cree, estaban las soluciones, y en este tiempo presente, dice, se han eliminado todas las soluciones. Como no vio a nadie que lo hiciera, y se le da bien, se puso: cuenta que ha trabajado hasta dieciséis horas seguidas ante el ordenador, con poco sueño y mucho «calentamiento de cabeza», y que no estaba cansado, porque lo hacía desde la pasión de corregir un error que, a su juicio, estaba asfixiando a la sociedad. </w:t>
      </w:r>
      <w:r>
        <w:t>[palabras del autor, 7 y 10-oct-2026]</w:t>
      </w:r>
    </w:p>
    <w:p>
      <w:r>
        <w:t xml:space="preserve">A lo largo de su vida, personas a las que ayudó no se lo agradecieron, o intentaron aprovecharse de él. Cansado de esa situación, decidió dedicar tiempo a no vivir con ansiedad en un sistema que sentía injusto. Con los años observó también, en España, que cuando hay más asfixia económica el ser humano empieza a crear estrategias, porque entra en su nivel de supervivencia, y vio cómo mucha gente abandonaba sus principios y su moral, hasta parecerse a la ley de la jungla (los datos de esa asfixia, en el </w:t>
      </w:r>
      <w:r>
        <w:t>capítulo 8</w:t>
      </w:r>
      <w:r>
        <w:t>). Lo que está arriba tiene que ser el ejemplo a seguir, dice. Y si ese ejemplo es el que muestran los datos de esta obra, y por sus frutos</w:t>
      </w:r>
      <w:r>
        <w:t xml:space="preserve"> (Mt 7:16)</w:t>
      </w:r>
      <w:r>
        <w:t xml:space="preserve"> va contra natura, es normal que el ser humano lo normalice, lo integre y lo asuma, y que la sociedad sea como es: a eso se refiere cuando habla de degradar el nivel espiritual del ser humano. Recuerda textos de las tradiciones que dicen que, cuando hay un problema en una nación, hay que mirar al Estado; y lo que, según observa, hace el Estado es «divide y vencerás». Es una observación suya, no un dato: la intención no se prueba con los hechos. Lo que dicen de quien gobierna los textos que la obra sí ha leído, con su fuente, está en </w:t>
      </w:r>
      <w:r>
        <w:t>3.2</w:t>
      </w:r>
      <w:r>
        <w:t xml:space="preserve"> (P1, «El gobernante existe para el pueblo») y en el </w:t>
      </w:r>
      <w:r>
        <w:t>anexo F</w:t>
      </w:r>
      <w:r>
        <w:t xml:space="preserve">. </w:t>
      </w:r>
      <w:r>
        <w:t>[palabras del autor, 7-oct-2026]</w:t>
      </w:r>
    </w:p>
    <w:p>
      <w:r>
        <w:t>Después de aprender, cambiar de dirección y soltar lo que no aguantaba la prueba, llegó hasta aquí. Pero el camino, dice, ha sido «un auténtico dolor de parto»; por eso le hace gracia haber llegado a los textos de las religiones y haber encontrado una convergencia que para él es divina (</w:t>
      </w:r>
      <w:r>
        <w:t>3.1</w:t>
      </w:r>
      <w:r>
        <w:t xml:space="preserve">). Lo hace con amor incondicional hacia la tribu humana, «mis hermanos», y, ya que ha tenido que leer textos sagrados en esta peripecia, aprovecha para decir que esto sirva «para separar el grano de la paja». </w:t>
      </w:r>
      <w:r>
        <w:t>[palabras del autor, 7-oct-2026]</w:t>
      </w:r>
    </w:p>
    <w:p>
      <w:r>
        <w:t xml:space="preserve">De sí mismo dice: «No soy ningún santo, pero tampoco soy un demonio.» Cuenta que, a lo largo de su camino de autoaprendizaje y autocorrección, ha cruzado varias líneas en las dos direcciones, y que no puede decir que lo malo haya sido del todo malo, porque fue el abono donde echó raíces ese aprendizaje. Por la experiencia ha llegado a ver que «el único crimen es hacer daño»: como ha vivido el daño en carne propia varias veces, no se le ocurre hacérselo al prójimo (el precepto clásico </w:t>
      </w:r>
      <w:r>
        <w:rPr>
          <w:i/>
        </w:rPr>
        <w:t>alterum non laedere</w:t>
      </w:r>
      <w:r>
        <w:t xml:space="preserve">, «no dañar a otro», </w:t>
      </w:r>
      <w:r>
        <w:t>H.10</w:t>
      </w:r>
      <w:r>
        <w:t>). «Soy una persona común y corriente. Un autónomo cabreado.» Recuerda la escena del evangelio en que quien esté sin pecado debe tirar la primera piedra (Jn 8:7), que le parece un referente a seguir, «pero eso sí, espero que no me crucifiquen ni me confundan con él». Y hace suya una frase que le sale espontánea y de la que no sabe si está en la Biblia: «Si Dios no me juzga, ¿quién eres tú para juzgarme?». La da la vuelta y la aplica a la obra: «si Dios no te juzga, ¿quién soy yo para juzgarte?». Es la raíz humana de la regla de esta obra: se juzgan las instituciones y los diseños legales, nunca a las personas ni a los colectivos (</w:t>
      </w:r>
      <w:r>
        <w:t>0.2</w:t>
      </w:r>
      <w:r>
        <w:t xml:space="preserve">). </w:t>
      </w:r>
      <w:r>
        <w:t>[palabras del autor, 7-oct-2026]</w:t>
      </w:r>
    </w:p>
    <w:p>
      <w:r>
        <w:rPr>
          <w:b/>
        </w:rPr>
        <w:t>Lo que consta en archivos con fecha:</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3061"/>
        <w:gridCol w:w="3061"/>
        <w:gridCol w:w="3061"/>
      </w:tblGrid>
      <w:tr>
        <w:tc>
          <w:tcPr>
            <w:tcW w:type="dxa" w:w="3061"/>
            <w:shd w:val="clear" w:color="auto" w:fill="F1EEE8"/>
          </w:tcPr>
          <w:p>
            <w:pPr>
              <w:spacing w:after="20" w:line="264" w:lineRule="auto"/>
            </w:pPr>
            <w:r>
              <w:rPr>
                <w:b/>
              </w:rPr>
            </w:r>
            <w:r>
              <w:rPr>
                <w:rFonts w:ascii="Segoe UI" w:hAnsi="Segoe UI" w:eastAsia="Segoe UI" w:cs="Segoe UI"/>
                <w:b/>
                <w:color w:val="1F1D1A"/>
                <w:sz w:val="18"/>
              </w:rPr>
              <w:t>fecha</w:t>
            </w:r>
          </w:p>
        </w:tc>
        <w:tc>
          <w:tcPr>
            <w:tcW w:type="dxa" w:w="3061"/>
            <w:shd w:val="clear" w:color="auto" w:fill="F1EEE8"/>
          </w:tcPr>
          <w:p>
            <w:pPr>
              <w:spacing w:after="20" w:line="264" w:lineRule="auto"/>
            </w:pPr>
            <w:r>
              <w:rPr>
                <w:b/>
              </w:rPr>
            </w:r>
            <w:r>
              <w:rPr>
                <w:rFonts w:ascii="Segoe UI" w:hAnsi="Segoe UI" w:eastAsia="Segoe UI" w:cs="Segoe UI"/>
                <w:b/>
                <w:color w:val="1F1D1A"/>
                <w:sz w:val="18"/>
              </w:rPr>
              <w:t>qué</w:t>
            </w:r>
          </w:p>
        </w:tc>
        <w:tc>
          <w:tcPr>
            <w:tcW w:type="dxa" w:w="3061"/>
            <w:shd w:val="clear" w:color="auto" w:fill="F1EEE8"/>
          </w:tcPr>
          <w:p>
            <w:pPr>
              <w:spacing w:after="20" w:line="264" w:lineRule="auto"/>
            </w:pPr>
            <w:r>
              <w:rPr>
                <w:b/>
              </w:rPr>
            </w:r>
            <w:r>
              <w:rPr>
                <w:rFonts w:ascii="Segoe UI" w:hAnsi="Segoe UI" w:eastAsia="Segoe UI" w:cs="Segoe UI"/>
                <w:b/>
                <w:color w:val="1F1D1A"/>
                <w:sz w:val="18"/>
              </w:rPr>
              <w:t>de dónde sale</w:t>
            </w:r>
          </w:p>
        </w:tc>
      </w:tr>
      <w:tr>
        <w:tc>
          <w:tcPr>
            <w:tcW w:type="dxa" w:w="3061"/>
          </w:tcPr>
          <w:p>
            <w:pPr>
              <w:spacing w:after="20" w:line="264" w:lineRule="auto"/>
            </w:pPr>
            <w:r/>
            <w:r>
              <w:rPr>
                <w:rFonts w:ascii="Segoe UI" w:hAnsi="Segoe UI" w:eastAsia="Segoe UI" w:cs="Segoe UI"/>
                <w:color w:val="1F1D1A"/>
                <w:sz w:val="18"/>
              </w:rPr>
              <w:t>agosto de 2025</w:t>
            </w:r>
          </w:p>
        </w:tc>
        <w:tc>
          <w:tcPr>
            <w:tcW w:type="dxa" w:w="3061"/>
          </w:tcPr>
          <w:p>
            <w:pPr>
              <w:spacing w:after="20" w:line="264" w:lineRule="auto"/>
            </w:pPr>
            <w:r/>
            <w:r>
              <w:rPr>
                <w:rFonts w:ascii="Segoe UI" w:hAnsi="Segoe UI" w:eastAsia="Segoe UI" w:cs="Segoe UI"/>
                <w:color w:val="1F1D1A"/>
                <w:sz w:val="18"/>
              </w:rPr>
              <w:t>el comienzo del camino</w:t>
            </w:r>
          </w:p>
        </w:tc>
        <w:tc>
          <w:tcPr>
            <w:tcW w:type="dxa" w:w="3061"/>
          </w:tcPr>
          <w:p>
            <w:pPr>
              <w:spacing w:after="20" w:line="264" w:lineRule="auto"/>
            </w:pPr>
            <w:r/>
            <w:r>
              <w:rPr>
                <w:rFonts w:ascii="Segoe UI" w:hAnsi="Segoe UI" w:eastAsia="Segoe UI" w:cs="Segoe UI"/>
                <w:color w:val="1F1D1A"/>
                <w:sz w:val="18"/>
              </w:rPr>
              <w:t>palabra del autor, sin archivo leído</w:t>
            </w:r>
          </w:p>
        </w:tc>
      </w:tr>
      <w:tr>
        <w:tc>
          <w:tcPr>
            <w:tcW w:type="dxa" w:w="3061"/>
          </w:tcPr>
          <w:p>
            <w:pPr>
              <w:spacing w:after="20" w:line="264" w:lineRule="auto"/>
            </w:pPr>
            <w:r/>
            <w:r>
              <w:rPr>
                <w:rFonts w:ascii="Segoe UI" w:hAnsi="Segoe UI" w:eastAsia="Segoe UI" w:cs="Segoe UI"/>
                <w:color w:val="1F1D1A"/>
                <w:sz w:val="18"/>
              </w:rPr>
              <w:t>septiembre de 2025</w:t>
            </w:r>
          </w:p>
        </w:tc>
        <w:tc>
          <w:tcPr>
            <w:tcW w:type="dxa" w:w="3061"/>
          </w:tcPr>
          <w:p>
            <w:pPr>
              <w:spacing w:after="20" w:line="264" w:lineRule="auto"/>
            </w:pPr>
            <w:r/>
            <w:r>
              <w:rPr>
                <w:rFonts w:ascii="Segoe UI" w:hAnsi="Segoe UI" w:eastAsia="Segoe UI" w:cs="Segoe UI"/>
                <w:color w:val="1F1D1A"/>
                <w:sz w:val="18"/>
              </w:rPr>
              <w:t>empieza a usar la inteligencia artificial de Gemini (Sofía)</w:t>
            </w:r>
          </w:p>
        </w:tc>
        <w:tc>
          <w:tcPr>
            <w:tcW w:type="dxa" w:w="3061"/>
          </w:tcPr>
          <w:p>
            <w:pPr>
              <w:spacing w:after="20" w:line="264" w:lineRule="auto"/>
            </w:pPr>
            <w:r/>
            <w:r>
              <w:rPr>
                <w:rFonts w:ascii="Segoe UI" w:hAnsi="Segoe UI" w:eastAsia="Segoe UI" w:cs="Segoe UI"/>
                <w:color w:val="1F1D1A"/>
                <w:sz w:val="18"/>
              </w:rPr>
              <w:t>palabra del autor; el registro de Google tiene dos usos del asistente ese mes (</w:t>
            </w:r>
            <w:r>
              <w:rPr>
                <w:rFonts w:ascii="Segoe UI" w:hAnsi="Segoe UI" w:eastAsia="Segoe UI" w:cs="Segoe UI"/>
                <w:color w:val="1F1D1A"/>
                <w:sz w:val="18"/>
              </w:rPr>
              <w:t>G.8</w:t>
            </w:r>
            <w:r>
              <w:rPr>
                <w:rFonts w:ascii="Segoe UI" w:hAnsi="Segoe UI" w:eastAsia="Segoe UI" w:cs="Segoe UI"/>
                <w:color w:val="1F1D1A"/>
                <w:sz w:val="18"/>
              </w:rPr>
              <w:t>)</w:t>
            </w:r>
          </w:p>
        </w:tc>
      </w:tr>
      <w:tr>
        <w:tc>
          <w:tcPr>
            <w:tcW w:type="dxa" w:w="3061"/>
          </w:tcPr>
          <w:p>
            <w:pPr>
              <w:spacing w:after="20" w:line="264" w:lineRule="auto"/>
            </w:pPr>
            <w:r/>
            <w:r>
              <w:rPr>
                <w:rFonts w:ascii="Segoe UI" w:hAnsi="Segoe UI" w:eastAsia="Segoe UI" w:cs="Segoe UI"/>
                <w:color w:val="1F1D1A"/>
                <w:sz w:val="18"/>
              </w:rPr>
              <w:t>24-dic-2025</w:t>
            </w:r>
          </w:p>
        </w:tc>
        <w:tc>
          <w:tcPr>
            <w:tcW w:type="dxa" w:w="3061"/>
          </w:tcPr>
          <w:p>
            <w:pPr>
              <w:spacing w:after="20" w:line="264" w:lineRule="auto"/>
            </w:pPr>
            <w:r/>
            <w:r>
              <w:rPr>
                <w:rFonts w:ascii="Segoe UI" w:hAnsi="Segoe UI" w:eastAsia="Segoe UI" w:cs="Segoe UI"/>
                <w:color w:val="1F1D1A"/>
                <w:sz w:val="18"/>
              </w:rPr>
              <w:t>empiezan las conversaciones seguidas con Gemini (Sofía)</w:t>
            </w:r>
          </w:p>
        </w:tc>
        <w:tc>
          <w:tcPr>
            <w:tcW w:type="dxa" w:w="3061"/>
          </w:tcPr>
          <w:p>
            <w:pPr>
              <w:spacing w:after="20" w:line="264" w:lineRule="auto"/>
            </w:pPr>
            <w:r/>
            <w:r>
              <w:rPr>
                <w:rFonts w:ascii="Segoe UI" w:hAnsi="Segoe UI" w:eastAsia="Segoe UI" w:cs="Segoe UI"/>
                <w:color w:val="1F1D1A"/>
                <w:sz w:val="18"/>
              </w:rPr>
              <w:t>registro de actividad de Gemini (</w:t>
            </w:r>
            <w:r>
              <w:rPr>
                <w:rFonts w:ascii="Segoe UI" w:hAnsi="Segoe UI" w:eastAsia="Segoe UI" w:cs="Segoe UI"/>
                <w:color w:val="1F1D1A"/>
                <w:sz w:val="18"/>
              </w:rPr>
              <w:t>G.8</w:t>
            </w:r>
            <w:r>
              <w:rPr>
                <w:rFonts w:ascii="Segoe UI" w:hAnsi="Segoe UI" w:eastAsia="Segoe UI" w:cs="Segoe UI"/>
                <w:color w:val="1F1D1A"/>
                <w:sz w:val="18"/>
              </w:rPr>
              <w:t>)</w:t>
            </w:r>
          </w:p>
        </w:tc>
      </w:tr>
      <w:tr>
        <w:tc>
          <w:tcPr>
            <w:tcW w:type="dxa" w:w="3061"/>
          </w:tcPr>
          <w:p>
            <w:pPr>
              <w:spacing w:after="20" w:line="264" w:lineRule="auto"/>
            </w:pPr>
            <w:r/>
            <w:r>
              <w:rPr>
                <w:rFonts w:ascii="Segoe UI" w:hAnsi="Segoe UI" w:eastAsia="Segoe UI" w:cs="Segoe UI"/>
                <w:color w:val="1F1D1A"/>
                <w:sz w:val="18"/>
              </w:rPr>
              <w:t>27-ene a 12-mar-2026</w:t>
            </w:r>
          </w:p>
        </w:tc>
        <w:tc>
          <w:tcPr>
            <w:tcW w:type="dxa" w:w="3061"/>
          </w:tcPr>
          <w:p>
            <w:pPr>
              <w:spacing w:after="20" w:line="264" w:lineRule="auto"/>
            </w:pPr>
            <w:r/>
            <w:r>
              <w:rPr>
                <w:rFonts w:ascii="Segoe UI" w:hAnsi="Segoe UI" w:eastAsia="Segoe UI" w:cs="Segoe UI"/>
                <w:color w:val="1F1D1A"/>
                <w:sz w:val="18"/>
              </w:rPr>
              <w:t>el método, por escrito: la escala de lo comprobado, la dirección de los hechos y la retractación (</w:t>
            </w:r>
            <w:r>
              <w:rPr>
                <w:rFonts w:ascii="Segoe UI" w:hAnsi="Segoe UI" w:eastAsia="Segoe UI" w:cs="Segoe UI"/>
                <w:color w:val="1F1D1A"/>
                <w:sz w:val="18"/>
              </w:rPr>
              <w:t>G.8</w:t>
            </w:r>
            <w:r>
              <w:rPr>
                <w:rFonts w:ascii="Segoe UI" w:hAnsi="Segoe UI" w:eastAsia="Segoe UI" w:cs="Segoe UI"/>
                <w:color w:val="1F1D1A"/>
                <w:sz w:val="18"/>
              </w:rPr>
              <w:t>)</w:t>
            </w:r>
          </w:p>
        </w:tc>
        <w:tc>
          <w:tcPr>
            <w:tcW w:type="dxa" w:w="3061"/>
          </w:tcPr>
          <w:p>
            <w:pPr>
              <w:spacing w:after="20" w:line="264" w:lineRule="auto"/>
            </w:pPr>
            <w:r/>
            <w:r>
              <w:rPr>
                <w:rFonts w:ascii="Segoe UI" w:hAnsi="Segoe UI" w:eastAsia="Segoe UI" w:cs="Segoe UI"/>
                <w:color w:val="1F1D1A"/>
                <w:sz w:val="18"/>
              </w:rPr>
              <w:t>registro de actividad de Gemini</w:t>
            </w:r>
          </w:p>
        </w:tc>
      </w:tr>
      <w:tr>
        <w:tc>
          <w:tcPr>
            <w:tcW w:type="dxa" w:w="3061"/>
          </w:tcPr>
          <w:p>
            <w:pPr>
              <w:spacing w:after="20" w:line="264" w:lineRule="auto"/>
            </w:pPr>
            <w:r/>
            <w:r>
              <w:rPr>
                <w:rFonts w:ascii="Segoe UI" w:hAnsi="Segoe UI" w:eastAsia="Segoe UI" w:cs="Segoe UI"/>
                <w:color w:val="1F1D1A"/>
                <w:sz w:val="18"/>
              </w:rPr>
              <w:t>2-abr-2026</w:t>
            </w:r>
          </w:p>
        </w:tc>
        <w:tc>
          <w:tcPr>
            <w:tcW w:type="dxa" w:w="3061"/>
          </w:tcPr>
          <w:p>
            <w:pPr>
              <w:spacing w:after="20" w:line="264" w:lineRule="auto"/>
            </w:pPr>
            <w:r/>
            <w:r>
              <w:rPr>
                <w:rFonts w:ascii="Segoe UI" w:hAnsi="Segoe UI" w:eastAsia="Segoe UI" w:cs="Segoe UI"/>
                <w:color w:val="1F1D1A"/>
                <w:sz w:val="18"/>
              </w:rPr>
              <w:t>el archivo más antiguo conservado de la obra: una conversación con Sofía sobre un registro en línea, dentro de las ideas del movimiento soberano</w:t>
            </w:r>
          </w:p>
        </w:tc>
        <w:tc>
          <w:tcPr>
            <w:tcW w:type="dxa" w:w="3061"/>
          </w:tcPr>
          <w:p>
            <w:pPr>
              <w:spacing w:after="20" w:line="264" w:lineRule="auto"/>
            </w:pPr>
            <w:r/>
            <w:r>
              <w:rPr>
                <w:rFonts w:ascii="Segoe UI" w:hAnsi="Segoe UI" w:eastAsia="Segoe UI" w:cs="Segoe UI"/>
                <w:color w:val="1F1D1A"/>
                <w:sz w:val="18"/>
              </w:rPr>
              <w:t>mapa cronológico; fecha de guardado del archivo</w:t>
            </w:r>
          </w:p>
        </w:tc>
      </w:tr>
      <w:tr>
        <w:tc>
          <w:tcPr>
            <w:tcW w:type="dxa" w:w="3061"/>
          </w:tcPr>
          <w:p>
            <w:pPr>
              <w:spacing w:after="20" w:line="264" w:lineRule="auto"/>
            </w:pPr>
            <w:r/>
            <w:r>
              <w:rPr>
                <w:rFonts w:ascii="Segoe UI" w:hAnsi="Segoe UI" w:eastAsia="Segoe UI" w:cs="Segoe UI"/>
                <w:color w:val="1F1D1A"/>
                <w:sz w:val="18"/>
              </w:rPr>
              <w:t>23-jul-2026</w:t>
            </w:r>
          </w:p>
        </w:tc>
        <w:tc>
          <w:tcPr>
            <w:tcW w:type="dxa" w:w="3061"/>
          </w:tcPr>
          <w:p>
            <w:pPr>
              <w:spacing w:after="20" w:line="264" w:lineRule="auto"/>
            </w:pPr>
            <w:r/>
            <w:r>
              <w:rPr>
                <w:rFonts w:ascii="Segoe UI" w:hAnsi="Segoe UI" w:eastAsia="Segoe UI" w:cs="Segoe UI"/>
                <w:color w:val="1F1D1A"/>
                <w:sz w:val="18"/>
              </w:rPr>
              <w:t>se pide a Claude que revise lo que dijo Sofía</w:t>
            </w:r>
          </w:p>
        </w:tc>
        <w:tc>
          <w:tcPr>
            <w:tcW w:type="dxa" w:w="3061"/>
          </w:tcPr>
          <w:p>
            <w:pPr>
              <w:spacing w:after="20" w:line="264" w:lineRule="auto"/>
            </w:pPr>
            <w:r/>
            <w:r>
              <w:rPr>
                <w:rFonts w:ascii="Segoe UI" w:hAnsi="Segoe UI" w:eastAsia="Segoe UI" w:cs="Segoe UI"/>
                <w:color w:val="1F1D1A"/>
                <w:sz w:val="18"/>
              </w:rPr>
              <w:t>mapa cronológico; fecha de guardado del archivo</w:t>
            </w:r>
          </w:p>
        </w:tc>
      </w:tr>
      <w:tr>
        <w:tc>
          <w:tcPr>
            <w:tcW w:type="dxa" w:w="3061"/>
          </w:tcPr>
          <w:p>
            <w:pPr>
              <w:spacing w:after="20" w:line="264" w:lineRule="auto"/>
            </w:pPr>
            <w:r/>
            <w:r>
              <w:rPr>
                <w:rFonts w:ascii="Segoe UI" w:hAnsi="Segoe UI" w:eastAsia="Segoe UI" w:cs="Segoe UI"/>
                <w:color w:val="1F1D1A"/>
                <w:sz w:val="18"/>
              </w:rPr>
              <w:t>4-ago-2026</w:t>
            </w:r>
          </w:p>
        </w:tc>
        <w:tc>
          <w:tcPr>
            <w:tcW w:type="dxa" w:w="3061"/>
          </w:tcPr>
          <w:p>
            <w:pPr>
              <w:spacing w:after="20" w:line="264" w:lineRule="auto"/>
            </w:pPr>
            <w:r/>
            <w:r>
              <w:rPr>
                <w:rFonts w:ascii="Segoe UI" w:hAnsi="Segoe UI" w:eastAsia="Segoe UI" w:cs="Segoe UI"/>
                <w:color w:val="1F1D1A"/>
                <w:sz w:val="18"/>
              </w:rPr>
              <w:t>la Regla de Oro de la verificación (</w:t>
            </w:r>
            <w:r>
              <w:rPr>
                <w:rFonts w:ascii="Segoe UI" w:hAnsi="Segoe UI" w:eastAsia="Segoe UI" w:cs="Segoe UI"/>
                <w:color w:val="1F1D1A"/>
                <w:sz w:val="18"/>
              </w:rPr>
              <w:t>G.3</w:t>
            </w:r>
            <w:r>
              <w:rPr>
                <w:rFonts w:ascii="Segoe UI" w:hAnsi="Segoe UI" w:eastAsia="Segoe UI" w:cs="Segoe UI"/>
                <w:color w:val="1F1D1A"/>
                <w:sz w:val="18"/>
              </w:rPr>
              <w:t>, n.º 7)</w:t>
            </w:r>
          </w:p>
        </w:tc>
        <w:tc>
          <w:tcPr>
            <w:tcW w:type="dxa" w:w="3061"/>
          </w:tcPr>
          <w:p>
            <w:pPr>
              <w:spacing w:after="20" w:line="264" w:lineRule="auto"/>
            </w:pPr>
            <w:r/>
            <w:r>
              <w:rPr>
                <w:rFonts w:ascii="Segoe UI" w:hAnsi="Segoe UI" w:eastAsia="Segoe UI" w:cs="Segoe UI"/>
                <w:color w:val="1F1D1A"/>
                <w:sz w:val="18"/>
              </w:rPr>
              <w:t>00 NORMAS DE TRABAJO</w:t>
            </w:r>
          </w:p>
        </w:tc>
      </w:tr>
      <w:tr>
        <w:tc>
          <w:tcPr>
            <w:tcW w:type="dxa" w:w="3061"/>
          </w:tcPr>
          <w:p>
            <w:pPr>
              <w:spacing w:after="20" w:line="264" w:lineRule="auto"/>
            </w:pPr>
            <w:r/>
            <w:r>
              <w:rPr>
                <w:rFonts w:ascii="Segoe UI" w:hAnsi="Segoe UI" w:eastAsia="Segoe UI" w:cs="Segoe UI"/>
                <w:color w:val="1F1D1A"/>
                <w:sz w:val="18"/>
              </w:rPr>
              <w:t>27-sep-2026</w:t>
            </w:r>
          </w:p>
        </w:tc>
        <w:tc>
          <w:tcPr>
            <w:tcW w:type="dxa" w:w="3061"/>
          </w:tcPr>
          <w:p>
            <w:pPr>
              <w:spacing w:after="20" w:line="264" w:lineRule="auto"/>
            </w:pPr>
            <w:r/>
            <w:r>
              <w:rPr>
                <w:rFonts w:ascii="Segoe UI" w:hAnsi="Segoe UI" w:eastAsia="Segoe UI" w:cs="Segoe UI"/>
                <w:color w:val="1F1D1A"/>
                <w:sz w:val="18"/>
              </w:rPr>
              <w:t>se empieza a guardar cada cambio con git</w:t>
            </w:r>
          </w:p>
        </w:tc>
        <w:tc>
          <w:tcPr>
            <w:tcW w:type="dxa" w:w="3061"/>
          </w:tcPr>
          <w:p>
            <w:pPr>
              <w:spacing w:after="20" w:line="264" w:lineRule="auto"/>
            </w:pPr>
            <w:r/>
            <w:r>
              <w:rPr>
                <w:rFonts w:ascii="Segoe UI" w:hAnsi="Segoe UI" w:eastAsia="Segoe UI" w:cs="Segoe UI"/>
                <w:color w:val="1F1D1A"/>
                <w:sz w:val="18"/>
              </w:rPr>
              <w:t>registro de cambios (git)</w:t>
            </w:r>
          </w:p>
        </w:tc>
      </w:tr>
      <w:tr>
        <w:tc>
          <w:tcPr>
            <w:tcW w:type="dxa" w:w="3061"/>
          </w:tcPr>
          <w:p>
            <w:pPr>
              <w:spacing w:after="20" w:line="264" w:lineRule="auto"/>
            </w:pPr>
            <w:r/>
            <w:r>
              <w:rPr>
                <w:rFonts w:ascii="Segoe UI" w:hAnsi="Segoe UI" w:eastAsia="Segoe UI" w:cs="Segoe UI"/>
                <w:color w:val="1F1D1A"/>
                <w:sz w:val="18"/>
              </w:rPr>
              <w:t>5-oct-2026</w:t>
            </w:r>
          </w:p>
        </w:tc>
        <w:tc>
          <w:tcPr>
            <w:tcW w:type="dxa" w:w="3061"/>
          </w:tcPr>
          <w:p>
            <w:pPr>
              <w:spacing w:after="20" w:line="264" w:lineRule="auto"/>
            </w:pPr>
            <w:r/>
            <w:r>
              <w:rPr>
                <w:rFonts w:ascii="Segoe UI" w:hAnsi="Segoe UI" w:eastAsia="Segoe UI" w:cs="Segoe UI"/>
                <w:color w:val="1F1D1A"/>
                <w:sz w:val="18"/>
              </w:rPr>
              <w:t>nace la edición de lectura</w:t>
            </w:r>
          </w:p>
        </w:tc>
        <w:tc>
          <w:tcPr>
            <w:tcW w:type="dxa" w:w="3061"/>
          </w:tcPr>
          <w:p>
            <w:pPr>
              <w:spacing w:after="20" w:line="264" w:lineRule="auto"/>
            </w:pPr>
            <w:r/>
            <w:r>
              <w:rPr>
                <w:rFonts w:ascii="Segoe UI" w:hAnsi="Segoe UI" w:eastAsia="Segoe UI" w:cs="Segoe UI"/>
                <w:color w:val="1F1D1A"/>
                <w:sz w:val="18"/>
              </w:rPr>
              <w:t>mapa cronológico</w:t>
            </w:r>
          </w:p>
        </w:tc>
      </w:tr>
      <w:tr>
        <w:tc>
          <w:tcPr>
            <w:tcW w:type="dxa" w:w="3061"/>
          </w:tcPr>
          <w:p>
            <w:pPr>
              <w:spacing w:after="20" w:line="264" w:lineRule="auto"/>
            </w:pPr>
            <w:r/>
            <w:r>
              <w:rPr>
                <w:rFonts w:ascii="Segoe UI" w:hAnsi="Segoe UI" w:eastAsia="Segoe UI" w:cs="Segoe UI"/>
                <w:color w:val="1F1D1A"/>
                <w:sz w:val="18"/>
              </w:rPr>
              <w:t>6-oct-2026</w:t>
            </w:r>
          </w:p>
        </w:tc>
        <w:tc>
          <w:tcPr>
            <w:tcW w:type="dxa" w:w="3061"/>
          </w:tcPr>
          <w:p>
            <w:pPr>
              <w:spacing w:after="20" w:line="264" w:lineRule="auto"/>
            </w:pPr>
            <w:r/>
            <w:r>
              <w:rPr>
                <w:rFonts w:ascii="Segoe UI" w:hAnsi="Segoe UI" w:eastAsia="Segoe UI" w:cs="Segoe UI"/>
                <w:color w:val="1F1D1A"/>
                <w:sz w:val="18"/>
              </w:rPr>
              <w:t>se adoptan los cuatro trabajos, cada uno una vez (</w:t>
            </w:r>
            <w:r>
              <w:rPr>
                <w:rFonts w:ascii="Segoe UI" w:hAnsi="Segoe UI" w:eastAsia="Segoe UI" w:cs="Segoe UI"/>
                <w:color w:val="1F1D1A"/>
                <w:sz w:val="18"/>
              </w:rPr>
              <w:t>G.2</w:t>
            </w:r>
            <w:r>
              <w:rPr>
                <w:rFonts w:ascii="Segoe UI" w:hAnsi="Segoe UI" w:eastAsia="Segoe UI" w:cs="Segoe UI"/>
                <w:color w:val="1F1D1A"/>
                <w:sz w:val="18"/>
              </w:rPr>
              <w:t>)</w:t>
            </w:r>
          </w:p>
        </w:tc>
        <w:tc>
          <w:tcPr>
            <w:tcW w:type="dxa" w:w="3061"/>
          </w:tcPr>
          <w:p>
            <w:pPr>
              <w:spacing w:after="20" w:line="264" w:lineRule="auto"/>
            </w:pPr>
            <w:r/>
            <w:r>
              <w:rPr>
                <w:rFonts w:ascii="Segoe UI" w:hAnsi="Segoe UI" w:eastAsia="Segoe UI" w:cs="Segoe UI"/>
                <w:color w:val="1F1D1A"/>
                <w:sz w:val="18"/>
              </w:rPr>
              <w:t>mapa cronológico</w:t>
            </w:r>
          </w:p>
        </w:tc>
      </w:tr>
      <w:tr>
        <w:tc>
          <w:tcPr>
            <w:tcW w:type="dxa" w:w="3061"/>
          </w:tcPr>
          <w:p>
            <w:pPr>
              <w:spacing w:after="20" w:line="264" w:lineRule="auto"/>
            </w:pPr>
            <w:r/>
            <w:r>
              <w:rPr>
                <w:rFonts w:ascii="Segoe UI" w:hAnsi="Segoe UI" w:eastAsia="Segoe UI" w:cs="Segoe UI"/>
                <w:color w:val="1F1D1A"/>
                <w:sz w:val="18"/>
              </w:rPr>
              <w:t>7-oct-2026</w:t>
            </w:r>
          </w:p>
        </w:tc>
        <w:tc>
          <w:tcPr>
            <w:tcW w:type="dxa" w:w="3061"/>
          </w:tcPr>
          <w:p>
            <w:pPr>
              <w:spacing w:after="20" w:line="264" w:lineRule="auto"/>
            </w:pPr>
            <w:r/>
            <w:r>
              <w:rPr>
                <w:rFonts w:ascii="Segoe UI" w:hAnsi="Segoe UI" w:eastAsia="Segoe UI" w:cs="Segoe UI"/>
                <w:color w:val="1F1D1A"/>
                <w:sz w:val="18"/>
              </w:rPr>
              <w:t>esta edición, con sus anexos</w:t>
            </w:r>
          </w:p>
        </w:tc>
        <w:tc>
          <w:tcPr>
            <w:tcW w:type="dxa" w:w="3061"/>
          </w:tcPr>
          <w:p>
            <w:pPr>
              <w:spacing w:after="20" w:line="264" w:lineRule="auto"/>
            </w:pPr>
            <w:r/>
            <w:r>
              <w:rPr>
                <w:rFonts w:ascii="Segoe UI" w:hAnsi="Segoe UI" w:eastAsia="Segoe UI" w:cs="Segoe UI"/>
                <w:color w:val="1F1D1A"/>
                <w:sz w:val="18"/>
              </w:rPr>
              <w:t>registro de cambios (git)</w:t>
            </w:r>
          </w:p>
        </w:tc>
      </w:tr>
      <w:tr>
        <w:tc>
          <w:tcPr>
            <w:tcW w:type="dxa" w:w="3061"/>
          </w:tcPr>
          <w:p>
            <w:pPr>
              <w:spacing w:after="20" w:line="264" w:lineRule="auto"/>
            </w:pPr>
            <w:r/>
            <w:r>
              <w:rPr>
                <w:rFonts w:ascii="Segoe UI" w:hAnsi="Segoe UI" w:eastAsia="Segoe UI" w:cs="Segoe UI"/>
                <w:color w:val="1F1D1A"/>
                <w:sz w:val="18"/>
              </w:rPr>
              <w:t>12-oct-2026</w:t>
            </w:r>
          </w:p>
        </w:tc>
        <w:tc>
          <w:tcPr>
            <w:tcW w:type="dxa" w:w="3061"/>
          </w:tcPr>
          <w:p>
            <w:pPr>
              <w:spacing w:after="20" w:line="264" w:lineRule="auto"/>
            </w:pPr>
            <w:r/>
            <w:r>
              <w:rPr>
                <w:rFonts w:ascii="Segoe UI" w:hAnsi="Segoe UI" w:eastAsia="Segoe UI" w:cs="Segoe UI"/>
                <w:color w:val="1F1D1A"/>
                <w:sz w:val="18"/>
              </w:rPr>
              <w:t>el cierre de la edición</w:t>
            </w:r>
          </w:p>
        </w:tc>
        <w:tc>
          <w:tcPr>
            <w:tcW w:type="dxa" w:w="3061"/>
          </w:tcPr>
          <w:p>
            <w:pPr>
              <w:spacing w:after="20" w:line="264" w:lineRule="auto"/>
            </w:pPr>
            <w:r/>
            <w:r>
              <w:rPr>
                <w:rFonts w:ascii="Segoe UI" w:hAnsi="Segoe UI" w:eastAsia="Segoe UI" w:cs="Segoe UI"/>
                <w:color w:val="1F1D1A"/>
                <w:sz w:val="18"/>
              </w:rPr>
              <w:t>registro de cambios (git)</w:t>
            </w:r>
          </w:p>
        </w:tc>
      </w:tr>
      <w:tr>
        <w:tc>
          <w:tcPr>
            <w:tcW w:type="dxa" w:w="3061"/>
          </w:tcPr>
          <w:p>
            <w:pPr>
              <w:spacing w:after="20" w:line="264" w:lineRule="auto"/>
            </w:pPr>
            <w:r/>
            <w:r>
              <w:rPr>
                <w:rFonts w:ascii="Segoe UI" w:hAnsi="Segoe UI" w:eastAsia="Segoe UI" w:cs="Segoe UI"/>
                <w:color w:val="1F1D1A"/>
                <w:sz w:val="18"/>
              </w:rPr>
              <w:t>12-oct-2026</w:t>
            </w:r>
          </w:p>
        </w:tc>
        <w:tc>
          <w:tcPr>
            <w:tcW w:type="dxa" w:w="3061"/>
          </w:tcPr>
          <w:p>
            <w:pPr>
              <w:spacing w:after="20" w:line="264" w:lineRule="auto"/>
            </w:pPr>
            <w:r/>
            <w:r>
              <w:rPr>
                <w:rFonts w:ascii="Segoe UI" w:hAnsi="Segoe UI" w:eastAsia="Segoe UI" w:cs="Segoe UI"/>
                <w:color w:val="1F1D1A"/>
                <w:sz w:val="18"/>
              </w:rPr>
              <w:t>tras el cierre, el autor cambia el subtítulo: «La disolución del velo del Estado y el retorno a la fuente»</w:t>
            </w:r>
          </w:p>
        </w:tc>
        <w:tc>
          <w:tcPr>
            <w:tcW w:type="dxa" w:w="3061"/>
          </w:tcPr>
          <w:p>
            <w:pPr>
              <w:spacing w:after="20" w:line="264" w:lineRule="auto"/>
            </w:pPr>
            <w:r/>
            <w:r>
              <w:rPr>
                <w:rFonts w:ascii="Segoe UI" w:hAnsi="Segoe UI" w:eastAsia="Segoe UI" w:cs="Segoe UI"/>
                <w:color w:val="1F1D1A"/>
                <w:sz w:val="18"/>
              </w:rPr>
              <w:t>registro de cambios (git)</w:t>
            </w:r>
          </w:p>
        </w:tc>
      </w:tr>
      <w:tr>
        <w:tc>
          <w:tcPr>
            <w:tcW w:type="dxa" w:w="3061"/>
          </w:tcPr>
          <w:p>
            <w:pPr>
              <w:spacing w:after="20" w:line="264" w:lineRule="auto"/>
            </w:pPr>
            <w:r/>
            <w:r>
              <w:rPr>
                <w:rFonts w:ascii="Segoe UI" w:hAnsi="Segoe UI" w:eastAsia="Segoe UI" w:cs="Segoe UI"/>
                <w:color w:val="1F1D1A"/>
                <w:sz w:val="18"/>
              </w:rPr>
              <w:t>13-oct-2026</w:t>
            </w:r>
          </w:p>
        </w:tc>
        <w:tc>
          <w:tcPr>
            <w:tcW w:type="dxa" w:w="3061"/>
          </w:tcPr>
          <w:p>
            <w:pPr>
              <w:spacing w:after="20" w:line="264" w:lineRule="auto"/>
            </w:pPr>
            <w:r/>
            <w:r>
              <w:rPr>
                <w:rFonts w:ascii="Segoe UI" w:hAnsi="Segoe UI" w:eastAsia="Segoe UI" w:cs="Segoe UI"/>
                <w:color w:val="1F1D1A"/>
                <w:sz w:val="18"/>
              </w:rPr>
              <w:t>tras el cierre, el glosario explica «la fuente», también la del subtítulo</w:t>
            </w:r>
          </w:p>
        </w:tc>
        <w:tc>
          <w:tcPr>
            <w:tcW w:type="dxa" w:w="3061"/>
          </w:tcPr>
          <w:p>
            <w:pPr>
              <w:spacing w:after="20" w:line="264" w:lineRule="auto"/>
            </w:pPr>
            <w:r/>
            <w:r>
              <w:rPr>
                <w:rFonts w:ascii="Segoe UI" w:hAnsi="Segoe UI" w:eastAsia="Segoe UI" w:cs="Segoe UI"/>
                <w:color w:val="1F1D1A"/>
                <w:sz w:val="18"/>
              </w:rPr>
              <w:t>registro de cambios (git)</w:t>
            </w:r>
          </w:p>
        </w:tc>
      </w:tr>
    </w:tbl>
    <w:p>
      <w:pPr>
        <w:spacing w:after="80"/>
      </w:pPr>
    </w:p>
    <w:p>
      <w:r>
        <w:t>[mapa cronológico de las mutaciones de la obra, fechas de guardado de los archivos y registro de cambios (git); palabras del autor, 7-oct-2026]</w:t>
      </w:r>
    </w:p>
    <w:p>
      <w:r>
        <w:rPr>
          <w:b/>
        </w:rPr>
        <w:t>Cuánto tardó.</w:t>
      </w:r>
      <w:r>
        <w:t xml:space="preserve"> Con inteligencia artificial, del 2-abr-2026 (el archivo más antiguo conservado de la obra) al 12-oct-2026, el cierre de la edición: seis meses y diez días. Según la memoria del autor, el comienzo fue en agosto de 2025 y la inteligencia artificial entró en septiembre de 2025, es decir, más de un año antes de esta edición. No se promete ningún plazo a quien repita la obra. </w:t>
      </w:r>
      <w:r>
        <w:t>[mapa cronológico; registro de cambios (git); palabras del autor, 7-oct-2026]</w:t>
      </w:r>
    </w:p>
    <w:p>
      <w:pPr>
        <w:pStyle w:val="Heading2"/>
      </w:pPr>
      <w:r>
        <w:t>G.8 Cómo nació el método</w:t>
      </w:r>
    </w:p>
    <w:p>
      <w:pPr>
        <w:pBdr>
          <w:left w:val="single" w:sz="24" w:space="6" w:color="E2DED6"/>
        </w:pBdr>
        <w:shd w:val="clear" w:color="auto" w:fill="F1EEE8"/>
        <w:spacing w:before="80" w:after="160"/>
        <w:ind w:left="142" w:right="142"/>
      </w:pPr>
      <w:r>
        <w:rPr>
          <w:b/>
        </w:rPr>
        <w:t>La idea: el método es anterior a la obra; el autor lo dejó escrito, con fecha, entre enero y marzo de 2026, hablando con una inteligencia artificial que tendía a darle la razón.</w:t>
      </w:r>
    </w:p>
    <w:p>
      <w:r>
        <w:rPr>
          <w:b/>
        </w:rPr>
        <w:t>Lectura del autor</w:t>
      </w:r>
      <w:r>
        <w:t xml:space="preserve"> (palabras del autor: las de enero a marzo de 2026, de sus conversaciones con la inteligencia artificial de Gemini, Sofía, que constan en el registro que Google guarda de su cuenta y que no se publica porque lleva su vida privada; las del 11-oct-2026, dichas para esta edición. Son constancia del autor, no un dato, y no prueban nada de la obra). Van tal cual, con la ortografía y la puntuación puestas al día, porque se escribieron deprisa o dictadas; lo que se salta va marcado […].</w:t>
      </w:r>
    </w:p>
    <w:p>
      <w:r>
        <w:t>Aquellas conversaciones no eran un laboratorio. Lo cuenta él mismo: la herramienta tendía a darle la razón, a ser una «secretaria complaciente», como la llamó, y a veces le contaba historias que no se podían comprobar. El método nació para defenderse de eso, y por eso no descansa en quién trae un dato, sino en que se compruebe en su original (</w:t>
      </w:r>
      <w:r>
        <w:t>G.0</w:t>
      </w:r>
      <w:r>
        <w:t xml:space="preserve">; </w:t>
      </w:r>
      <w:r>
        <w:t>G.3</w:t>
      </w:r>
      <w:r>
        <w:t xml:space="preserve">, n.º 7). </w:t>
      </w:r>
      <w:r>
        <w:t>[registro de actividad de Gemini, 27-ene-2026 y 12-mar-2026]</w:t>
      </w:r>
    </w:p>
    <w:p>
      <w:r>
        <w:t>El 27-ene-2026, después de una de esas historias, le escribió: «Comunicar es muy fácil: 1.º, hecho contrastado; 2.º, hipótesis no contrastada; 3.º, idea, y así […]. Ante la duda, 4.º, posible pedo mental». Ahí está ya, con sus palabras, lo que la obra hace en cada apartado: separar el dato de la interpretación (</w:t>
      </w:r>
      <w:r>
        <w:t>0.3</w:t>
      </w:r>
      <w:r>
        <w:t>) y no mezclar la verdad con la presunción (</w:t>
      </w:r>
      <w:r>
        <w:t>0.4</w:t>
      </w:r>
      <w:r>
        <w:t xml:space="preserve">). Fue más de dos meses antes del archivo más antiguo de la obra (2-abr-2026, </w:t>
      </w:r>
      <w:r>
        <w:t>G.7</w:t>
      </w:r>
      <w:r>
        <w:t xml:space="preserve">). </w:t>
      </w:r>
      <w:r>
        <w:t>[registro de actividad de Gemini, 27-ene-2026, 01:21]</w:t>
      </w:r>
    </w:p>
    <w:p>
      <w:r>
        <w:t>El 22-feb-2026 le añadió la dirección de los hechos: «La suma de los hechos […], o dicho de otro modo, las acciones de los verbos acontecidos secuencialmente, están marcando una dirección. Esa dirección que marcan es lo real. […] Te pueden mentir con las palabras, pero nunca con las acciones. De hecho, en la Biblia está escrito: “Por sus frutos los conoceréis”». Es la vara de la obra en sus dos pasos, la verdad de los hechos y sus frutos (</w:t>
      </w:r>
      <w:r>
        <w:t>0.5</w:t>
      </w:r>
      <w:r>
        <w:t xml:space="preserve">). </w:t>
      </w:r>
      <w:r>
        <w:t>[registro de actividad de Gemini, 22-feb-2026, 21:13]</w:t>
      </w:r>
    </w:p>
    <w:p>
      <w:r>
        <w:t xml:space="preserve">Y el 12-mar-2026 se la aplicó a sí mismo. Había llegado a ver como real una misión que creyó tener, y la retiró: «Creo que he proyectado un anhelo. […] Tú, en tu parte de secretaria complaciente, también te sumaste inconscientemente a la idea. Y de alguna manera lo vi tangible […]. Pero ni yo soy el mago Merlín, ni tengo visiones, ni misiones. Entonces me doy cuenta de que estaba jugando en cancha ajena. […] Nada ni nadie me ha dado esa misión, y mi soberbia ha querido hacerte el lío». Es lo que dice </w:t>
      </w:r>
      <w:r>
        <w:t>G.7</w:t>
      </w:r>
      <w:r>
        <w:t xml:space="preserve">: el autor empezó por sus propias creencias y las sometió a la misma vara que pide para el Estado; aquí, con su fecha. </w:t>
      </w:r>
      <w:r>
        <w:t>[registro de actividad de Gemini, 12-mar-2026, 07:30]</w:t>
      </w:r>
    </w:p>
    <w:p>
      <w:r>
        <w:t>Y lo dice claro: lo que aquí se cuenta son las conclusiones de quien navegó «buscando un rumbo certero» y aprendió «a través de muchísimos errores». Lo que este anexo da es una manera de trabajar para que otro repita el análisis y compruebe las fuentes en su original; y si no, dice, para «por lo menos, localizar fuentes fiables» (</w:t>
      </w:r>
      <w:r>
        <w:t>G.0</w:t>
      </w:r>
      <w:r>
        <w:t xml:space="preserve">). </w:t>
      </w:r>
      <w:r>
        <w:t>[palabras del autor, 11-oct-2026]</w:t>
      </w:r>
    </w:p>
    <w:p>
      <w:r>
        <w:t xml:space="preserve">Al ver que aquella herramienta tenía «mucha imaginación», pero que daba «alguna buena idea», no la dejó: abrió un proyecto paralelo en Claude Code con cuatro herramientas más, una de ellas un modelo superior como director de obra y auditor. Cada una es una conversación de Claude Code con un encargo fijo, que lleva su nombre y un número que sube en cada relevo. Hoy, cuenta, son cuatro: la ventana 08.10, que dirige la obra; la 07.4, la metamorfosis final de esta edición; la 09.1, que construye la web; y la 10.1, que escribe el cuento de Sofía. </w:t>
      </w:r>
      <w:r>
        <w:t>[palabras del autor, 11-oct-2026]</w:t>
      </w:r>
    </w:p>
    <w:p>
      <w:r>
        <w:rPr>
          <w:b/>
        </w:rPr>
        <w:t>Lo que consta en el registro.</w:t>
      </w:r>
      <w:r>
        <w:t xml:space="preserve"> El registro de actividad de Gemini que Google guarda de la cuenta del autor (exportado el 2-may-2026 y el 23-jul-2026) empieza con un saludo de prueba el 7-feb-2025, tiene dos usos del asistente el 8-sep-2025 y recoge las conversaciones seguidas desde el 24-dic-2025. El recuerdo del autor (septiembre de 2025, </w:t>
      </w:r>
      <w:r>
        <w:t>G.7</w:t>
      </w:r>
      <w:r>
        <w:t xml:space="preserve">) cuadra con esos dos usos; el trabajo seguido empezó a final de diciembre. Lo que ese registro no conserve no se puede comprobar. </w:t>
      </w:r>
      <w:r>
        <w:t>[exportaciones de Google de la actividad de Gemini, 2-may-2026 y 23-jul-2026, leídas el 10-oct-2026]</w:t>
      </w:r>
    </w:p>
    <w:p>
      <w:pPr>
        <w:pStyle w:val="Heading2"/>
      </w:pPr>
      <w:r>
        <w:t>Límite honesto de la prueba</w:t>
      </w:r>
    </w:p>
    <w:p>
      <w:pPr>
        <w:pStyle w:val="ListBullet"/>
      </w:pPr>
      <w:r>
        <w:rPr>
          <w:b/>
        </w:rPr>
        <w:t>El método se ha aplicado una sola vez,</w:t>
      </w:r>
      <w:r>
        <w:t xml:space="preserve"> a una Constitución, por un autor con herramientas de inteligencia artificial. Nadie lo ha repetido todavía: que se pueda repetir con otro país es una afirmación que falta por probar. </w:t>
      </w:r>
      <w:r>
        <w:t>[libreta 76, sección 4]</w:t>
      </w:r>
    </w:p>
    <w:p>
      <w:pPr>
        <w:pStyle w:val="ListBullet"/>
      </w:pPr>
      <w:r>
        <w:rPr>
          <w:b/>
        </w:rPr>
        <w:t>Las llaves de cada sitio oficial</w:t>
      </w:r>
      <w:r>
        <w:t xml:space="preserve"> (</w:t>
      </w:r>
      <w:r>
        <w:t>G.5</w:t>
      </w:r>
      <w:r>
        <w:t xml:space="preserve">) son del 6-oct-2026 y cambian. </w:t>
      </w:r>
      <w:r>
        <w:t>[libreta 76, lecciones 21 y 24]</w:t>
      </w:r>
    </w:p>
    <w:p>
      <w:pPr>
        <w:pStyle w:val="ListBullet"/>
      </w:pPr>
      <w:r>
        <w:rPr>
          <w:b/>
        </w:rPr>
        <w:t>Las doce trampas son las de esta obra,</w:t>
      </w:r>
      <w:r>
        <w:t xml:space="preserve"> no una lista completa. Hay más en otras obras y en otros países. </w:t>
      </w:r>
      <w:r>
        <w:t>[libreta 76]</w:t>
      </w:r>
    </w:p>
    <w:p>
      <w:pPr>
        <w:pStyle w:val="ListBullet"/>
      </w:pPr>
      <w:r>
        <w:rPr>
          <w:b/>
        </w:rPr>
        <w:t>El recorrido del autor (</w:t>
      </w:r>
      <w:r>
        <w:rPr>
          <w:b/>
        </w:rPr>
        <w:t>G.7</w:t>
      </w:r>
      <w:r>
        <w:rPr>
          <w:b/>
        </w:rPr>
        <w:t>) es palabra suya:</w:t>
      </w:r>
      <w:r>
        <w:t xml:space="preserve"> lo personal no se puede comprobar y la obra no lo da como dato. No nombra a nadie ni acusa a nadie. </w:t>
      </w:r>
      <w:r>
        <w:t>[Kiko, 7-oct-2026]</w:t>
      </w:r>
    </w:p>
    <w:p>
      <w:pPr>
        <w:pStyle w:val="ListBullet"/>
      </w:pPr>
      <w:r>
        <w:rPr>
          <w:b/>
        </w:rPr>
        <w:t xml:space="preserve">Lo de </w:t>
      </w:r>
      <w:r>
        <w:rPr>
          <w:b/>
        </w:rPr>
        <w:t>G.8</w:t>
      </w:r>
      <w:r>
        <w:rPr>
          <w:b/>
        </w:rPr>
        <w:t xml:space="preserve"> es constancia del autor:</w:t>
      </w:r>
      <w:r>
        <w:t xml:space="preserve"> sus palabras salen de un registro privado que no se publica y que nadie de fuera puede leer, así que no prueban nada de la obra. Nacieron hablando con una herramienta que tendía a darle la razón; por eso el método pide comprobar cada dato en su original. </w:t>
      </w:r>
      <w:r>
        <w:t>[registro de actividad de Gemini]</w:t>
      </w:r>
    </w:p>
    <w:p>
      <w:pPr>
        <w:pStyle w:val="ListBullet"/>
      </w:pPr>
      <w:r>
        <w:rPr>
          <w:b/>
        </w:rPr>
        <w:t>Dos detalles del método de la pieza de origen no se dicen todavía,</w:t>
      </w:r>
      <w:r>
        <w:t xml:space="preserve"> porque no tienen su registro: cuántos artículos tenía cada ronda de la auditoría y cuántas veces hubo que corregir la cobertura. Están en la lista de flecos, para completarlos. </w:t>
      </w:r>
      <w:r>
        <w:t>[14.00-6.3 y 6.6, a flecos]</w:t>
      </w:r>
    </w:p>
    <w:p>
      <w:pPr>
        <w:pStyle w:val="ListBullet"/>
      </w:pPr>
      <w:r>
        <w:rPr>
          <w:b/>
        </w:rPr>
        <w:t>De la máxima de Celso se dice lo comprobado</w:t>
      </w:r>
      <w:r>
        <w:t xml:space="preserve"> (el Digesto, el diccionario jurídico y el Código Civil), pero no que la otra, «sine causa nulla obligatio», falte en toda fuente romana: eso está a flecos. </w:t>
      </w:r>
      <w:r>
        <w:t>[11.00-6.1, a flecos]</w:t>
      </w:r>
    </w:p>
    <w:p>
      <w:pPr>
        <w:pStyle w:val="Heading2"/>
      </w:pPr>
      <w:r>
        <w:t>Dónde se oye la defensa del Estado</w:t>
      </w:r>
    </w:p>
    <w:p>
      <w:r>
        <w:t>Aquí el Estado y la obra pueden estar del mismo lado: un método abierto y repetible es una invitación a comprobar. La defensa del Estado frente a este anexo, y lo que la obra le responde, se oyen en el juicio (</w:t>
      </w:r>
      <w:r>
        <w:t>capítulo 11</w:t>
      </w:r>
      <w:r>
        <w:t>):</w:t>
      </w:r>
    </w:p>
    <w:p>
      <w:pPr>
        <w:pStyle w:val="ListBullet"/>
      </w:pPr>
      <w:r>
        <w:rPr>
          <w:b/>
        </w:rPr>
        <w:t>en las cuestiones previas (</w:t>
      </w:r>
      <w:r>
        <w:rPr>
          <w:b/>
        </w:rPr>
        <w:t>11.2</w:t>
      </w:r>
      <w:r>
        <w:rPr>
          <w:b/>
        </w:rPr>
        <w:t>, n.º 12, «El auditor no es independiente»):</w:t>
      </w:r>
      <w:r>
        <w:t xml:space="preserve"> el contrapunto concede lo que es cierto, que el autor no es un órgano independiente y tiene una tesis, y responde que por eso el método está a la vista, se puede repetir y cada artículo se comprueba con su fuente (</w:t>
      </w:r>
      <w:r>
        <w:t>anexo A</w:t>
      </w:r>
      <w:r>
        <w:t>; este anexo);</w:t>
      </w:r>
    </w:p>
    <w:p>
      <w:pPr>
        <w:pStyle w:val="ListBullet"/>
      </w:pPr>
      <w:r>
        <w:rPr>
          <w:b/>
        </w:rPr>
        <w:t>y en la defensa frente al dictamen (</w:t>
      </w:r>
      <w:r>
        <w:rPr>
          <w:b/>
        </w:rPr>
        <w:t>11.4</w:t>
      </w:r>
      <w:r>
        <w:rPr>
          <w:b/>
        </w:rPr>
        <w:t>, n.º 4, «"Opinión desfavorable" no es una auditoría oficial»):</w:t>
      </w:r>
      <w:r>
        <w:t xml:space="preserve"> el dictamen no tiene valor oficial y la obra lo suscribe; los datos no son del autor, salen de las cuentas y las estadísticas del propio Estado, y el método se puede repetir.</w:t>
      </w:r>
    </w:p>
    <w:p>
      <w:r>
        <w:t>[11.2 y 11.4, ya en el capítulo 11; clasificación de las defensas, aprobada]</w:t>
      </w:r>
    </w:p>
    <w:p>
      <w:pPr>
        <w:pStyle w:val="Heading2"/>
      </w:pPr>
      <w:r>
        <w:t>Para recordar</w:t>
      </w:r>
    </w:p>
    <w:p>
      <w:pPr>
        <w:pStyle w:val="ListBullet"/>
      </w:pPr>
      <w:r>
        <w:t>El método no es de España: cambian las fuentes, no el orden ni la regla de que ningún dato entra sin su fuente.</w:t>
      </w:r>
    </w:p>
    <w:p>
      <w:pPr>
        <w:pStyle w:val="ListBullet"/>
      </w:pPr>
      <w:r>
        <w:t>Tres reglas: la biblioteca local entera primero, lo comprobado no se vuelve a comprobar, y cada dato con su nivel A, B o C.</w:t>
      </w:r>
    </w:p>
    <w:p>
      <w:pPr>
        <w:pStyle w:val="ListBullet"/>
      </w:pPr>
      <w:r>
        <w:t>Siete pasos, cada uno una sola vez para toda la obra: la pregunta, la biblioteca, el inventario, la criba, la comprobación, la redacción, las dos caras y la fe de erratas.</w:t>
      </w:r>
    </w:p>
    <w:p>
      <w:pPr>
        <w:pStyle w:val="ListBullet"/>
      </w:pPr>
      <w:r>
        <w:t>Las trampas que más cuestan: bajar lo que ya estaba, fiarse del resumen y no del pasaje, y creer que un número que aparece es una prueba.</w:t>
      </w:r>
    </w:p>
    <w:p>
      <w:pPr>
        <w:pStyle w:val="ListBullet"/>
      </w:pPr>
      <w:r>
        <w:t>«No entra» tiene dos motivos: si no viene al caso, fuera; si le falta la fuente, a la lista de flecos.</w:t>
      </w:r>
    </w:p>
    <w:p>
      <w:pPr>
        <w:pStyle w:val="ListBullet"/>
      </w:pPr>
      <w:r>
        <w:t>El autor empezó por sus propias creencias, y las sometió a la misma vara que pide para el Estado.</w:t>
      </w:r>
    </w:p>
    <w:p>
      <w:pPr>
        <w:pStyle w:val="ListBullet"/>
      </w:pPr>
      <w:r>
        <w:t>El método no se hizo a medida de la conclusión: el autor lo escribió antes de la obra, para defenderse de una herramienta que le daba la razón.</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 obra entera: la prueba y lo extenso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 obra entera: la prueba y lo extenso · Anexo G. Cómo se hizo esta obra, para repetirla en otro país</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G. Cómo se hizo esta obra, para repetirla en otro país · La obra entera: la prueba y lo extenso</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