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08.18, 06:3x, pasado por 08.18 tal cual, a «¿das el sí a los nueve cambios de 07.6?»: «si»; borrador B13, el barrido de los cuantificadores vagos en las frases con dato): en «En pocas palabras» y en E.4, «quien sufre un daño reclama a la Administración, no (o nunca) al empleado» lleva su alcance, «por un servicio público» (Ley 40/2015, art. 36.1; 10.4). Ninguna otra palabra cambia. Cambio del 9-oct-2026 (fase de reparación; Kiko: «sí me gustaría que lo pusieras»): en E.1, «la sentencia más citada» deja de ser presunción: un estudio de la Alberta Law Review (Netolitzky, 2019, pág. 1186) cuenta 198 resoluciones canadienses que citan Meads y dice que CanLII la da como la más citada del Tribunal del Banco de la Reina de Alberta desde 2012; se quita lo de «cataloga con más detalle que ninguna otra», que el estudio no dice con esas palabras. Cambio del 9-oct-2026 (fase de reparación; Kiko: «Sí, corrígelos»): en E.2, la sentencia Class (D.D.C., 16-4-2014) no «rechazó expresamente cuatro teorías por su nombre»: rechazó la objeción de las mayúsculas («no encuentra apoyo en la ley») y descartó la del nombre comercial registrado y el Código de Comercio Uniforme por «no respaldada e irrelevante»; en E.3, la Cestui Que Vie Act 1666 no trata del arrendatario que se ausenta, sino de la persona por cuya vida se concedió el arrendamiento. Leídas las dos en su original; sin {presunción} en esos apartados. Cambio del 8-oct-2026 (parlamento sobre los mitos; Kiko: «sí a las tres, con tus recomendaciones» y el añadido del método de medir): el anexo pasa de «Los mitos del movimiento soberano» a «Lo que se afirma sin documento». Se quitan el nombre del grupo y las palabras «mito», «creencia falsa» y «sin verificar»; la excepción de los mitos queda sustituida por una regla general (libro de estilo §2): lo que no tiene documento es una presunción (0.4), se dice como afirmación y lleva la marca de presunción; se pide a quien la sostenga que aporte dónde nace. Se añade el método de medir (E.0). No cambia ningún dato ni ninguna cita. ESTADO: APROBADO por Kiko el 7-oct-2026 («sí a las dos»: el anexo y su forma, que vale para todos los anexos); sus marcas, en 04 CAPITULOS/marcas/marcas del anexo E.txt. Paso 3. Es el primero de los anexos. Sale de la pieza 09.00 (archivo congelado) y se traslada tal cual. Sin agentes ni descargas. HISTORIA, superada el 8-oct (véase la primera línea): EXCEPCIÓN DE LOS MITOS (Kiko, 7-oct, después de aprobarlo): «Referente al apartado de los mitos, no puedes borrarlo porque no exista información: lo refuta como que es un mito. Esta es la única excepción. En este apartado concreto no se borra nada, y no se verifica y no se le pone fuente […]. Porque los mitos no tienen fuente: por eso esos mitos son creencias falsas». Y: crear una marca nueva para esta situación, por si se repite. La marca es {mito} (libro de estilo §7): el texto va como lo dejó la pieza, y el lector le pone en los tres niveles la etiqueta «sin verificar». Repuesto con ella todo lo que había quedado fuera: la historia de la escritura romana (09.00-1.1), United States v. Rodney Class (1.2), las fuentes que nombró la pieza (1.3, 2.2, 3.2 y 4.5), lo que regula la ley inglesa de 1666 (2.1), que Meads sea la sentencia más citada (3.1) y Maine (4.4). Lo leído hoy en su original sigue con su fuente. Y (Kiko, 7-oct): explicar en el anexo que, buscada a fondo la fuente de cada creencia y no hallada, se catalogó como mito por ese motivo. Va en E.0, «Por qué se llaman mitos», y en «En pocas palabras», con lo que de verdad se buscó y se halló (las búsquedas de la pieza, 09.00-4.4 y 5.1; Bueker y Meads, leídos hoy). Y (Kiko, 7-oct): lo que la obra usa para desmontar los mitos tiene que apoyarse en algo. Sin romper el orden de trabajo (al redactar no se descarga), queda marcado con {mito} y apuntado para leer en su fuente en 05 FLECOS, sección 5: la escritura romana y la carolingia (con lo que Kiko recuerda: que se impuso por un criterio, quizá el de los monjes), Rodney Class, la ley de 1666, Maine y «la más citada». Al leerlo, pierde {mito} y lleva su fuente.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E no tiene ninguna en 16 CIFRAS POR MIRAR; cada número, en su fila o leído hoy (los 736 párrafos de Meads, c9k, entrada 15). Orden: Meads va primero, porque ahora sostiene también los mitos de las mayúsculas y del certificado de nacimiento (la pieza lo ponía en tercer lugar). Las traducciones de Meads y de Bueker son de la edición, con el original al lado. Leído hoy en su original (en local; libreta 75, 7 bis n.º 10): - Meads v. Meads, 2012 ABQB 571, de 18-9-2012 (Tribunal del Banco de la Reina de Alberta; c9h, copia de 2014 del archivo de Internet): ¶ 1, 42 a 44, 212, 323, 378, 435, 445, 507, 526, 536, 538, 541 y 736, y su apéndice A (pág. PDF 181). - Bueker v. Madison County, 2016 IL 120024 (Tribunal Supremo de Illinois; c9c): ¶ 1, 3, 4, 9, 16 y 26. - Del registro (con su pasaje): Meads, ¶ 1 y 736 (c9k, entradas 14 y 15); Bueker, ¶ 1 y 26 (c9c, entradas 62 a 64); Ley 40/2015, arts. 32 y 36 (c10; ya en 10.4). Hallado al escribir (sin errata para el 07): - 09.00-4.2: la fianza nombraba al condado como beneficiario, pero el Tribunal dice que por error: por ley, el beneficiario es «the People of the State of Illinois» (el pueblo del Estado de Illinois; ¶ 16), nunca los ciudadanos a título particular. Va así. - 09.00-4.4: el límite decía que no se había localizado ninguna sentencia que describiera el mito de las fianzas. Meads reproduce en su apéndice A el documento del litigante que exige a los funcionarios entregar «any and all surety bonds» (todas y cada una de las fianzas), y el juez dice de esos documentos que no tienen fuerza legal (¶ 526). No lo describe por su nombre, pero lo recoge: va así. - 09.00-1.2: United States v. Rodney Class no tiene fuente leída; lo sustituye Meads, leído: los tribunales canadienses rechazaron que haya diferencia legal entre un nombre en mayúsculas y en minúsculas (¶ 323), y la persona doble «no tiene efecto jurídico» (¶ 445). No entra: solo la cabecera de la pieza antigua (09.00-0.0: nombre, sello y fecha), que no es texto del anexo. Lo que 2.6 dice de la escritura romana y de la ley de 1666 queda cubierto por la excepción: ya no va al repaso final. Conceptos que usa, ya anclados: el movimiento soberano y sus mitos (2.6); la persona y la persona jurídica (2.1); la responsabilidad de la Administración y de su personal (10.4). Nuevo aquí: el fideicomiso, explicado al usarlo. Lo que no se repite: el riesgo penal en España y el patrón de los mitos están en 2.6 (09.00-5.1, 5.2 y 6.1); las defensas, en el juicio (09.00-7, capítulo 11).</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[Kiko, 8-oct-2026: la presunción y el método de medir; 09.00-0.1, 4.4 y 5.1]</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r>
        <w:t>[09.00-0.1 y 6.1, ya en 2.6]</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xml:space="preserve"> [original: Court of Queen’s Bench of Alberta]</w:t>
      </w:r>
      <w:r>
        <w:t>, dictó una sentencia de 736 párrafos</w:t>
      </w:r>
      <w:r>
        <w:t xml:space="preserve"> (Meads v. Meads, 2012 ABQB 571, de 18-9-2012, ¶ 736)</w:t>
      </w:r>
      <w:r>
        <w:t>. En ella reúne a unos litigantes que se presentan con distintos nombres («no hay una lista cerrada»)</w:t>
      </w:r>
      <w:r>
        <w:t xml:space="preserve"> [original: «Freemen or Freemen-on-the-Land; Sovereign Men or Sovereign Citizens; […] and other labels - there is no closed list»]</w:t>
      </w:r>
      <w:r>
        <w:t>, y les da un nombre común, que es del juez y no de esta obra: litigantes del «argumento comercial pseudolegal organizado» (OPCA, por sus siglas en inglés)</w:t>
      </w:r>
      <w:r>
        <w:t xml:space="preserve"> [original: «In the absence of a better moniker, I have collectively labelled them as Organized Pseudolegal Commercial Argument litigants [“OPCA litigants”], to functionally define them collectively for what they literally are»]</w:t>
      </w:r>
      <w:r>
        <w:t xml:space="preserve"> (ídem, ¶ 1)</w:t>
      </w:r>
      <w:r>
        <w:br/>
      </w:r>
      <w:r>
        <w:rPr>
          <w:b/>
        </w:rPr>
        <w:t>leída en su fuente · ídem, ¶ 1</w:t>
      </w:r>
      <w:r>
        <w:br/>
      </w:r>
      <w:r>
        <w:rPr>
          <w:b/>
        </w:rPr>
        <w:t>Archivo leído:</w:t>
      </w:r>
      <w:r>
        <w:t xml:space="preserve"> meads_ablawg_2012_opca.html (c9h\meads_v_meads_2012ABQB571_albertacourts_wayback2014.pdf) · contraste del archivo de pasajes: ✔</w:t>
      </w:r>
      <w:r>
        <w:br/>
      </w:r>
      <w:r>
        <w:rPr>
          <w:b/>
        </w:rPr>
        <w:t>Lugar:</w:t>
      </w:r>
      <w:r>
        <w:t xml:space="preserve"> Meads v. Meads, 2012 ABQB 571 (18-IX-2012), pág. PDF 6, párr. [1]</w:t>
      </w:r>
      <w:r>
        <w:br/>
      </w:r>
      <w:r>
        <w:rPr>
          <w:b/>
        </w:rPr>
        <w:t>Tal como está en la fuente:</w:t>
      </w:r>
      <w:r>
        <w:t xml:space="preserve"> In the absence of a better moniker, I have collectively labelled them as Organized Pseudolegal Commercial Argument litigants [“OPCA litigants”], to functionally define them collectively for what they literally are.</w:t>
      </w:r>
      <w:r>
        <w:br/>
      </w:r>
      <w:r>
        <w:rPr>
          <w:b/>
        </w:rPr>
        <w:t>Traducción guardada:</w:t>
      </w:r>
      <w:r>
        <w:t xml:space="preserve"> a falta de un nombre mejor, los he denominado colectivamente litigantes del argumento comercial pseudolegal organizado, litigantes OPCA, para definirlos funcionalmente por lo que son</w:t>
      </w:r>
      <w:r>
        <w:t>.</w:t>
      </w:r>
    </w:p>
    <w:p>
      <w:r>
        <w:t>La sentencia examina las estrategias de estos litigantes una por una, y concluye que la naturaleza y la jurisdicción de los tribunales canadienses las derrotan todas, salvo los esquemas de «dinero a cambio de nada», que examina aparte</w:t>
      </w:r>
      <w:r>
        <w:t xml:space="preserve"> [original: «The nature and jurisdiction of Canadian courts, globally, defeats all the OPCA strategies and concepts identified and reviewed in these Reasons […]. The exceptions are the ‘money for nothing’ schemes that I will review at a later point.»]</w:t>
      </w:r>
      <w:r>
        <w:t xml:space="preserve"> (ídem, ¶ 378)</w:t>
      </w:r>
      <w:r>
        <w:t>. Uno de esos esquemas es el de E.3.</w:t>
      </w:r>
    </w:p>
    <w:p>
      <w:r>
        <w:t>De los papeles que le presentó el propio litigante, el juez dice: «Esto es, por supuesto, un disparate»; no tienen «fuerza ni sentido en derecho»</w:t>
      </w:r>
      <w:r>
        <w:t xml:space="preserve"> [original: «This is, of course, nonsense. As I have noted to Mr. Meads, these materials have no force or meaning in law»]</w:t>
      </w:r>
      <w:r>
        <w:t xml:space="preserve"> (ídem, ¶ 44)</w:t>
      </w:r>
      <w:r>
        <w:br/>
      </w:r>
      <w:r>
        <w:rPr>
          <w:b/>
        </w:rPr>
        <w:t>leída en su fuente · ídem, ¶ 44</w:t>
      </w:r>
      <w:r>
        <w:br/>
      </w:r>
      <w:r>
        <w:rPr>
          <w:b/>
        </w:rPr>
        <w:t>Archivo leído:</w:t>
      </w:r>
      <w:r>
        <w:t xml:space="preserve"> meads_v_meads_2012ABQB571_albertacourts_wayback2014.pdf (c9h\meads_v_meads_2012ABQB571_albertacourts_wayback2014.pdf) · contraste del archivo de pasajes: ✔</w:t>
      </w:r>
      <w:r>
        <w:br/>
      </w:r>
      <w:r>
        <w:rPr>
          <w:b/>
        </w:rPr>
        <w:t>Lugar:</w:t>
      </w:r>
      <w:r>
        <w:t xml:space="preserve"> ídem, ¶ 44</w:t>
      </w:r>
      <w:r>
        <w:br/>
      </w:r>
      <w:r>
        <w:rPr>
          <w:b/>
        </w:rPr>
        <w:t>Tal como está en la fuente:</w:t>
      </w:r>
      <w:r>
        <w:t xml:space="preserve"> This is, of course, nonsense. As I have noted to Mr. Meads, these materials have no force or meaning in law</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xml:space="preserve"> [original: «In Canada, Meads has been cited in 198 reported court and tribunal decisions, and endorsed by five Canadian Courts of Appeal»]</w:t>
      </w:r>
      <w:r>
        <w:t>, y que CanLII la da como la decisión más citada del Tribunal del Banco de la Reina de Alberta desde 2012</w:t>
      </w:r>
      <w:r>
        <w:t xml:space="preserve"> [original: «CanLII indicates Meads is the most cited post-2012 decision issued by the Alberta Court of Queen’s Bench»]</w:t>
      </w:r>
      <w:r>
        <w:t>. Fuera de Canadá, el mismo estudio dice que se acepta ampliamente en la Commonwealth: Reino Unido, Australia, Jersey, Irlanda, Nueva Zelanda, Irlanda del Norte y Escocia</w:t>
      </w:r>
      <w:r>
        <w:t xml:space="preserve"> [original: «Meads is broadly accepted throughout the Commonwealth: in the UK, Australia, Jersey, the Republic of Ireland, New Zealand, Northern Ireland, and Scotland»]</w:t>
      </w:r>
      <w:r>
        <w:t xml:space="preserve"> (Donald J. Netolitzky, «After the Hammer: Six Years of Meads v. Meads», Alberta Law Review 56:4 (2019), pág. 1186; fuente secundaria, académica)</w:t>
      </w:r>
      <w:r>
        <w:t>.</w:t>
      </w:r>
    </w:p>
    <w:p>
      <w:r>
        <w:t>Fuente leída hoy: Netolitzky, «After the Hammer: Six Years of Meads v. Meads», Alberta Law Review 56:4 (2019), págs. 1167 y siguientes (42 páginas; descargada de albertalawreview.com); la sentencia Meads, leída en local (c9h).</w:t>
      </w:r>
    </w:p>
    <w:p>
      <w:r>
        <w:t>[09.00-3.1 y 3.2; Meads, leído hoy en local (c9h), ¶ 1, 44, 378 y 736; lo de «la más citada», Netolitzky 2019, leído hoy en local (flecos_finales), pág. 1186]</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t>[09.00-1.1, entero; la historia de la escritura, presunción: sin leer en esta edición; por leer en su fuente, 05, sección 5]</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[original: «In brief, the capital letter version of the name is some kind of non-human thing, while the lower case name is the ‘flesh and blood’ aspect of the litigant»]</w:t>
      </w:r>
      <w:r>
        <w:t xml:space="preserve"> (Meads v. Meads, ¶ 212)</w:t>
      </w:r>
      <w:r>
        <w:t>. Recoge que los tribunales canadienses ya habían rechazado que haya diferencia legal entre un nombre escrito en mayúsculas y minúsculas y un nombre todo en mayúsculas</w:t>
      </w:r>
      <w:r>
        <w:t xml:space="preserve"> [original: «there is no legal distinction between a name in upper case and lower case letters, and a name all in capital letters»]</w:t>
      </w:r>
      <w:r>
        <w:t xml:space="preserve"> (ídem, ¶ 323, con las sentencias que cita)</w:t>
      </w:r>
      <w:r>
        <w:t>. Y concluye: «Los esquemas de la "persona doble o dividida" no tienen efecto jurídico. No tienen base en la ley. A una persona solo le corresponde una identidad legal»</w:t>
      </w:r>
      <w:r>
        <w:t xml:space="preserve"> [original: «‘Double/split person’ schemes have no legal effect. These schemes have no basis in law. There is only one legal identity that attaches to a person.»]</w:t>
      </w:r>
      <w:r>
        <w:t xml:space="preserve"> (ídem, ¶ 445)</w:t>
      </w:r>
      <w:r>
        <w:br/>
      </w:r>
      <w:r>
        <w:rPr>
          <w:b/>
        </w:rPr>
        <w:t>leída en su fuente · ídem, ¶ 445</w:t>
      </w:r>
      <w:r>
        <w:br/>
      </w:r>
      <w:r>
        <w:rPr>
          <w:b/>
        </w:rPr>
        <w:t>Archivo leído:</w:t>
      </w:r>
      <w:r>
        <w:t xml:space="preserve"> meads_v_meads_2012ABQB571_albertacourts_wayback2014.pdf (c9h\meads_v_meads_2012ABQB571_albertacourts_wayback2014.pdf) · contraste del archivo de pasajes: ✔</w:t>
      </w:r>
      <w:r>
        <w:br/>
      </w:r>
      <w:r>
        <w:rPr>
          <w:b/>
        </w:rPr>
        <w:t>Lugar:</w:t>
      </w:r>
      <w:r>
        <w:t xml:space="preserve"> ídem, ¶ 445</w:t>
      </w:r>
      <w:r>
        <w:br/>
      </w:r>
      <w:r>
        <w:rPr>
          <w:b/>
        </w:rPr>
        <w:t>Tal como está en la fuente:</w:t>
      </w:r>
      <w:r>
        <w:t xml:space="preserve"> ‘Double/split person’ schemes have no legal effect. These schemes have no basis in law. There is only one legal identity that attaches to a person.</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xml:space="preserve"> [original: «find no support in the law and, in fact, have been squarely rejected by at least one court»]</w:t>
      </w:r>
      <w:r>
        <w:t>, que calificó objeciones parecidas de «manifiestamente carentes de fundamento»</w:t>
      </w:r>
      <w:r>
        <w:t xml:space="preserve"> [original: «patently without merit»]</w:t>
      </w:r>
      <w:r>
        <w:t>. Y aclaró que la persona acusada es «Rodney Class, el ser humano, y no una corporación ni ninguna otra “entidad ficticia”»</w:t>
      </w:r>
      <w:r>
        <w:t xml:space="preserve"> [original: «the person charged in this case is Rodney Class the human being, and not a corporation or any other “fictional entity,”»]</w:t>
      </w:r>
      <w:r>
        <w:t xml:space="preserve"> (United States v. Class, causa 13-253 (GK), D.D.C., 16-4-2014, págs. 5 y 6)</w:t>
      </w:r>
      <w:r>
        <w:br/>
      </w:r>
      <w:r>
        <w:rPr>
          <w:b/>
        </w:rPr>
        <w:t>leída en su fuente · United States v. Class, causa 13-253 (GK), D.D.C., 16-4-2014, págs. 5 y 6</w:t>
      </w:r>
      <w:r>
        <w:br/>
      </w:r>
      <w:r>
        <w:rPr>
          <w:b/>
        </w:rPr>
        <w:t>Archivo leído:</w:t>
      </w:r>
      <w:r>
        <w:t xml:space="preserve"> US_v_Class_13-cr-253_DDC_2014-04-16_govinfo_OCR_tesseract.txt (flecos_finales\US_v_Class_13-cr-253_DDC_2014-04-16_govinfo_OCR_tesseract.txt) · contraste del archivo de pasajes: ✔</w:t>
      </w:r>
      <w:r>
        <w:br/>
      </w:r>
      <w:r>
        <w:rPr>
          <w:b/>
        </w:rPr>
        <w:t>Lugar:</w:t>
      </w:r>
      <w:r>
        <w:t xml:space="preserve"> United States v. Class, causa 13-253 (GK), D.D.C., 16-4-2014, págs. 5 y 6</w:t>
      </w:r>
      <w:r>
        <w:br/>
      </w:r>
      <w:r>
        <w:rPr>
          <w:b/>
        </w:rPr>
        <w:t>Tal como está en la fuente:</w:t>
      </w:r>
      <w:r>
        <w:t xml:space="preserve"> the person charged in this case is Rodney Class the human being, and not a corporation or any other “fictional entity,”</w:t>
      </w:r>
      <w:r>
        <w:t>. Otra petición suya, que decía que su nombre de nacimiento se había convertido en un «nombre comercial registrado» en violación del Código de Comercio Uniforme, la descartó por «no respaldada e irrelevante»</w:t>
      </w:r>
      <w:r>
        <w:t xml:space="preserve"> [original: «These allegations are unsupported and irrelevant»]</w:t>
      </w:r>
      <w:r>
        <w:t xml:space="preserve"> (ídem, pág. 29)</w:t>
      </w:r>
      <w:r>
        <w:br/>
      </w:r>
      <w:r>
        <w:rPr>
          <w:b/>
        </w:rPr>
        <w:t>leída en su fuente · ídem, pág. 29</w:t>
      </w:r>
      <w:r>
        <w:br/>
      </w:r>
      <w:r>
        <w:rPr>
          <w:b/>
        </w:rPr>
        <w:t>Archivo leído:</w:t>
      </w:r>
      <w:r>
        <w:t xml:space="preserve"> US_v_Class_13-cr-253_DDC_2014-04-16_govinfo_OCR_tesseract.txt (flecos_finales\US_v_Class_13-cr-253_DDC_2014-04-16_govinfo_OCR_tesseract.txt) · contraste del archivo de pasajes: ✔</w:t>
      </w:r>
      <w:r>
        <w:br/>
      </w:r>
      <w:r>
        <w:rPr>
          <w:b/>
        </w:rPr>
        <w:t>Lugar:</w:t>
      </w:r>
      <w:r>
        <w:t xml:space="preserve"> ídem, pág. 29</w:t>
      </w:r>
      <w:r>
        <w:br/>
      </w:r>
      <w:r>
        <w:rPr>
          <w:b/>
        </w:rPr>
        <w:t>Tal como está en la fuente:</w:t>
      </w:r>
      <w:r>
        <w:t xml:space="preserve"> These allegations are unsupported and irrelevant</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r>
        <w:t>presunción</w:t>
      </w:r>
      <w:r>
        <w:t xml:space="preserve"> Fuentes que se citan para la historia de la escritura, sin leer en esta edición: Wikipedia, «Mayúsculas cuadradas romanas»; dossier didáctico de epigrafía romana (bv.gva.es); Tentulogo, «La escritura mayúscula romana». La sentencia Class se leyó entera en su original (govinfo.gov, documento 76, 31 páginas; sin capa de texto: reconocimiento óptico y las páginas 6 y 29 a la vista).</w:t>
      </w:r>
    </w:p>
    <w:p>
      <w:r>
        <w:t>[Meads, leído hoy en local (c9h), ¶ 212, 323 y 445; 09.00-1.2 y 1.3; Class, leído hoy en local (flecos_finales), págs. 5, 6 y 29; la historia de la escritura, presunción: sin leer en esta edición]</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xml:space="preserve"> [original: «shall be accounted as naturally dead»]</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t>Fuente leída hoy: Cestui Que Vie Act 1666, texto revisado de legislation.gov.uk (cuatro artículos, dos derogados; sin efectos pendientes en el registro).</w:t>
      </w:r>
    </w:p>
    <w:p>
      <w:r>
        <w:t>[09.00-2.1 y 2.2, enteros; la Cestui Que Vie Act 1666, leída entera hoy en local (flecos_finales)]</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[original: «OPCA gurus who sell the A4V scheme claim that, with a correct combination of government documents, a person can access their secret bank account and its funds»]</w:t>
      </w:r>
      <w:r>
        <w:t xml:space="preserve"> (ídem, ¶ 536)</w:t>
      </w:r>
      <w:r>
        <w:t>. Y responde que todo ese esquema ya lo habían examinado y rechazado otros tribunales: «Yo hago lo mismo»</w:t>
      </w:r>
      <w:r>
        <w:t xml:space="preserve"> [original: «The entire A4V concept has been reviewed and rejected in Underworld Services Ltd. v. Money Stop Ltd., 2012 ABQB 327, and Mercedes-Benz Financial v. Kovacevic […]. I do the same.»]</w:t>
      </w:r>
      <w:r>
        <w:t xml:space="preserve"> (ídem, ¶ 541)</w:t>
      </w:r>
      <w:r>
        <w:t>.</w:t>
      </w:r>
    </w:p>
    <w:p>
      <w:r>
        <w:t>[09.00-2.1; Meads, leído hoy en local (c9h), ¶ 42, 43, 435, 536, 538 y 541]</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xml:space="preserve">) y que cualquier ciudadano perjudicado puede reclamar contra ella, o incluso embargar al funcionario, para cobrarse el daño. </w:t>
      </w:r>
      <w:r>
        <w:t>[09.00-4.1]</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xml:space="preserve"> [original: «Public official bonds are instruments “by which a public officer and a secondary obligor undertake to pay up to a fixed sum of money if the public officer does not faithfully discharge the duties of his or her office.”»]</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[original: «We agree and hold that plaintiffs, as private citizens, are precluded from making claims on the statutorily mandated, public official bond at issue in this case.»]</w:t>
      </w:r>
      <w:r>
        <w:t xml:space="preserve"> (ídem, ¶ 1; casi igual en el ¶ 26)</w:t>
      </w:r>
      <w:r>
        <w:br/>
      </w:r>
      <w:r>
        <w:rPr>
          <w:b/>
        </w:rPr>
        <w:t>leída en su fuente · ídem, ¶ 1; casi igual en el ¶ 26</w:t>
      </w:r>
      <w:r>
        <w:br/>
      </w:r>
      <w:r>
        <w:rPr>
          <w:b/>
        </w:rPr>
        <w:t>Archivo leído:</w:t>
      </w:r>
      <w:r>
        <w:t xml:space="preserve"> Bueker_v_Madison_County_2016_IL_120024_illinoiscourts.pdf.txt · contraste del archivo de pasajes: sin archivo</w:t>
      </w:r>
      <w:r>
        <w:br/>
      </w:r>
      <w:r>
        <w:rPr>
          <w:b/>
        </w:rPr>
        <w:t>Lugar:</w:t>
      </w:r>
      <w:r>
        <w:t xml:space="preserve"> 10 FUENTES LEIDAS/c9c (índice, entrada 63)</w:t>
      </w:r>
      <w:r>
        <w:br/>
      </w:r>
      <w:r>
        <w:rPr>
          <w:b/>
        </w:rPr>
        <w:t>Tal como está en la fuente:</w:t>
      </w:r>
      <w:r>
        <w:t xml:space="preserve"> los demandantes, como ciudadanos particulares, no pueden reclamar contra la fianza de cargo público exigida por ley objeto de este caso</w:t>
      </w:r>
      <w:r>
        <w:t>. La fianza nombraba como beneficiario al condado; el Tribunal dice que por error, porque las leyes que la exigen nombran al pueblo del Estado de Illinois</w:t>
      </w:r>
      <w:r>
        <w:t xml:space="preserve"> [original: «the bond at issue in this case erroneously names "Madison County Government" as the obligee instead of "the People of the State of Illinois," as prescribed by the statutes requiring the bond»]</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[original: «agrees to surrender any and all surety bonds, public and/or corporate insurance policies, CAFR funds, or corporate property as needed to satisfy any and all claims and/or assessments as filed against said officer, agent, or representative by the Secured Party»]</w:t>
      </w:r>
      <w:r>
        <w:t xml:space="preserve"> (ídem, apéndice A, pág. PDF 181)</w:t>
      </w:r>
      <w:r>
        <w:t>. De esos documentos, el juez dice que no tienen fuerza legal, y que por eso las amenazas que contienen son, por definición, ilícitas</w:t>
      </w:r>
      <w:r>
        <w:t xml:space="preserve"> [original: «Since ‘fee schedules’ have no legal force, the threats they contain are by definition unlawful.»]</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t>[09.00-4.4, entero; lo de Maine, presunción: sin leer en esta edición; por leer en su fuente, 05, sección 5]</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r>
        <w:t>presunción</w:t>
      </w:r>
      <w:r>
        <w:t xml:space="preserve"> Fuentes que se citan, algunas sin leer en esta edición: Tribunal Supremo de Illinois, Bueker v. Madison County, 2016 IL 120024, de 1-XII-2016 (texto oficial, illinoiscourts.gov); Ley 40/2015, arts. 32 a 36; Maine Municipal Association, «Sovereign Citizens» (fuente secundaria).</w:t>
      </w:r>
    </w:p>
    <w:p>
      <w:r>
        <w:t>[09.00-4.1 a 4.5; Bueker, leído hoy en local (c9c), ¶ 1, 3, 4, 9, 16 y 26; Meads, leído hoy en local (c9h), ¶ 507 y 526 y apéndice A; Ley 40/2015, arts. 32 y 36, ya en 10.4; la Maine Municipal Association, presunción: sin leer en esta edición; por leer en su fuente, 05, sección 5]</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r>
        <w:t>[09.00-5.1, ya en 2.6]</w:t>
      </w:r>
    </w:p>
    <w:p>
      <w:pPr>
        <w:pStyle w:val="ListBullet"/>
      </w:pPr>
      <w:r>
        <w:rPr>
          <w:b/>
        </w:rPr>
        <w:t>La sentencia de Illinois fija la regla de la fianza, pero no trata de quienes la invocan.</w:t>
      </w:r>
      <w:r>
        <w:t xml:space="preserve"> Ese uso se ve en el apéndice de Meads, que lo recoge sin describirlo por su nombre. </w:t>
      </w:r>
      <w:r>
        <w:t>[09.00-4.4]</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r>
        <w:t>[Kiko, 8-oct-2026; 09.00-1.1 a 4.5]</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[09.00-7.1 a 7.10, ya en el capítulo 11; clasificación de las defensas, aprobada]</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