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(errata de copia, corregida al detectarla: la vio 07.8 al aplicar el B17; orden de 08.21, 11:1x, por la norma de Kiko de corregir al detectar): en «En pocas palabras», «más años cotizados, más normas y más trámites» pasa a «más años de vida, más normas y más trámites», las palabras de la conclusión de 9.1 (y de 0.2), que prueba las dos cosas bajo «Más años de vida por lo mismo»: los años cotizados y la edad.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10 (borrador B16). Ninguna otra palabra cambia. Cambio del 12-oct-2026 (Kiko, chat de 08.18, 06:3x, pasado por 08.18 tal cual, a «¿das el sí a los nueve cambios de 07.6?»: «si»; borrador B13, el barrido de los cuantificadores vagos en las frases con dato): en 9.1, «la deuda no se perdona nunca; se renueva y crece» pasa a «no hay remisión periódica, y la deuda del Estado se paga con deuda nueva y crece»: la ley española sí exonera deudas de la persona que no puede pagar, y lo documentado es lo de la deuda del Estado (8.1 y 8.6). Ninguna otra palabra cambia. Cambio del 9-oct-2026 (Kiko: «Sí al B6 con las tres recomendaciones» y «sí al B6»; filas 38 de 04p; borrador B6 de la carpeta 07, escrito por la ventana que acompaña): en 9.1, subapartado «El dictamen», una frase que remite a la piedra de 5.4. Cambio del 8-oct-2026 (fase de reparación, traducciones sin original, quinta tanda): puestos los originales ingleses de «un obispo y seis políticos destacados» (Britannica) y «siete pares» (Parlamento), que estaban en c9b/ y no se habían puesto en el texto. Cambio del 8-oct-2026 (lectura de la dirección de la obra, aviso PASO 4.8): en 9.2, «Los eligió la pieza original» pasa a «Los eligió el autor». ESTADO: APROBADO por Kiko el 6-oct-2026 («SI A TODO»: el capítulo; la lectura del autor del 9.2, redacción nueva; los nombres de los gobernantes en los diez casos y, en Islandia, solo los cargos; la errata de la duración de los casos, al 07). Su material está marcado en el inventario (04 CAPITULOS/marcas/marcas del capitulo 9.txt). Cualquier cambio posterior, con su aprobación. Redactado en el paso 3, solo con lo comprobado en el paso 2: al redactar no se ha descargado nada; lo que falta se apunta en la libreta 75 (7 bis). Escrito en tres niveles y con remisiones enlazables. Marcas: {fuente: …} niveles 2 y 3; {original: …} nivel 3; [trazabilidad] nivel 3; {completo} solo nivel 3; {breve} solo niveles 1 y 2. Trazabilidad: al final de cada párrafo o bloque, entre corchetes (se ve en el nivel completo). Reparto (6-oct): dos agentes localizaron y descargaron las fuentes (c9a: normas, estadísticas, Comín y la Biblia; c9b: los diez casos, los ashanti, los iroqueses y los aztecas); Claude descargó y leyó Hobbes, Núremberg y la Ley de Sociedades de Capital (c9) y leyó lo ya descargado en c5. Cada dato tiene su pasaje en el paso 2 (14 ARCHIVO DE PASAJES). Leído hoy en su original (paso 2, 6-oct): - BOE: Ley de Sociedades de Capital (art. 363.1.e); Ley Concursal (art. 1.3, ya en 5.1); Ley 22/2015, de Auditoría de Cuentas (art. 5.1.e); Código Penal (arts. 127 bis.1 y 127 quater.1 y 2); Orden EHA/3565/2008 (anexo IV, concepto 391); Decreto 2065/1974 (art. 154); Ley 26/1985 (arts. 2 y 3 y disposición transitoria segunda); Ley General de la Seguridad Social (arts. 205.1, 209.1 y 210.1, y disposiciones transitorias séptima, novena y cuadragésima); Real Decreto-ley 2/2023; Ley de Enjuiciamiento Civil (art. 607.1); Código Civil (arts. 659, 1003 y 1023); Constitución (arts. 9.1, 9.3, 25.1 y 168). - Organismos: Tribunal de Cuentas (Declaración sobre la Cuenta General del Estado de 2024, párrs. 2.23 y 4.20); Eurostat (gov_10a_main, gov_10dd_edpt1, gov_10a_exp y demo_gind); INE (tablas 1415 y 1414, IPC, Tabla de Pensiones 2021); OCDE (Taxing Wages); Ayuntamiento de Madrid (ejecución del presupuesto de ingresos de 2023 y 2024, datos abiertos). - Autores: Hobbes, Leviatán, final del cap. XXVIII y cap. XXIX (inglés, Gutenberg n.º 3207); Tribunal Militar Internacional de Núremberg, sentencia de 1-10-1946, «The Law of the Charter» (Avalon Project); Comín, Ayer, 21 (1996), p. 167; Biblia, Reina-Valera Antigua (2 R 14:6; Ez 18:20; Heb 4:12; Mt 3:12; Mt 13:29; Pr 22:7). - Los diez casos (c9b): Bill of Rights (legislation.gov.uk); Indian Independence Act 1947; Consejo de Estado y Sejm de Polonia (ISAP; resolución de 14-3-2014); rueda de prensa y nota del 9-11-1989 (Crónica del Muro); proyecto 217 y actas de la Asamblea Federal checoslovaca (29-11 y 29-12-1989); Casa Blanca (Biblioteca Reagan, 15 y 22-2-1986); discurso de De Klerk (2-2-1990, archivo O'Malley); NDI y Centro Carter (9-6-1999); OSCE/ODIHR, informe final sobre Georgia (28-1-2004); FMI, informe de país n.º 08/362; Gobierno de Islandia (26-1-2009); Instituto de Estadística de Islandia; Comisión Investigadora Especial de Islandia (2010); tratado de Fort Stanwix (1784, Avalon Project); López Austin (UNAM) y Torquemada, Monarquía indiana. - Fuentes secundarias (se marcan en el texto): Encyclopaedia Britannica; Parlamento del Reino Unido; Oficina de Prensa del Gobierno de la India; Gandhi Heritage Portal; Instituto de la Memoria Nacional de Polonia (IPN); Agencia Federal de Educación Cívica (bpb) y Archivo Federal de Alemania; Crónica del Muro; Instituto para el Estudio de los Regímenes Totalitarios (ÚSTR); Gaceta Oficial de Filipinas (copia del Internet Archive); Biblioteca del Congreso de EE. UU. (copia en countrystudies.us); Universidad Nacional Australiana; Columbia Magazine. Estudios privados: Instituto de Estudios Económicos; ATA (en 8.4). Hallado al escribir: erratas de la Biblioteca que la edición lleva corregidas (07 FE DE ERRATAS): - 00.0-5.4: «casi cuatro veces» → más de cuatro (4,3, con la deuda del mismo año, 2021). - 00.0-5.9: «sabían o debían sospechar» → lo que dice el Código Penal, art. 127 quater.1 y 2. - 21.00-16.7: las páginas de los Códigos del BOE cambian con cada edición: aquí no se dan (se remite a 5.2). - 21.00-16.8: el 1,5-2,5 % del IEE es la parte que atribuye a la fragmentación normativa, estimada «de manera conservadora»; el total, según otros autores que cita, es del 3 % al 5 %. - 21.00-16.24: «ya no es ley» → «ya no será ley» (Aquino, como en 1.1). - 19.00-13.1 (no hubo Parlamento reunido: carta de siete notables, 30-6-1688); 14.2 (la ley de 1947 es la Indian Independence Act); 15.1 (las elecciones y el Gobierno de 1989, con su matiz); 17.1 (29-11-1989, no el 28); 19.1 (las ganó el CNA; la Asamblea Nacional eligió a Mandela); 20.1 (las primeras competitivas desde 1955); 21.1 (irrupción el 22-11, dimisión el 23); 22.1 (el superlativo es del FMI, con su redacción); 23.1 (de 1688 a 2009, más de tres siglos; sin la Primavera Árabe; y «todos tardaron años o décadas», que no casa con las fechas de los propios casos). Y al redactar (libreta 75, 7 bis), sin descargar nada: - 19.00-14.1, 18.1, 19.1, 20.1 y 22.1: frases sin fuente leída que no entran («erosionó la legitimidad del Raj», «negociada», «sin sustancia moral que defender», «décadas de resistencia, sanciones y aislamiento», «la corrupción y el nepotismo», «sin un solo día de suspensión del orden constitucional»). - 19.00-23.1: «no todos tuvieron desenlaces estables» no tiene fuente leída: pasa al límite honesto como lo que la obra no ha estudiado. - 19.00-11.1 dice «tres» mecanismos; el 7.5 cuenta cuatro tradiciones que lo hicieron institución (con los veedores incas). Aquí se dice por qué los incas no cuentan para este apartado. - 19.00-11.1: el «procedimiento de garantías» de Qumrán no se ha leído (en 7.5, solo las penas graduadas): no entra. - 21.00-16.14: según el índice del agente (c9a), el grupo GF0101 de Eurostat incluye también los asuntos exteriores; la definición oficial no se ha leído. Se deja «gobierno, parlamentos y hacienda», con el código. - Capítulo 8, «Dónde se oye la defensa del Estado»: dice «en el veredicto (11.4)»; con el glosario 7.1, 11.4 es la defensa frente al dictamen (HECHO en el paso 4, 7-oct: en los capítulos 7 y 8). No entra: la fuente maya (sin leer en el original); el texto del discurso de dimisión de Suharto (solo en prensa); la salida de Marcos por la base de Clark y hacia Guam (sin comprobar); Yaa Asantewaa (no aparece en las fuentes leídas); la fecha exacta de las cacerolas de Islandia; los nombres de los responsables a quienes la comisión de Islandia atribuye negligencia (se dicen sus cargos). Remisiones: el orden de las leyes y la corrupción de la ley (1.1); la ley natural y Núremberg (1.4); nadie es juez en su propia causa (1.7); P4, P7 y P8 (3.2); la remisión, el jubileo y la usura (3.3); la servidumbre voluntaria y la creencia sin comprobar (4.1); lo que se da por supuesto sobre el concurso, el IRPF y las pensiones (5.1, n.º 5, 7 y 24); las plantas 2, 3 y 5 (5.2); Hobbes y la portada (6.1); la auctoritas (6.2); la deslegitimación (6.3); el derecho de resistencia (6.5); los 93 artículos (7.1); la Seguridad Social (7.2, n.º 11); las tradiciones que hicieron institución la corrección (7.5); la carga, los frutos que se reconocen y los 226 horas (8.4); la hucha, los intereses y el velo (8.6); la confianza y «el sistema creó los problemas» (8.9). Conceptos que ancla: la quiebra camuflada (9.1, siempre como lectura del autor); el dictamen (9.1).</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t xml:space="preserve"> (Ley de Sociedades de Capital, art. 363.1.e)</w:t>
      </w:r>
      <w:r>
        <w:br/>
      </w:r>
      <w:r>
        <w:rPr>
          <w:b/>
        </w:rPr>
        <w:t>leída en su fuente · Ley de Sociedades de Capital, art. 363.1.e</w:t>
      </w:r>
      <w:r>
        <w:br/>
      </w:r>
      <w:r>
        <w:rPr>
          <w:b/>
        </w:rPr>
        <w:t>Archivo leído:</w:t>
      </w:r>
      <w:r>
        <w:t xml:space="preserve"> lsc_rdleg1_2010.html (c9\lsc_rdleg1_2010.html) · contraste del archivo de pasajes: ✔</w:t>
      </w:r>
      <w:r>
        <w:br/>
      </w:r>
      <w:r>
        <w:rPr>
          <w:b/>
        </w:rPr>
        <w:t>Dirección:</w:t>
      </w:r>
      <w:r>
        <w:t xml:space="preserve"> </w:t>
      </w:r>
      <w:r>
        <w:t>https://www.boe.es/buscar/act.php?id=BOE-A-2010-10544</w:t>
      </w:r>
      <w:r>
        <w:br/>
      </w:r>
      <w:r>
        <w:rPr>
          <w:b/>
        </w:rPr>
        <w:t>Tal como está en la fuente:</w:t>
      </w:r>
      <w:r>
        <w:t xml:space="preserve"> Artículo 363. Causas de disolución. 1. La sociedad de capital deberá disolverse: […] e) Por pérdidas que dejen reducido el patrimonio neto a una cantidad inferior a la mitad del capital social, a no ser que éste se aumente o se reduzca en la medida suficiente, y siempre que no sea procedente solicitar la declaración de concurso.</w:t>
      </w:r>
      <w:r>
        <w:br/>
      </w:r>
      <w:r>
        <w:rPr>
          <w:b/>
        </w:rPr>
        <w:t>Traducción guardada:</w:t>
      </w:r>
      <w:r>
        <w:t xml:space="preserve"> texto consolidado, última actualización publicada el 3-1-2025</w:t>
      </w:r>
      <w:r>
        <w:t>. Es la vara de la obra: la regla que el sistema aplica a cualquier persona o empresa (</w:t>
      </w:r>
      <w:r>
        <w:t>0.5</w:t>
      </w:r>
      <w:r>
        <w:t xml:space="preserve">). </w:t>
      </w:r>
      <w:r>
        <w:t>[00.0-5.1 y 5.2; 21.00-16.1 y 16.16; Ley de Sociedades de Capital leída en el BOE]</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t xml:space="preserve"> (Tribunal de Cuentas, Declaración sobre la Cuenta General del Estado de 2024, párr. 2.23)</w:t>
      </w:r>
      <w:r>
        <w:br/>
      </w:r>
      <w:r>
        <w:rPr>
          <w:b/>
        </w:rPr>
        <w:t>leída en su fuente · Tribunal de Cuentas, Declaración sobre la Cuenta General del Estado de 2024, párr. 2.23</w:t>
      </w:r>
      <w:r>
        <w:br/>
      </w:r>
      <w:r>
        <w:rPr>
          <w:b/>
        </w:rPr>
        <w:t>Archivo leído:</w:t>
      </w:r>
      <w:r>
        <w:t xml:space="preserve"> tcu_declaracion_cge2024_n1677.pdf (c5\tcu_declaracion_cge2024_n1677.pdf) · contraste del archivo de pasajes: ✔</w:t>
      </w:r>
      <w:r>
        <w:br/>
      </w:r>
      <w:r>
        <w:rPr>
          <w:b/>
        </w:rPr>
        <w:t>Lugar:</w:t>
      </w:r>
      <w:r>
        <w:t xml:space="preserve"> Párrafo 2.23, pág. PDF 16</w:t>
      </w:r>
      <w:r>
        <w:br/>
      </w:r>
      <w:r>
        <w:rPr>
          <w:b/>
        </w:rPr>
        <w:t>Dirección:</w:t>
      </w:r>
      <w:r>
        <w:t xml:space="preserve"> </w:t>
      </w:r>
      <w:r>
        <w:t>https://www.congreso.es/docu/inf_fiscTC/LegXV/250-8.pdf</w:t>
      </w:r>
      <w:r>
        <w:br/>
      </w:r>
      <w:r>
        <w:rPr>
          <w:b/>
        </w:rPr>
        <w:t>Tal como está en la fuente:</w:t>
      </w:r>
      <w:r>
        <w:t xml:space="preserve"> El balance de la Seguridad Social recoge desde 2017 un patrimonio neto negativo que, a 31 de diciembre de 2024, asciende a 106.138,7 millones de euros</w:t>
      </w:r>
      <w:r>
        <w:t>. Son ocho cierres seguidos (</w:t>
      </w:r>
      <w:r>
        <w:t>7.2</w:t>
      </w:r>
      <w:r>
        <w:t>, n.º 11).</w:t>
      </w:r>
    </w:p>
    <w:p>
      <w:pPr>
        <w:pStyle w:val="ListBullet"/>
      </w:pPr>
      <w:r>
        <w:rPr>
          <w:b/>
        </w:rPr>
        <w:t>Debe al Estado</w:t>
      </w:r>
      <w:r>
        <w:t xml:space="preserve"> 126.170 millones de euros en préstamos, «un 7,91 % del Producto Interior Bruto (PIB) de 2024»</w:t>
      </w:r>
      <w:r>
        <w:t xml:space="preserve"> (ídem, párr. 4.20)</w:t>
      </w:r>
      <w:r>
        <w:br/>
      </w:r>
      <w:r>
        <w:rPr>
          <w:b/>
        </w:rPr>
        <w:t>leída en su fuente · ídem, párr. 4.20</w:t>
      </w:r>
      <w:r>
        <w:br/>
      </w:r>
      <w:r>
        <w:rPr>
          <w:b/>
        </w:rPr>
        <w:t>Archivo leído:</w:t>
      </w:r>
      <w:r>
        <w:t xml:space="preserve"> tcu_declaracion_cge2024_n1677.pdf (c5\tcu_declaracion_cge2024_n1677.pdf) · contraste del archivo de pasajes: ✔</w:t>
      </w:r>
      <w:r>
        <w:br/>
      </w:r>
      <w:r>
        <w:rPr>
          <w:b/>
        </w:rPr>
        <w:t>Lugar:</w:t>
      </w:r>
      <w:r>
        <w:t xml:space="preserve"> Pág. PDF 52, párr. 4.20</w:t>
      </w:r>
      <w:r>
        <w:br/>
      </w:r>
      <w:r>
        <w:rPr>
          <w:b/>
        </w:rPr>
        <w:t>Tal como está en la fuente:</w:t>
      </w:r>
      <w:r>
        <w:t xml:space="preserve"> acumulando la Seguridad Social un endeudamiento frente al Estado, a 31 de diciembre de 2024, de 126.170,2 millones de euros (un 7,91 % del Producto Interior Bruto (PIB) de 2024)</w:t>
      </w:r>
      <w:r>
        <w:t>.</w:t>
      </w:r>
    </w:p>
    <w:p>
      <w:pPr>
        <w:pStyle w:val="ListBullet"/>
      </w:pPr>
      <w:r>
        <w:rPr>
          <w:b/>
        </w:rPr>
        <w:t>Las administraciones</w:t>
      </w:r>
      <w:r>
        <w:t xml:space="preserve"> gastaron más de lo que ingresaron en 28 de los 31 años de 1995 a 2025: solo cerraron con superávit en 2005, 2006 y 2007</w:t>
      </w:r>
      <w:r>
        <w:t xml:space="preserve"> (Eurostat, cuentas de las administraciones públicas (gov_10a_main), saldo en % del PIB)</w:t>
      </w:r>
      <w:r>
        <w:t>. La deuda pasó de 384.662 millones de euros en 2007 a 1.698.225 a final de 2025</w:t>
      </w:r>
      <w:r>
        <w:t xml:space="preserve"> (Eurostat, deuda de las administraciones públicas (gov_10dd_edpt1))</w:t>
      </w:r>
      <w:r>
        <w:t>, y lo que falta cada año equivale, más o menos, a los intereses de lo ya pedido (</w:t>
      </w:r>
      <w:r>
        <w:t>8.6</w:t>
      </w:r>
      <w:r>
        <w:t>).</w:t>
      </w:r>
    </w:p>
    <w:p>
      <w:r>
        <w:t>[21.00-16.9; Tribunal de Cuentas y Eurostat leídos en el original]</w:t>
      </w:r>
    </w:p>
    <w:p>
      <w:r>
        <w:rPr>
          <w:b/>
        </w:rPr>
        <w:t>Por qué no se le declara en quiebra.</w:t>
      </w:r>
      <w:r>
        <w:t xml:space="preserve"> Porque la ley que él mismo escribe lo excluye del concurso de acreedores (</w:t>
      </w:r>
      <w:r>
        <w:t>5.1</w:t>
      </w:r>
      <w:r>
        <w:t>, n.º 7). Y nadie debe ser juez en su propia causa (</w:t>
      </w:r>
      <w:r>
        <w:t>1.7</w:t>
      </w:r>
      <w:r>
        <w:t xml:space="preserve">). </w:t>
      </w:r>
      <w:r>
        <w:t>[00.0-5.2; 21.00-16.23]</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 </w:t>
      </w:r>
      <w:r>
        <w:t>[00.0-5.2; 21.00-16.16; glosario 7.2]</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 </w:t>
      </w:r>
      <w:r>
        <w:t>[00.0-5.3; 21.00-16.17]</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t xml:space="preserve"> (Eurostat, deuda de las administraciones públicas)</w:t>
      </w:r>
      <w:r>
        <w:t>: la prometida era más de cuatro veces mayor, 4,3 veces (cálculo de la obra). El propio INE advierte que es el valor actual de pagos futuros, no una deuda que venza hoy (</w:t>
      </w:r>
      <w:r>
        <w:t>5.1</w:t>
      </w:r>
      <w:r>
        <w:t xml:space="preserve">, n.º 24). </w:t>
      </w:r>
      <w:r>
        <w:t>[00.0-5.4, corregido: «casi cuatro» comparaba con la deuda de 2025; 21.00-16.26]</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 xml:space="preserve">). </w:t>
      </w:r>
      <w:r>
        <w:t>[00.0-5.4; 21.00-16.26]</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 </w:t>
      </w:r>
      <w:r>
        <w:t>[00.0-5.4; 21.00-16.26]</w:t>
      </w:r>
    </w:p>
    <w:p>
      <w:r>
        <w:rPr>
          <w:b/>
        </w:rPr>
        <w:t>Lectura del autor:</w:t>
      </w:r>
      <w:r>
        <w:t xml:space="preserve"> el ciudadano es a la vez acreedor y pagador: el sistema le debe, y le cobra para pagarle lo que le debe. Es una deuda contraída contra el ciudadano, y es el Estado quien debe compensarle. </w:t>
      </w:r>
      <w:r>
        <w:t>[00.0-5.5; 21.00-16.27]</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t xml:space="preserve"> [original: «Crimes against international law are committed by men, not by abstract entities»]</w:t>
      </w:r>
      <w:r>
        <w:t xml:space="preserve"> (Tribunal Militar Internacional de Núremberg, sentencia de 1-10-1946, «The Law of the Charter» (El derecho del Estatuto))</w:t>
      </w:r>
      <w:r>
        <w:br/>
      </w:r>
      <w:r>
        <w:rPr>
          <w:b/>
        </w:rPr>
        <w:t>leída en su fuente · Tribunal Militar Internacional de Núremberg, sentencia de 1-10-1946, «The Law of the Chart</w:t>
      </w:r>
      <w:r>
        <w:br/>
      </w:r>
      <w:r>
        <w:rPr>
          <w:b/>
        </w:rPr>
        <w:t>Archivo leído:</w:t>
      </w:r>
      <w:r>
        <w:t xml:space="preserve"> nuremberg_juicio_ley_de_la_carta_avalon.html (c9\nuremberg_juicio_ley_de_la_carta_avalon.html) · contraste del archivo de pasajes: ✔</w:t>
      </w:r>
      <w:r>
        <w:br/>
      </w:r>
      <w:r>
        <w:rPr>
          <w:b/>
        </w:rPr>
        <w:t>Dirección:</w:t>
      </w:r>
      <w:r>
        <w:t xml:space="preserve"> </w:t>
      </w:r>
      <w:r>
        <w:t>https://avalon.law.yale.edu/imt/judlawch.asp</w:t>
      </w:r>
      <w:r>
        <w:br/>
      </w:r>
      <w:r>
        <w:rPr>
          <w:b/>
        </w:rPr>
        <w:t>Tal como está en la fuente:</w:t>
      </w:r>
      <w:r>
        <w:t xml:space="preserve"> Crimes against international law are committed by men, not by abstract entities, and only by punishing individuals who commit such crimes can the provisions of international law be enforced.</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t xml:space="preserve"> (Código Penal, art. 127 quater.1.a)</w:t>
      </w:r>
      <w:r>
        <w:br/>
      </w:r>
      <w:r>
        <w:rPr>
          <w:b/>
        </w:rPr>
        <w:t>leída en su fuente · Código Penal, art. 127 quater.1.a</w:t>
      </w:r>
      <w:r>
        <w:br/>
      </w:r>
      <w:r>
        <w:rPr>
          <w:b/>
        </w:rPr>
        <w:t>Archivo leído:</w:t>
      </w:r>
      <w:r>
        <w:t xml:space="preserve"> 8.5_15a_Codigo_Penal_BOE-A-1995-25444.html (c8c\8.5_15a_Codigo_Penal_BOE-A-1995-25444.html) · contraste del archivo de pasajes: ✔</w:t>
      </w:r>
      <w:r>
        <w:br/>
      </w:r>
      <w:r>
        <w:rPr>
          <w:b/>
        </w:rPr>
        <w:t>Lugar:</w:t>
      </w:r>
      <w:r>
        <w:t xml:space="preserve"> Art. 127 quater.1 (#a127quater)</w:t>
      </w:r>
      <w:r>
        <w:br/>
      </w:r>
      <w:r>
        <w:rPr>
          <w:b/>
        </w:rPr>
        <w:t>Dirección:</w:t>
      </w:r>
      <w:r>
        <w:t xml:space="preserve"> </w:t>
      </w:r>
      <w:r>
        <w:t>https://www.boe.es/buscar/act.php?id=BOE-A-1995-25444</w:t>
      </w:r>
      <w:r>
        <w:br/>
      </w:r>
      <w:r>
        <w:rPr>
          <w:b/>
        </w:rPr>
        <w:t>Tal como está en la fuente:</w:t>
      </w:r>
      <w:r>
        <w:t xml:space="preserve"> 1. Los jueces y tribunales podrán acordar también el decomiso de los bienes, efectos y ganancias a que se refieren los artículos anteriores que hayan sido transferidos a terceras personas, o de un valor equivalente a los mismos, en los siguientes casos: / a) En el caso de los efectos y ganancias, cuando los hubieran adquirido con conocimiento de que proceden de una actividad ilícita o cuando una persona diligente habría tenido motivos para sospechar, en las circunstancias del caso, de su origen ilícito. / b) En el caso de otros bienes, cuando los hubieran adquirido con conocimiento de que de este modo se dificultaba su decomiso o cuando una persona diligente habría tenido motivos para sospechar, en las circunstancias del caso, que de ese modo se dificultaba su decomiso.</w:t>
      </w:r>
      <w:r>
        <w:t>. La ley ya presume, salvo prueba en contrario, que el tercero lo sabía cuando los bienes «le hubieran sido transferidos a título gratuito o por un precio inferior al real de mercado»</w:t>
      </w:r>
      <w:r>
        <w:t xml:space="preserve"> (art. 127 quater.2)</w:t>
      </w:r>
      <w:r>
        <w:br/>
      </w:r>
      <w:r>
        <w:rPr>
          <w:b/>
        </w:rPr>
        <w:t>leída en su fuente · art. 127 quater.2</w:t>
      </w:r>
      <w:r>
        <w:br/>
      </w:r>
      <w:r>
        <w:rPr>
          <w:b/>
        </w:rPr>
        <w:t>Archivo leído:</w:t>
      </w:r>
      <w:r>
        <w:t xml:space="preserve"> 8.5_15a_Codigo_Penal_BOE-A-1995-25444.html (c8c\8.5_15a_Codigo_Penal_BOE-A-1995-25444.html) · contraste del archivo de pasajes: ✔</w:t>
      </w:r>
      <w:r>
        <w:br/>
      </w:r>
      <w:r>
        <w:rPr>
          <w:b/>
        </w:rPr>
        <w:t>Lugar:</w:t>
      </w:r>
      <w:r>
        <w:t xml:space="preserve"> Art. 127 quater.1 (#a127quater)</w:t>
      </w:r>
      <w:r>
        <w:br/>
      </w:r>
      <w:r>
        <w:rPr>
          <w:b/>
        </w:rPr>
        <w:t>Dirección:</w:t>
      </w:r>
      <w:r>
        <w:t xml:space="preserve"> </w:t>
      </w:r>
      <w:r>
        <w:t>https://www.boe.es/buscar/act.php?id=BOE-A-1995-25444</w:t>
      </w:r>
      <w:r>
        <w:br/>
      </w:r>
      <w:r>
        <w:rPr>
          <w:b/>
        </w:rPr>
        <w:t>Tal como está en la fuente:</w:t>
      </w:r>
      <w:r>
        <w:t xml:space="preserve"> 2. Se presumirá, salvo prueba en contrario, que el tercero ha conocido o ha tenido motivos para sospechar que se trataba de bienes procedentes de una actividad ilícita o que eran transferidos para evitar su decomiso, cuando los bienes o efectos le hubieran sido transferidos a título gratuito o por un precio inferior al real de mercado.</w:t>
      </w:r>
      <w:r>
        <w:t>.</w:t>
      </w:r>
    </w:p>
    <w:p>
      <w:pPr>
        <w:spacing w:after="60"/>
        <w:ind w:left="510" w:hanging="397"/>
      </w:pPr>
      <w:r>
        <w:rPr>
          <w:b w:val="0"/>
        </w:rPr>
        <w:t xml:space="preserve">4. </w:t>
      </w:r>
      <w:r>
        <w:rPr>
          <w:b/>
        </w:rPr>
        <w:t>Y nunca por apellido ni por parentesco:</w:t>
      </w:r>
      <w:r>
        <w:t xml:space="preserve"> «el hijo no llevará por el pecado del padre»</w:t>
      </w:r>
      <w:r>
        <w:t xml:space="preserve"> (Ez 18:20)</w:t>
      </w:r>
      <w:r>
        <w:br/>
      </w:r>
      <w:r>
        <w:rPr>
          <w:b/>
        </w:rPr>
        <w:t>leída en su fuente · Ez 18:20</w:t>
      </w:r>
      <w:r>
        <w:br/>
      </w:r>
      <w:r>
        <w:rPr>
          <w:b/>
        </w:rPr>
        <w:t>Archivo leído:</w:t>
      </w:r>
      <w:r>
        <w:t xml:space="preserve"> ez_18_20_rva.html (c9a\ez_18_20_rva.html) · contraste del archivo de pasajes: ✔</w:t>
      </w:r>
      <w:r>
        <w:br/>
      </w:r>
      <w:r>
        <w:rPr>
          <w:b/>
        </w:rPr>
        <w:t>Lugar:</w:t>
      </w:r>
      <w:r>
        <w:t xml:space="preserve"> passage-text, v. 20</w:t>
      </w:r>
      <w:r>
        <w:br/>
      </w:r>
      <w:r>
        <w:rPr>
          <w:b/>
        </w:rPr>
        <w:t>Dirección:</w:t>
      </w:r>
      <w:r>
        <w:t xml:space="preserve"> </w:t>
      </w:r>
      <w:r>
        <w:t>https://www.biblegateway.com/passage/?search=Ezekiel+18%3A20&amp;version=RVA</w:t>
      </w:r>
      <w:r>
        <w:br/>
      </w:r>
      <w:r>
        <w:rPr>
          <w:b/>
        </w:rPr>
        <w:t>Tal como está en la fuente:</w:t>
      </w:r>
      <w:r>
        <w:t xml:space="preserve"> El alma que pecare, esa morirá: el hijo no llevará por el pecado del padre, ni el padre llevará por el pecado del hijo: la justicia del justo será sobre él, y la impiedad el impío será sobre él.</w:t>
      </w:r>
      <w:r>
        <w:t>. Es el principio de que cada uno responde de lo suyo (</w:t>
      </w:r>
      <w:r>
        <w:t>3.2</w:t>
      </w:r>
      <w:r>
        <w:t>, P7).</w:t>
      </w:r>
    </w:p>
    <w:p>
      <w:r>
        <w:t>[00.0-5.9, corregido: la ley no dice «sabían o debían sospechar»; sentencia de Núremberg leída en el Avalon Project; Código Penal leído en el BOE]</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xml:space="preserve"> [original: «the maxim nullum crimen sine lege is not a limitation of sovereignty, but is in general a principle of justice»]</w:t>
      </w:r>
      <w:r>
        <w:t>. Y que castigar a quien había atacado a sus vecinos violando tratados no era injusto, porque «en tales circunstancias el atacante debe saber que obra mal»</w:t>
      </w:r>
      <w:r>
        <w:t xml:space="preserve"> [original: «in such circumstances the attacker must know that he is doing wrong»]</w:t>
      </w:r>
      <w:r>
        <w:t xml:space="preserve"> (ídem)</w:t>
      </w:r>
      <w:r>
        <w:br/>
      </w:r>
      <w:r>
        <w:rPr>
          <w:b/>
        </w:rPr>
        <w:t>leída en su fuente · ídem</w:t>
      </w:r>
      <w:r>
        <w:br/>
      </w:r>
      <w:r>
        <w:rPr>
          <w:b/>
        </w:rPr>
        <w:t>Archivo leído:</w:t>
      </w:r>
      <w:r>
        <w:t xml:space="preserve"> nuremberg_juicio_ley_de_la_carta_avalon.html (c9\nuremberg_juicio_ley_de_la_carta_avalon.html) · contraste del archivo de pasajes: ✔</w:t>
      </w:r>
      <w:r>
        <w:br/>
      </w:r>
      <w:r>
        <w:rPr>
          <w:b/>
        </w:rPr>
        <w:t>Dirección:</w:t>
      </w:r>
      <w:r>
        <w:t xml:space="preserve"> </w:t>
      </w:r>
      <w:r>
        <w:t>https://avalon.law.yale.edu/imt/judlawch.asp</w:t>
      </w:r>
      <w:r>
        <w:br/>
      </w:r>
      <w:r>
        <w:rPr>
          <w:b/>
        </w:rPr>
        <w:t>Tal como está en la fuente:</w:t>
      </w:r>
      <w:r>
        <w:t xml:space="preserve"> In the first place, it is to be observed that the maxim nullum crimen sine lege is not a limitation of sovereignty, but is in general a principle of justice. To assert that it is unjust to punish those who in defiance of treaties and assurances have attacked neighbouring states without warning is obviously untrue, for in such circumstances the attacker must know that he is doing wrong […]</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t xml:space="preserve"> (Ley de Enjuiciamiento Civil, art. 607.1)</w:t>
      </w:r>
      <w:r>
        <w:br/>
      </w:r>
      <w:r>
        <w:rPr>
          <w:b/>
        </w:rPr>
        <w:t>leída en su fuente · Ley de Enjuiciamiento Civil, art. 607.1</w:t>
      </w:r>
      <w:r>
        <w:br/>
      </w:r>
      <w:r>
        <w:rPr>
          <w:b/>
        </w:rPr>
        <w:t>Archivo leído:</w:t>
      </w:r>
      <w:r>
        <w:t xml:space="preserve"> lec_ley1_2000.html (c5\lec_ley1_2000.html) · contraste del archivo de pasajes: ✔</w:t>
      </w:r>
      <w:r>
        <w:br/>
      </w:r>
      <w:r>
        <w:rPr>
          <w:b/>
        </w:rPr>
        <w:t>Lugar:</w:t>
      </w:r>
      <w:r>
        <w:t xml:space="preserve"> Art. 607.1</w:t>
      </w:r>
      <w:r>
        <w:br/>
      </w:r>
      <w:r>
        <w:rPr>
          <w:b/>
        </w:rPr>
        <w:t>Tal como está en la fuente:</w:t>
      </w:r>
      <w:r>
        <w:t xml:space="preserve"> Es inembargable el salario, sueldo, pensión, retribución o su equivalente, que no exceda de la cuantía señalada para el salario mínimo interprofesional.</w:t>
      </w:r>
      <w:r>
        <w:t xml:space="preserve">. </w:t>
      </w:r>
      <w:r>
        <w:t>[00.0-5.10; Ley de Enjuiciamiento Civil leída en el BOE]</w:t>
      </w:r>
    </w:p>
    <w:p>
      <w:r>
        <w:rPr>
          <w:b/>
        </w:rPr>
        <w:t>Los hijos.</w:t>
      </w:r>
      <w:r>
        <w:t xml:space="preserve"> No pagan por sus padres: «no mató á los hijos de los que le mataron, conforme á lo que está escrito en el libro de la ley de Moisés»</w:t>
      </w:r>
      <w:r>
        <w:t xml:space="preserve"> (2 R 14:6)</w:t>
      </w:r>
      <w:r>
        <w:br/>
      </w:r>
      <w:r>
        <w:rPr>
          <w:b/>
        </w:rPr>
        <w:t>leída en su fuente · 2 R 14:6</w:t>
      </w:r>
      <w:r>
        <w:br/>
      </w:r>
      <w:r>
        <w:rPr>
          <w:b/>
        </w:rPr>
        <w:t>Archivo leído:</w:t>
      </w:r>
      <w:r>
        <w:t xml:space="preserve"> 2r_14_6_rva.html (c9a\2r_14_6_rva.html) · contraste del archivo de pasajes: ✔</w:t>
      </w:r>
      <w:r>
        <w:br/>
      </w:r>
      <w:r>
        <w:rPr>
          <w:b/>
        </w:rPr>
        <w:t>Lugar:</w:t>
      </w:r>
      <w:r>
        <w:t xml:space="preserve"> passage-text, v. 6</w:t>
      </w:r>
      <w:r>
        <w:br/>
      </w:r>
      <w:r>
        <w:rPr>
          <w:b/>
        </w:rPr>
        <w:t>Dirección:</w:t>
      </w:r>
      <w:r>
        <w:t xml:space="preserve"> </w:t>
      </w:r>
      <w:r>
        <w:t>https://www.biblegateway.com/passage/?search=2+Kings+14%3A6&amp;version=RVA</w:t>
      </w:r>
      <w:r>
        <w:br/>
      </w:r>
      <w:r>
        <w:rPr>
          <w:b/>
        </w:rPr>
        <w:t>Tal como está en la fuente:</w:t>
      </w:r>
      <w:r>
        <w:t xml:space="preserve"> Mas no mató á los hijos de los que le mataron, conforme á lo que está escrito en el libro de la ley de Moisés, donde Jehová mandó, diciendo: No matarán á los padres por los hijos, ni á los hijos por los padres: mas cada uno morirá por su pecado.</w:t>
      </w:r>
      <w:r>
        <w:t>. Pero tampoco conservan lo que sus padres no podían dejarles. La herencia comprende «todos los bienes, derechos y obligaciones de una persona que no se extingan por su muerte»</w:t>
      </w:r>
      <w:r>
        <w:t xml:space="preserve"> (Código Civil, art. 659)</w:t>
      </w:r>
      <w:r>
        <w:br/>
      </w:r>
      <w:r>
        <w:rPr>
          <w:b/>
        </w:rPr>
        <w:t>leída en su fuente · Código Civil, art. 659</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La herencia comprende todos los bienes, derechos y obligaciones de una persona que no se extingan por su muerte.</w:t>
      </w:r>
      <w:r>
        <w:t>, y quien la acepta a beneficio de inventario responde de sus cargas solo «hasta donde alcancen los bienes de la misma»</w:t>
      </w:r>
      <w:r>
        <w:t xml:space="preserve"> (art. 1023)</w:t>
      </w:r>
      <w:r>
        <w:br/>
      </w:r>
      <w:r>
        <w:rPr>
          <w:b/>
        </w:rPr>
        <w:t>leída en su fuente · art. 1023</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El beneficio de inventario produce en favor del heredero los efectos siguientes: 1.º El heredero no queda obligado a pagar las deudas y demás cargas de la herencia sino hasta donde alcancen los bienes de la misma.</w:t>
      </w:r>
      <w:r>
        <w:t xml:space="preserve">. Lo heredado de origen ilícito se devuelve, hasta donde alcance la herencia, y lo que los hijos ganaron con su trabajo es suyo. Quien demuestre haber servido al bien común verá valorada esa conducta, después de restituir. </w:t>
      </w:r>
      <w:r>
        <w:t>[00.0-5.10; Código Civil leído en el BOE; 2 R 14:6 en la Reina-Valera Antigua]</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xml:space="preserve">). Es la raíz de la propia palabra del poder, y sirve de medida: ¿hace crecer este sistema a quienes lo sostienen? </w:t>
      </w:r>
      <w:r>
        <w:t>[00.0-5.6; glosario 7.3]</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t xml:space="preserve"> (Decreto 2065/1974, art. 154.1.b)</w:t>
      </w:r>
      <w:r>
        <w:br/>
      </w:r>
      <w:r>
        <w:rPr>
          <w:b/>
        </w:rPr>
        <w:t>leída en su fuente · Decreto 2065/1974, art. 154.1.b</w:t>
      </w:r>
      <w:r>
        <w:br/>
      </w:r>
      <w:r>
        <w:rPr>
          <w:b/>
        </w:rPr>
        <w:t>Archivo leído:</w:t>
      </w:r>
      <w:r>
        <w:t xml:space="preserve"> decreto2065_1974_lgss_texto_original.html; decreto2065_1974_lgss_conclusion_BOE_22-07-1974_A15170-15185.pdf (c9a\decreto2065_1974_lgss_texto_original.html; c9a\decreto2065_1974_lgss_conclusion_BOE_22-07-1974_A15170-15185.pdf) · contraste del archivo de pasajes: ✔</w:t>
      </w:r>
      <w:r>
        <w:br/>
      </w:r>
      <w:r>
        <w:rPr>
          <w:b/>
        </w:rPr>
        <w:t>Lugar:</w:t>
      </w:r>
      <w:r>
        <w:t xml:space="preserve"> Art. 154,</w:t>
      </w:r>
      <w:r>
        <w:br/>
      </w:r>
      <w:r>
        <w:rPr>
          <w:b/>
        </w:rPr>
        <w:t>Dirección:</w:t>
      </w:r>
      <w:r>
        <w:t xml:space="preserve"> </w:t>
      </w:r>
      <w:r>
        <w:t>https://www.boe.es/buscar/doc.php?id=BOE-A-1974-1165</w:t>
      </w:r>
      <w:r>
        <w:t xml:space="preserve"> ; PDF: </w:t>
      </w:r>
      <w:r>
        <w:t>https://www.boe.es/boe/dias/1974/07/22/pdfs/A15170-15185.pdf</w:t>
      </w:r>
      <w:r>
        <w:br/>
      </w:r>
      <w:r>
        <w:rPr>
          <w:b/>
        </w:rPr>
        <w:t>Tal como está en la fuente:</w:t>
      </w:r>
      <w:r>
        <w:t xml:space="preserve"> 1. Tendrán derecho a la pensión de jubilación los trabajadores por cuenta ajena que, además de la general exigida en el número 1 del artículo 94, reúnan las siguientes condiciones: / a) Haber cumplido sesenta y cinco años de edad. / b) Tener cubierto un período mínimo de cotización de diez años, de los cuales al menos setecientos días deberán estar comprendidos dentro de los siete años inmediatamente anteriores al momento de causar el derecho.</w:t>
      </w:r>
      <w:r>
        <w:t>. Desde 1985, quince</w:t>
      </w:r>
      <w:r>
        <w:t xml:space="preserve"> (Ley 26/1985, art. 2.1)</w:t>
      </w:r>
      <w:r>
        <w:t>, como hoy: «Tener cubierto un período mínimo de cotización de quince años»</w:t>
      </w:r>
      <w:r>
        <w:t xml:space="preserve"> (Ley General de la Seguridad Social, art. 205.1.b)</w:t>
      </w:r>
      <w:r>
        <w:br/>
      </w:r>
      <w:r>
        <w:rPr>
          <w:b/>
        </w:rPr>
        <w:t>leída en su fuente · Ley General de la Seguridad Social, art. 205.1.b</w:t>
      </w:r>
      <w:r>
        <w:br/>
      </w:r>
      <w:r>
        <w:rPr>
          <w:b/>
        </w:rPr>
        <w:t>Archivo leído:</w:t>
      </w:r>
      <w:r>
        <w:t xml:space="preserve"> lgss_rdl8_2015.html (c5\lgss_rdl8_2015.html) · contraste del archivo de pasajes: ✔</w:t>
      </w:r>
      <w:r>
        <w:br/>
      </w:r>
      <w:r>
        <w:rPr>
          <w:b/>
        </w:rPr>
        <w:t>Lugar:</w:t>
      </w:r>
      <w:r>
        <w:t xml:space="preserve"> Art. 205.1.a</w:t>
      </w:r>
      <w:r>
        <w:br/>
      </w:r>
      <w:r>
        <w:rPr>
          <w:b/>
        </w:rPr>
        <w:t>Tal como está en la fuente:</w:t>
      </w:r>
      <w:r>
        <w:t xml:space="preserve"> Tener cubierto un período mínimo de cotización de quince años</w:t>
      </w:r>
      <w:r>
        <w:t>.</w:t>
      </w:r>
    </w:p>
    <w:p>
      <w:pPr>
        <w:pStyle w:val="ListBullet"/>
      </w:pPr>
      <w:r>
        <w:rPr>
          <w:b/>
        </w:rPr>
        <w:t>El paso de diez a quince</w:t>
      </w:r>
      <w:r>
        <w:t xml:space="preserve"> fue gradual: la ley de 1985 sumaba al mínimo anterior «la mitad del tiempo transcurrido» desde su entrada en vigor, «hasta que el período así determinado alcance los quince años»</w:t>
      </w:r>
      <w:r>
        <w:t xml:space="preserve"> (Ley 26/1985, disposición transitoria segunda)</w:t>
      </w:r>
      <w:r>
        <w:br/>
      </w:r>
      <w:r>
        <w:rPr>
          <w:b/>
        </w:rPr>
        <w:t>leída en su fuente · Ley 26/1985, disposición transitoria segunda</w:t>
      </w:r>
      <w:r>
        <w:br/>
      </w:r>
      <w:r>
        <w:rPr>
          <w:b/>
        </w:rPr>
        <w:t>Archivo leído:</w:t>
      </w:r>
      <w:r>
        <w:t xml:space="preserve"> ídem (c9a\ley26_1985_BOE_01-08-1985_A24452-24454.pdf) · contraste del archivo de pasajes: ✔</w:t>
      </w:r>
      <w:r>
        <w:br/>
      </w:r>
      <w:r>
        <w:rPr>
          <w:b/>
        </w:rPr>
        <w:t>Lugar:</w:t>
      </w:r>
      <w:r>
        <w:t xml:space="preserve"> Disposición transitoria segunda, 1</w:t>
      </w:r>
      <w:r>
        <w:br/>
      </w:r>
      <w:r>
        <w:rPr>
          <w:b/>
        </w:rPr>
        <w:t>Tal como está en la fuente:</w:t>
      </w:r>
      <w:r>
        <w:t xml:space="preserve"> 1. Para los trabajadores por cuenta ajena del Régimen General y de los Regímenes Especiales de la Minería del Carbón, Ferroviarios, Agrario y Mar, el período máximo exigible para causar derecho a jubilación será el que resulte de sumar al período mínimo establecido en la legislación anterior, la mitad del tiempo transcurrido entre la fecha de entrada en vigor de la presente Ley y la del hecho causante de la jubilación, hasta que el período así determinado alcance los quince años.</w:t>
      </w:r>
      <w:r>
        <w:br/>
      </w:r>
      <w:r>
        <w:rPr>
          <w:b/>
        </w:rPr>
        <w:t>Traducción guardada:</w:t>
      </w:r>
      <w:r>
        <w:t xml:space="preserve"> el BOE dice «período máximo»</w:t>
      </w:r>
      <w:r>
        <w:t>. Y la de 1974 pedía además que setecientos días estuvieran dentro de los siete años anteriores</w:t>
      </w:r>
      <w:r>
        <w:t xml:space="preserve"> (Decreto 2065/1974, art. 154.1.b)</w:t>
      </w:r>
      <w:r>
        <w:t>.</w:t>
      </w:r>
    </w:p>
    <w:p>
      <w:pPr>
        <w:pStyle w:val="ListBullet"/>
      </w:pPr>
      <w:r>
        <w:rPr>
          <w:b/>
        </w:rPr>
        <w:t>Para calcularla:</w:t>
      </w:r>
      <w:r>
        <w:t xml:space="preserve"> en 1985, con los últimos ocho años: «las bases de cotización del interesado durante los noventa y seis meses inmediatamente anteriores»</w:t>
      </w:r>
      <w:r>
        <w:t xml:space="preserve"> (Ley 26/1985, art. 3.1)</w:t>
      </w:r>
      <w:r>
        <w:br/>
      </w:r>
      <w:r>
        <w:rPr>
          <w:b/>
        </w:rPr>
        <w:t>leída en su fuente · Ley 26/1985, art. 3.1</w:t>
      </w:r>
      <w:r>
        <w:br/>
      </w:r>
      <w:r>
        <w:rPr>
          <w:b/>
        </w:rPr>
        <w:t>Archivo leído:</w:t>
      </w:r>
      <w:r>
        <w:t xml:space="preserve"> ídem (c9a\ley26_1985_BOE_01-08-1985_A24452-24454.pdf) · contraste del archivo de pasajes: ✔</w:t>
      </w:r>
      <w:r>
        <w:br/>
      </w:r>
      <w:r>
        <w:rPr>
          <w:b/>
        </w:rPr>
        <w:t>Tal como está en la fuente:</w:t>
      </w:r>
      <w:r>
        <w:t xml:space="preserve"> Artículo tercero. Base reguladora de las pensiones de jubilación e invalidez permanente derivada de contingencias comunes. / 1. La base reguladora de las pensiones de jubilación e invalidez permanente derivada de enfermedad común será el cociente que resulte dividir por 112 las bases de cotización del interesado durante los noventa y seis meses inmediatamente anteriores a aquél en que se produzca el hecho causante. / El cómputo de dichas bases se realizará conforme a las siguientes reglas, de las que es expresión matemática la fórmula que figura en el anexo de la presente Ley: / Primera: Las bases correspondientes a los veinticuatro meses anteriores a aquel en que se produzca el hecho causante se computarán en su valor nominal. / Segunda: Las restantes bases de cotización se actualizarán de acuerdo con la evolución que haya experimentado el Índice de Precios al Consumo desde los meses a que aquéllas correspondan hasta el mes inmediato anterior a aquél en que se inicie el período de bases no actualizables a que se refiere la regla anterior.</w:t>
      </w:r>
      <w:r>
        <w:t>; desde 2026, con las 302 mejores bases de los últimos 304 meses, unos 25 años</w:t>
      </w:r>
      <w:r>
        <w:t xml:space="preserve"> (Ley General de la Seguridad Social, disposición transitoria cuadragésima)</w:t>
      </w:r>
      <w:r>
        <w:t>; y desde 2037, con las 324 mejores de los últimos 348 meses: los 27 mejores años de los últimos 29</w:t>
      </w:r>
      <w:r>
        <w:t xml:space="preserve"> (art. 209.1)</w:t>
      </w:r>
      <w:r>
        <w:t>.</w:t>
      </w:r>
    </w:p>
    <w:p>
      <w:pPr>
        <w:pStyle w:val="ListBullet"/>
      </w:pPr>
      <w:r>
        <w:rPr>
          <w:b/>
        </w:rPr>
        <w:t>Para cobrarla entera:</w:t>
      </w:r>
      <w:r>
        <w:t xml:space="preserve"> desde 2027, 37 años cotizados: el 50 % por los primeros quince, y el resto mes a mes</w:t>
      </w:r>
      <w:r>
        <w:t xml:space="preserve"> (art. 210.1 y disposición transitoria novena; cálculo de la obra)</w:t>
      </w:r>
      <w:r>
        <w:t>.</w:t>
      </w:r>
    </w:p>
    <w:p>
      <w:pPr>
        <w:pStyle w:val="ListBullet"/>
      </w:pPr>
      <w:r>
        <w:rPr>
          <w:b/>
        </w:rPr>
        <w:t>La edad:</w:t>
      </w:r>
      <w:r>
        <w:t xml:space="preserve"> «Haber cumplido sesenta y siete años de edad, o sesenta y cinco años cuando se acrediten treinta y ocho años y seis meses de cotización»</w:t>
      </w:r>
      <w:r>
        <w:t xml:space="preserve"> (art. 205.1.a)</w:t>
      </w:r>
      <w:r>
        <w:br/>
      </w:r>
      <w:r>
        <w:rPr>
          <w:b/>
        </w:rPr>
        <w:t>leída en su fuente · art. 205.1.a</w:t>
      </w:r>
      <w:r>
        <w:br/>
      </w:r>
      <w:r>
        <w:rPr>
          <w:b/>
        </w:rPr>
        <w:t>Archivo leído:</w:t>
      </w:r>
      <w:r>
        <w:t xml:space="preserve"> lgss_rdl8_2015.html (c5\lgss_rdl8_2015.html) · contraste del archivo de pasajes: ✔</w:t>
      </w:r>
      <w:r>
        <w:br/>
      </w:r>
      <w:r>
        <w:rPr>
          <w:b/>
        </w:rPr>
        <w:t>Lugar:</w:t>
      </w:r>
      <w:r>
        <w:t xml:space="preserve"> Art. 205.1.a</w:t>
      </w:r>
      <w:r>
        <w:br/>
      </w:r>
      <w:r>
        <w:rPr>
          <w:b/>
        </w:rPr>
        <w:t>Tal como está en la fuente:</w:t>
      </w:r>
      <w:r>
        <w:t xml:space="preserve"> Haber cumplido sesenta y siete años de edad, o sesenta y cinco años cuando se acrediten treinta y ocho años y seis meses de cotización</w:t>
      </w:r>
      <w:r>
        <w:t>. La subida desde los 65 se completa en 2027</w:t>
      </w:r>
      <w:r>
        <w:t xml:space="preserve"> (disposición transitoria séptima)</w:t>
      </w:r>
      <w:r>
        <w:t>.</w:t>
      </w:r>
    </w:p>
    <w:p>
      <w:r>
        <w:t>[21.00-16.6; leyes leídas en el BOE]</w:t>
      </w:r>
    </w:p>
    <w:p>
      <w:r>
        <w:rPr>
          <w:b/>
        </w:rPr>
        <w:t>Más carga.</w:t>
      </w:r>
    </w:p>
    <w:p>
      <w:pPr>
        <w:pStyle w:val="ListBullet"/>
      </w:pPr>
      <w:r>
        <w:rPr>
          <w:b/>
        </w:rPr>
        <w:t>Impuestos y cotizaciones:</w:t>
      </w:r>
      <w:r>
        <w:t xml:space="preserve"> lo que pasa por las administraciones por esas dos vías era el 32,3 % del PIB en 1995 y fue el 37,3 % en 2024</w:t>
      </w:r>
      <w:r>
        <w:t xml:space="preserve"> (Eurostat, gov_10a_taxag)</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t xml:space="preserve"> (Eurostat, cuentas de las administraciones públicas (gov_10a_main))</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t xml:space="preserve"> (OCDE, Taxing Wages)</w:t>
      </w:r>
      <w:r>
        <w:t xml:space="preserve"> (</w:t>
      </w:r>
      <w:r>
        <w:t>8.4</w:t>
      </w:r>
      <w:r>
        <w:t>), sin el IVA, los tributos municipales ni los impuestos especiales.</w:t>
      </w:r>
    </w:p>
    <w:p>
      <w:r>
        <w:t>[21.00-16.3 a 16.5; OCDE y Eurostat leídos en sus datos oficiales; IPC y población del INE y de Eurostat]</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t xml:space="preserve"> (Instituto de Estudios Económicos, Revista del IEE, n.º 4/2022, pp. 16 y 26; estudio privado)</w:t>
      </w:r>
      <w:r>
        <w:t>. Solo esa mitad ya supera lo que se gasta en gobierno, parlamentos y hacienda: el 1,3 % del PIB en 2024</w:t>
      </w:r>
      <w:r>
        <w:t xml:space="preserve"> (Eurostat, gasto por funciones (gov_10a_exp), grupo GF0101)</w:t>
      </w:r>
      <w:r>
        <w:t xml:space="preserve">. </w:t>
      </w:r>
      <w:r>
        <w:t>[21.00-16.7 y 16.8, corregido: el 1,5-2,5 % no es el total de las cargas, sino la parte que el Instituto atribuye a la fragmentación de normas]</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t xml:space="preserve"> [original: «struggles with the people by strategems of Law, to obtain little summes, which not sufficing, he is fain at last violently to open the way for present supply, or Perish»]</w:t>
      </w:r>
      <w:r>
        <w:t xml:space="preserve"> (Hobbes, Leviatán, cap. XXIX)</w:t>
      </w:r>
      <w:r>
        <w:br/>
      </w:r>
      <w:r>
        <w:rPr>
          <w:b/>
        </w:rPr>
        <w:t>leída en su fuente · Hobbes, Leviatán, cap. XXIX</w:t>
      </w:r>
      <w:r>
        <w:br/>
      </w:r>
      <w:r>
        <w:rPr>
          <w:b/>
        </w:rPr>
        <w:t>Archivo leído:</w:t>
      </w:r>
      <w:r>
        <w:t xml:space="preserve"> 10.00_Hobbes_Leviathan_1651_Gutenberg_3207.txt (c6\10.00_Hobbes_Leviathan_1651_Gutenberg_3207.txt) · contraste del archivo de pasajes: ✔</w:t>
      </w:r>
      <w:r>
        <w:br/>
      </w:r>
      <w:r>
        <w:rPr>
          <w:b/>
        </w:rPr>
        <w:t>Lugar:</w:t>
      </w:r>
      <w:r>
        <w:t xml:space="preserve"> Hobbes, Leviatán, cap. XXIX</w:t>
      </w:r>
      <w:r>
        <w:br/>
      </w:r>
      <w:r>
        <w:rPr>
          <w:b/>
        </w:rPr>
        <w:t>Tal como está en la fuente:</w:t>
      </w:r>
      <w:r>
        <w:t xml:space="preserve"> struggles with the people by strategems of Law, to obtain little summes, which not sufficing, he is fain at last violently to open the way for present supply, or Perish</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t xml:space="preserve"> (Orden EHA/3565/2008, anexo IV, concepto 391, subconcepto 391.20)</w:t>
      </w:r>
      <w:r>
        <w:br/>
      </w:r>
      <w:r>
        <w:rPr>
          <w:b/>
        </w:rPr>
        <w:t>leída en su fuente · Orden EHA/3565/2008, anexo IV, concepto 391, subconcepto 391.20</w:t>
      </w:r>
      <w:r>
        <w:br/>
      </w:r>
      <w:r>
        <w:rPr>
          <w:b/>
        </w:rPr>
        <w:t>Archivo leído:</w:t>
      </w:r>
      <w:r>
        <w:t xml:space="preserve"> orden_eha3565_2008_estructura_presupuestos_locales.html (c9a\orden_eha3565_2008_estructura_presupuestos_locales.html) · contraste del archivo de pasajes: ✔</w:t>
      </w:r>
      <w:r>
        <w:br/>
      </w:r>
      <w:r>
        <w:rPr>
          <w:b/>
        </w:rPr>
        <w:t>Lugar:</w:t>
      </w:r>
      <w:r>
        <w:t xml:space="preserve"> Orden EHA/3565/2008, anexo IV, concepto 391, subconcepto 391.20</w:t>
      </w:r>
      <w:r>
        <w:br/>
      </w:r>
      <w:r>
        <w:rPr>
          <w:b/>
        </w:rPr>
        <w:t>Tal como está en la fuente:</w:t>
      </w:r>
      <w:r>
        <w:t xml:space="preserve"> Multas por infracciones de la Ordenanza de circulación</w:t>
      </w:r>
      <w:r>
        <w:t>. El Ayuntamiento de Madrid previó 211,4 millones de euros por multas de circulación en 2024 y reconoció 220,2, un 4,1 % más; en 2023, 199,3 previstos y 213,4 reconocidos, un 7,1 % más</w:t>
      </w:r>
      <w:r>
        <w:t xml:space="preserve"> (Ayuntamiento de Madrid, ejecución del presupuesto de ingresos, datos abiertos)</w:t>
      </w:r>
      <w:r>
        <w:t>. El castigo que se presupuesta antes de cometerse la infracción es lo que las tradiciones separaron del negocio (</w:t>
      </w:r>
      <w:r>
        <w:t>3.2</w:t>
      </w:r>
      <w:r>
        <w:t>, P8).</w:t>
      </w:r>
    </w:p>
    <w:p>
      <w:r>
        <w:t>[21.00-16.10, 16.11 y 16.29; Hobbes leído en inglés (Gutenberg); Orden EHA/3565/2008 leída en el BOE; datos abiertos de Madrid leídos en el original]</w:t>
      </w:r>
    </w:p>
    <w:p>
      <w:r>
        <w:rPr>
          <w:b/>
        </w:rPr>
        <w:t>Lo que hay que reconocer.</w:t>
      </w:r>
    </w:p>
    <w:p>
      <w:pPr>
        <w:pStyle w:val="ListBullet"/>
      </w:pPr>
      <w:r>
        <w:rPr>
          <w:b/>
        </w:rPr>
        <w:t>Se vive más.</w:t>
      </w:r>
      <w:r>
        <w:t xml:space="preserve"> La esperanza de vida a los 65 años pasó de 15,8 años en 1978 a 21,9 en 2024</w:t>
      </w:r>
      <w:r>
        <w:t xml:space="preserve"> (INE, tabla 1415)</w:t>
      </w:r>
      <w:r>
        <w:t>: la pensión se cobra más años, y la edad de jubilación ha subido dos. El gasto en pensiones de vejez es el que más crece: del 6,6 % del PIB en 1995 al 10,4 % en 2024, todavía provisional</w:t>
      </w:r>
      <w:r>
        <w:t xml:space="preserve"> (Eurostat, gasto por funciones (gov_10a_exp))</w:t>
      </w:r>
      <w:r>
        <w:t>.</w:t>
      </w:r>
    </w:p>
    <w:p>
      <w:pPr>
        <w:pStyle w:val="ListBullet"/>
      </w:pPr>
      <w:r>
        <w:rPr>
          <w:b/>
        </w:rPr>
        <w:t>La estructura no crece.</w:t>
      </w:r>
      <w:r>
        <w:t xml:space="preserve"> Lo que se gasta en gobierno, parlamentos y hacienda baja: del 1,5 % del PIB en 1995 al 1,3 % en 2024</w:t>
      </w:r>
      <w:r>
        <w:t xml:space="preserve"> (ídem)</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t xml:space="preserve"> (Comín, «Sector público y crecimiento económico en la dictadura de Franco», Ayer, 21, 1996, p. 167)</w:t>
      </w:r>
      <w:r>
        <w:br/>
      </w:r>
      <w:r>
        <w:rPr>
          <w:b/>
        </w:rPr>
        <w:t>leída en su fuente · Comín, «Sector público y crecimiento económico en la dictadura de Franco», Ayer, 21, 1996,</w:t>
      </w:r>
      <w:r>
        <w:br/>
      </w:r>
      <w:r>
        <w:rPr>
          <w:b/>
        </w:rPr>
        <w:t>Archivo leído:</w:t>
      </w:r>
      <w:r>
        <w:t xml:space="preserve"> comin_ayer_sector_publico_franco.pdf (c9a\comin_ayer_sector_publico_franco.pdf) · contraste del archivo de pasajes: ✔</w:t>
      </w:r>
      <w:r>
        <w:br/>
      </w:r>
      <w:r>
        <w:rPr>
          <w:b/>
        </w:rPr>
        <w:t>Lugar:</w:t>
      </w:r>
      <w:r>
        <w:t xml:space="preserve"> Literal. Pág. PDF 5 (pág. 167), párrafo que empieza en la 167 y termina en la pág. PDF 6 (pág. 168), entero</w:t>
      </w:r>
      <w:r>
        <w:br/>
      </w:r>
      <w:r>
        <w:rPr>
          <w:b/>
        </w:rPr>
        <w:t>Tal como está en la fuente:</w:t>
      </w:r>
      <w:r>
        <w:t xml:space="preserve"> En Europa, las políticas fiscales expansivas fueron el señuelo que los políticos utilizaron para atraer apoyo electoral hacia sus partidos. La utilidad de la doctrina de Keynes consistió en justificar los nuevos fines buscados por los políticos, que exigían incrementar el gasto público y expandir la empresa pública [nota 4]. Contrariamente, los franquistas de la posguerra mantuvieron las ideas clásicas sobre el equilibrio presupuestario y el control del gasto público; descartaron la política fiscal keynesiana, pero se aferraron al nacionalismo y al intervencionismo extrapresupuestario, así que la política económica del «Estado nuevo» abusó de la regulación económica a través de la fijación administrativa de precios y salarios, de las cuotas a la producción y a la importación, del control de cambios, de las autorizaciones previas a la inversión y del racionamiento de los productos alimenticios y de los inputs industriales. El consumo de productos españoles se convirtió -para la propaganda oficial- en una patente de patriotismo y de orgullo nacional, tan herido por los organismos internacionales como la ONU, que bloquearon diplomáticamente al régimen dictatorial. La única preocupación del gobierno español era asegurar la supervivencia del régimen, y a ese objetivo político se subordinaron los fines sociales y económicos; en consecuencia, el pleno empleo y el crecimiento económico se subordinaron al fin político fundamental. Las autoridades del Ministerio de Hacienda no abrazaron el keynesianismo porque rechazaron las nuevas funciones del Estado providencia.</w:t>
      </w:r>
      <w:r>
        <w:br/>
      </w:r>
      <w:r>
        <w:rPr>
          <w:b/>
        </w:rPr>
        <w:t>Traducción guardada:</w:t>
      </w:r>
      <w:r>
        <w:t xml:space="preserve"> «inputs», en cursiva en el original</w:t>
      </w:r>
      <w:r>
        <w:t>. La forma cambia; el patrón de una estructura que se sostiene sobre la persona permanece.</w:t>
      </w:r>
    </w:p>
    <w:p>
      <w:r>
        <w:t>[21.00-16.12 a 16.15; INE, Eurostat y Comín leídos en el original]</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 </w:t>
      </w:r>
      <w:r>
        <w:t>[00.0-5.6; 21.00-16.29]</w:t>
      </w:r>
    </w:p>
    <w:p>
      <w:r>
        <w:rPr>
          <w:b/>
        </w:rPr>
        <w:t>Lectura del autor:</w:t>
      </w:r>
      <w:r>
        <w:t xml:space="preserve"> ha llegado a su final. Ha perdido su </w:t>
      </w:r>
      <w:r>
        <w:rPr>
          <w:i/>
        </w:rPr>
        <w:t>auctoritas</w:t>
      </w:r>
      <w:r>
        <w:t xml:space="preserve">,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 </w:t>
      </w:r>
      <w:r>
        <w:t>[00.0-5.7; 21.00-16.30]</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r>
        <w:t>[21.00-16.18 a 16.24; 21.00-16.24, corregido: «ya no será ley», como en 1.1; la deuda por habitante, con los datos de 2025, como el resto del apartado]</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xml:space="preserve"> [original: «King of the Proud»]</w:t>
      </w:r>
      <w:r>
        <w:t>. Y sigue: «pero porque es mortal y está sujeto a la decadencia, como todas las demás criaturas terrenas, y porque hay algo en el cielo, aunque no en la tierra, a lo que debe temer y cuyas leyes debe obedecer»</w:t>
      </w:r>
      <w:r>
        <w:t xml:space="preserve"> [original: «But because he is mortall, and subject to decay, as all other Earthly creatures are; and because there is that in heaven, (though not on earth) that he should stand in fear of, and whose Lawes he ought to obey»]</w:t>
      </w:r>
      <w:r>
        <w:t>, dedicará los capítulos siguientes a «sus enfermedades y las causas de su mortalidad, y a qué leyes de la naturaleza está obligado a obedecer»</w:t>
      </w:r>
      <w:r>
        <w:t xml:space="preserve"> [original: «his Diseases, and the causes of his Mortality; and of what Lawes of Nature he is bound to obey»]</w:t>
      </w:r>
      <w:r>
        <w:t xml:space="preserve"> (Hobbes, Leviatán, final del cap. XXVIII)</w:t>
      </w:r>
      <w:r>
        <w:br/>
      </w:r>
      <w:r>
        <w:rPr>
          <w:b/>
        </w:rPr>
        <w:t>leída en su fuente · Hobbes, Leviatán, final del cap. XXVIII</w:t>
      </w:r>
      <w:r>
        <w:br/>
      </w:r>
      <w:r>
        <w:rPr>
          <w:b/>
        </w:rPr>
        <w:t>Archivo leído:</w:t>
      </w:r>
      <w:r>
        <w:t xml:space="preserve"> 10.00_Hobbes_Leviathan_1651_Gutenberg_3207.txt (c6\10.00_Hobbes_Leviathan_1651_Gutenberg_3207.txt) · contraste del archivo de pasajes: ✔</w:t>
      </w:r>
      <w:r>
        <w:br/>
      </w:r>
      <w:r>
        <w:rPr>
          <w:b/>
        </w:rPr>
        <w:t>Lugar:</w:t>
      </w:r>
      <w:r>
        <w:t xml:space="preserve"> Líneas 10554-10567</w:t>
      </w:r>
      <w:r>
        <w:br/>
      </w:r>
      <w:r>
        <w:rPr>
          <w:b/>
        </w:rPr>
        <w:t>Dirección:</w:t>
      </w:r>
      <w:r>
        <w:t xml:space="preserve"> </w:t>
      </w:r>
      <w:r>
        <w:t>https://www.gutenberg.org/cache/epub/3207/pg3207.txt</w:t>
      </w:r>
      <w:r>
        <w:br/>
      </w:r>
      <w:r>
        <w:rPr>
          <w:b/>
        </w:rPr>
        <w:t>Tal como está en la fuente:</w:t>
      </w:r>
      <w:r>
        <w:t xml:space="preserve"> Hitherto I have set forth the nature of Man, […] whom I compared to Leviathan, taking that comparison out of the two last verses of the one and fortieth of Job; where God having set forth the great power of Leviathan, called him King of the Proud. […] But because he is mortall, and subject to decay, as all other Earthly creatures are; and because there is that in heaven, (though not on earth) that he should stand in fear of, and whose Lawes he ought to obey; I shall in the next following Chapters speak of his Diseases, and the causes of his Mortality; and of what Lawes of Nature he is bound to obey.</w:t>
      </w:r>
      <w:r>
        <w:t>. La portada de 1651 recoge el versículo cortado (</w:t>
      </w:r>
      <w:r>
        <w:t>6.1</w:t>
      </w:r>
      <w:r>
        <w:t xml:space="preserve">); la Vulgata continúa: «qui factus est ut nullum timeret» (que fue hecho para no temer a nadie) (Job 41:24). </w:t>
      </w:r>
      <w:r>
        <w:t>[00.0-5.12; 21.00-16.24; Hobbes leído en inglés (Gutenberg)]</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t xml:space="preserve"> (Heb 4:12)</w:t>
      </w:r>
      <w:r>
        <w:br/>
      </w:r>
      <w:r>
        <w:rPr>
          <w:b/>
        </w:rPr>
        <w:t>leída en su fuente · Heb 4:12</w:t>
      </w:r>
      <w:r>
        <w:br/>
      </w:r>
      <w:r>
        <w:rPr>
          <w:b/>
        </w:rPr>
        <w:t>Archivo leído:</w:t>
      </w:r>
      <w:r>
        <w:t xml:space="preserve"> heb_4_12_rva.html (c9a\heb_4_12_rva.html) · contraste del archivo de pasajes: ✔</w:t>
      </w:r>
      <w:r>
        <w:br/>
      </w:r>
      <w:r>
        <w:rPr>
          <w:b/>
        </w:rPr>
        <w:t>Lugar:</w:t>
      </w:r>
      <w:r>
        <w:t xml:space="preserve"> passage-text, v. 12</w:t>
      </w:r>
      <w:r>
        <w:br/>
      </w:r>
      <w:r>
        <w:rPr>
          <w:b/>
        </w:rPr>
        <w:t>Dirección:</w:t>
      </w:r>
      <w:r>
        <w:t xml:space="preserve"> </w:t>
      </w:r>
      <w:r>
        <w:t>https://www.biblegateway.com/passage/?search=Hebrews+4%3A12&amp;version=RVA</w:t>
      </w:r>
      <w:r>
        <w:br/>
      </w:r>
      <w:r>
        <w:rPr>
          <w:b/>
        </w:rPr>
        <w:t>Tal como está en la fuente:</w:t>
      </w:r>
      <w:r>
        <w:t xml:space="preserve"> Porque la palabra de Dios es viva y eficaz, y más penetrante que toda espada de dos filos: y que alcanza hasta partir el alma, y aun el espíritu, y las coyunturas y tuétanos, y discierne los pensamientos y las intenciones del corazón.</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t xml:space="preserve"> (Mt 13:29)</w:t>
      </w:r>
      <w:r>
        <w:br/>
      </w:r>
      <w:r>
        <w:rPr>
          <w:b/>
        </w:rPr>
        <w:t>leída en su fuente · Mt 13:29</w:t>
      </w:r>
      <w:r>
        <w:br/>
      </w:r>
      <w:r>
        <w:rPr>
          <w:b/>
        </w:rPr>
        <w:t>Archivo leído:</w:t>
      </w:r>
      <w:r>
        <w:t xml:space="preserve"> mt_13_29_rva.html (c9a\mt_13_29_rva.html) · contraste del archivo de pasajes: ✔</w:t>
      </w:r>
      <w:r>
        <w:br/>
      </w:r>
      <w:r>
        <w:rPr>
          <w:b/>
        </w:rPr>
        <w:t>Lugar:</w:t>
      </w:r>
      <w:r>
        <w:t xml:space="preserve"> passage-text, v. 29</w:t>
      </w:r>
      <w:r>
        <w:br/>
      </w:r>
      <w:r>
        <w:rPr>
          <w:b/>
        </w:rPr>
        <w:t>Dirección:</w:t>
      </w:r>
      <w:r>
        <w:t xml:space="preserve"> </w:t>
      </w:r>
      <w:r>
        <w:t>https://www.biblegateway.com/passage/?search=Matthew+13%3A29&amp;version=RVA</w:t>
      </w:r>
      <w:r>
        <w:br/>
      </w:r>
      <w:r>
        <w:rPr>
          <w:b/>
        </w:rPr>
        <w:t>Tal como está en la fuente:</w:t>
      </w:r>
      <w:r>
        <w:t xml:space="preserve"> Y él dijo: No; porque cogiendo la cizaña, no arranquéis también con ella el trigo.</w:t>
      </w:r>
      <w:r>
        <w:t xml:space="preserve">. Se separa caso a caso, con pruebas; la siega final no es nuestra. </w:t>
      </w:r>
      <w:r>
        <w:t>[00.0-5.12 y 5.13; Heb 4:12, Mt 3:12 y Mt 13:29 en la Reina-Valera Antigua]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t xml:space="preserve"> (Ley 22/2015, de Auditoría de Cuentas, art. 5.1.e)</w:t>
      </w:r>
      <w:r>
        <w:br/>
      </w:r>
      <w:r>
        <w:rPr>
          <w:b/>
        </w:rPr>
        <w:t>leída en su fuente · Ley 22/2015, de Auditoría de Cuentas, art. 5.1.e</w:t>
      </w:r>
      <w:r>
        <w:br/>
      </w:r>
      <w:r>
        <w:rPr>
          <w:b/>
        </w:rPr>
        <w:t>Archivo leído:</w:t>
      </w:r>
      <w:r>
        <w:t xml:space="preserve"> ley22_2015_auditoria_cuentas.html (c9a\ley22_2015_auditoria_cuentas.html) · contraste del archivo de pasajes: ✔</w:t>
      </w:r>
      <w:r>
        <w:br/>
      </w:r>
      <w:r>
        <w:rPr>
          <w:b/>
        </w:rPr>
        <w:t>Lugar:</w:t>
      </w:r>
      <w:r>
        <w:t xml:space="preserve"> Art. 5.1 (#a5), letra e), entera</w:t>
      </w:r>
      <w:r>
        <w:br/>
      </w:r>
      <w:r>
        <w:rPr>
          <w:b/>
        </w:rPr>
        <w:t>Dirección:</w:t>
      </w:r>
      <w:r>
        <w:t xml:space="preserve"> </w:t>
      </w:r>
      <w:r>
        <w:t>https://www.boe.es/buscar/act.php?id=BOE-A-2015-8147</w:t>
      </w:r>
      <w:r>
        <w:br/>
      </w:r>
      <w:r>
        <w:rPr>
          <w:b/>
        </w:rPr>
        <w:t>Tal como está en la fuente:</w:t>
      </w:r>
      <w:r>
        <w:t xml:space="preserve"> e) Una opinión técnica en la que se manifestará, de forma clara y precisa, si las cuentas anuales ofrecen la imagen fiel del patrimonio, de la situación financiera y de los resultados de la entidad auditada, de acuerdo con el marco normativo de información financiera que resulte de aplicación y, en particular, con los principios y criterios contables contenidos en el mismo. / La opinión podrá revestir cuatro modalidades: favorable, con salvedades, desfavorable o denegada. / Cuando no existan salvedades la opinión será favorable. / En el caso de que existan tales salvedades, deberán reflejarse todas ellas en el informe y la opinión técnica será con salvedades, desfavorable o denegada. / Asimismo, se indicarán, en su caso, las posibles incertidumbres significativas o materiales relacionadas con hechos o condiciones que pudieran suscitar dudas significativas sobre la capacidad de la entidad auditada para continuar como empresa en funcionamiento. / También se hará referencia a las cuestiones que, no constituyendo una salvedad, el auditor de cuentas deba o considere necesario destacar a fin de enfatizarlas.</w:t>
      </w:r>
      <w:r>
        <w:br/>
      </w:r>
      <w:r>
        <w:rPr>
          <w:b/>
        </w:rPr>
        <w:t>Traducción guardada:</w:t>
      </w:r>
      <w:r>
        <w:t xml:space="preserve"> la barra separa párrafos</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 xml:space="preserve">). </w:t>
      </w:r>
      <w:r>
        <w:t>[00.0-5.15; 00.0-6.10; Ley 22/2015 leída en el BOE]</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 </w:t>
      </w:r>
      <w:r>
        <w:t>[00.0-5.14 y 5.15]</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xml:space="preserve">): es el diagnóstico que funda la reforma, no una orden de desobediencia. </w:t>
      </w:r>
      <w:r>
        <w:t>[00.0-5.16 y 5.17]</w:t>
      </w:r>
    </w:p>
    <w:p>
      <w:r>
        <w:t>[Dónde está la prueba, según el Pórtico: 21.00, sección 12; 20.00; 22.00; 24.00; 25.00; y la auditoría de España, 14.00 a 19.00 (00.0-5.18)]</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t xml:space="preserve"> (Encyclopaedia Britannica, «Asante empire» y «Ghana»; fuente secundaria)</w:t>
      </w:r>
      <w:r>
        <w:t>. Los iroqueses, divididos en la guerra de independencia de Estados Unidos, cedieron en 1784 «todo derecho sobre el territorio» al oeste de la nueva frontera</w:t>
      </w:r>
      <w:r>
        <w:t xml:space="preserve"> [original: «all claims to the country west of the said boundary»]</w:t>
      </w:r>
      <w:r>
        <w:t xml:space="preserve"> (tratado de Fort Stanwix, 22-10-1784, art. III (Avalon Project))</w:t>
      </w:r>
      <w:r>
        <w:t xml:space="preserve">. Corregirse por dentro y resistir la fuerza de fuera son dos problemas distintos, y ninguno de los pueblos estudiados resolvió los dos a la vez. </w:t>
      </w:r>
      <w:r>
        <w:t>[19.00-11.1, corregido: el 7.5 cuenta cuatro, con los incas; el «procedimiento de garantías» de Qumrán no se ha leído; fechas leídas en Britannica y en el tratado]</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xml:space="preserve">). Diez casos, cada uno con su fecha y su fuente, como hecho histórico comparado y no como manual de instrucciones: cada uno tuvo su causa, su proceso y sus consecuencias, y no todos terminaron igual de bien para quienes participaron. </w:t>
      </w:r>
      <w:r>
        <w:t>[19.00-12.1]</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t xml:space="preserve"> (Parlamento del Reino Unido, «The reign of James II» (El reinado de Jacobo II); fuente secundaria)</w:t>
      </w:r>
      <w:r>
        <w:t>. El 30 de junio de 1688, siete ingleses destacados escribieron a Guillermo de Orange para invitarle a venir; el rey no se atrevió a arriesgar su ejército en una batalla y huyó el 23 de diciembre</w:t>
      </w:r>
      <w:r>
        <w:t xml:space="preserve"> (Encyclopaedia Britannica, «James II»; fuente secundaria)</w:t>
      </w:r>
      <w:r>
        <w:t>. En 1689, la Declaración de Derechos dejó escrito «que el pretendido poder de suspender las leyes o su ejecución por autoridad real, sin consentimiento del Parlamento, es ilegal»</w:t>
      </w:r>
      <w:r>
        <w:t xml:space="preserve"> [original: «That the pretended Power of Suspending of Laws or the Execution of Laws by Regall Authority without Consent of Parlyament is illegall»]</w:t>
      </w:r>
      <w:r>
        <w:t xml:space="preserve"> (Bill of Rights, 1688 c. 2 (legislation.gov.uk))</w:t>
      </w:r>
      <w:r>
        <w:br/>
      </w:r>
      <w:r>
        <w:rPr>
          <w:b/>
        </w:rPr>
        <w:t>leída en su fuente · Bill of Rights, 1688 c. 2 (legislation.gov.uk)</w:t>
      </w:r>
      <w:r>
        <w:br/>
      </w:r>
      <w:r>
        <w:rPr>
          <w:b/>
        </w:rPr>
        <w:t>Archivo leído:</w:t>
      </w:r>
      <w:r>
        <w:t xml:space="preserve"> c1_bill_of_rights_1689_legislation_gov_uk.html · contraste del archivo de pasajes: ✘</w:t>
      </w:r>
      <w:r>
        <w:br/>
      </w:r>
      <w:r>
        <w:rPr>
          <w:b/>
        </w:rPr>
        <w:t>Lugar:</w:t>
      </w:r>
      <w:r>
        <w:t xml:space="preserve"> l. 106</w:t>
      </w:r>
      <w:r>
        <w:br/>
      </w:r>
      <w:r>
        <w:rPr>
          <w:b/>
        </w:rPr>
        <w:t>Dirección:</w:t>
      </w:r>
      <w:r>
        <w:t xml:space="preserve"> </w:t>
      </w:r>
      <w:r>
        <w:t>https://www.legislation.gov.uk/aep/WillandMarSess2/1/2</w:t>
      </w:r>
      <w:r>
        <w:br/>
      </w:r>
      <w:r>
        <w:rPr>
          <w:b/>
        </w:rPr>
        <w:t>Tal como está en la fuente:</w:t>
      </w:r>
      <w:r>
        <w:t xml:space="preserve"> Que el pretendido poder de suspender las leyes o su ejecución por autoridad real, sin consentimiento del Parlamento, es ilegal.</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t xml:space="preserve"> (Encyclopaedia Britannica, «Salt March» (La marcha de la sal); fuente secundaria)</w:t>
      </w:r>
      <w:r>
        <w:t>. A finales de año, unas 60.000 personas estaban en la cárcel</w:t>
      </w:r>
      <w:r>
        <w:t xml:space="preserve"> (ídem)</w:t>
      </w:r>
      <w:r>
        <w:t>; a él lo detuvieron el 5 de mayo</w:t>
      </w:r>
      <w:r>
        <w:t xml:space="preserve"> (Gandhi Heritage Portal (archivo del áshram de Sabarmati); fuente secundaria)</w:t>
      </w:r>
      <w:r>
        <w:t>. Diecisiete años después, una ley británica dispuso que desde el 15 de agosto de 1947 se establecieran «dos dominios independientes», la India y Pakistán</w:t>
      </w:r>
      <w:r>
        <w:t xml:space="preserve"> [original: «two independent Dominions shall be set up in India, to be known respectively as India and Pakistan»]</w:t>
      </w:r>
      <w:r>
        <w:t xml:space="preserve"> (Indian Independence Act 1947, sección 1.1 (legislation.gov.uk))</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t xml:space="preserve"> [original: «nowych, samorządnych związków zawodowych»]</w:t>
      </w:r>
      <w:r>
        <w:t xml:space="preserve"> (Instituto de la Memoria Nacional de Polonia (IPN); fuente secundaria)</w:t>
      </w:r>
      <w:r>
        <w:br/>
      </w:r>
      <w:r>
        <w:rPr>
          <w:b/>
        </w:rPr>
        <w:t>leída en su fuente · Instituto de la Memoria Nacional de Polonia (IPN); fuente secundaria</w:t>
      </w:r>
      <w:r>
        <w:br/>
      </w:r>
      <w:r>
        <w:rPr>
          <w:b/>
        </w:rPr>
        <w:t>Archivo leído:</w:t>
      </w:r>
      <w:r>
        <w:t xml:space="preserve"> c3_ipn_gdansk_41_lat_porozumienia.html; c3_ipn_przystanekhistoria_porozumienia_1980.html; c3_britannica_solidarity.html · contraste del archivo de pasajes: ✘</w:t>
      </w:r>
      <w:r>
        <w:br/>
      </w:r>
      <w:r>
        <w:rPr>
          <w:b/>
        </w:rPr>
        <w:t>Lugar:</w:t>
      </w:r>
      <w:r>
        <w:t xml:space="preserve"> IPN Gdańsk l. 253</w:t>
      </w:r>
      <w:r>
        <w:br/>
      </w:r>
      <w:r>
        <w:rPr>
          <w:b/>
        </w:rPr>
        <w:t>Tal como está en la fuente:</w:t>
      </w:r>
      <w:r>
        <w:t xml:space="preserve"> la creación de nuevos sindicatos autogestionados que fuesen auténtico representante de la clase trabajadora</w:t>
      </w:r>
      <w:r>
        <w:t>. Solidaridad fue el primer sindicato independiente en un país del bloque soviético</w:t>
      </w:r>
      <w:r>
        <w:t xml:space="preserve"> (Encyclopaedia Britannica, «Solidarity»; fuente secundaria)</w:t>
      </w:r>
      <w:r>
        <w:t>. Con la ley marcial, implantada el 13 de diciembre de 1981</w:t>
      </w:r>
      <w:r>
        <w:t xml:space="preserve"> (Consejo de Estado, resolución de 12-12-1981 (ISAP))</w:t>
      </w:r>
      <w:r>
        <w:t>, fue declarado ilegal</w:t>
      </w:r>
      <w:r>
        <w:t xml:space="preserve"> (Britannica; fuente secundaria)</w:t>
      </w:r>
      <w:r>
        <w:t>, y una ley de 8 de octubre de 1982 anuló todos los registros sindicales anteriores</w:t>
      </w:r>
      <w:r>
        <w:t xml:space="preserve"> (ley de sindicatos de 8-10-1982, art. 52 (ISAP))</w:t>
      </w:r>
      <w:r>
        <w:t>. La Mesa Redonda (6 de febrero a 5 de abril de 1989) llevó a las elecciones «parcialmente democráticas» del 4 de junio</w:t>
      </w:r>
      <w:r>
        <w:t xml:space="preserve"> [original: «częściowo demokratycznych wyborów»]</w:t>
      </w:r>
      <w:r>
        <w:t xml:space="preserve"> (Sejm, resolución de 14-3-2014)</w:t>
      </w:r>
      <w:r>
        <w:t>, y el 24 de agosto fue nombrado el primer jefe de Gobierno no comunista de un país de Europa del Este desde finales de los años cuarenta</w:t>
      </w:r>
      <w:r>
        <w:t xml:space="preserve"> (Encyclopaedia Britannica, «Tadeusz Mazowiecki»; Ministerio de Educación de Polonia (zpe.gov.pl); fuentes secundarias)</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t xml:space="preserve"> (Agencia Federal de Educación Cívica (bpb), crónica del 7-5-1989; fuente secundaria)</w:t>
      </w:r>
      <w:r>
        <w:t>. Desde el 4 de septiembre hubo manifestaciones cada lunes en Leipzig; el 9 de octubre, unas 75.000 personas, y la policía no intervino</w:t>
      </w:r>
      <w:r>
        <w:t xml:space="preserve"> (bpb, crónicas del 4-9 y del 9-10-1989)</w:t>
      </w:r>
      <w:r>
        <w:t>. El 9 de noviembre, un portavoz del Gobierno dijo en directo que las nuevas normas de viaje entraban en vigor «inmediatamente», cuando su nota decía que se publicaran al día siguiente</w:t>
      </w:r>
      <w:r>
        <w:t xml:space="preserve"> (transcripción de la rueda de prensa y nota del portavoz (Crónica del Muro))</w:t>
      </w:r>
      <w:r>
        <w:t>; esa noche, ante la multitud, el oficial al mando del paso de Bornholmer Straße decidió abrirlo</w:t>
      </w:r>
      <w:r>
        <w:t xml:space="preserve"> (Crónica del Muro; bpb; fuentes secundarias)</w:t>
      </w:r>
      <w:r>
        <w:t>. La Unión Soviética se disolvió en diciembre de 1991</w:t>
      </w:r>
      <w:r>
        <w:t xml:space="preserve"> (Oficina del Historiador, Departamento de Estado de EE. UU.; Britannica)</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t xml:space="preserve"> (Encyclopaedia Britannica, «Velvet Revolution» (La revolución de terciopelo); Presidencia de la República Checa; fuentes secundarias)</w:t>
      </w:r>
      <w:r>
        <w:t>. Siguieron las protestas y, el 27, una huelga general</w:t>
      </w:r>
      <w:r>
        <w:t xml:space="preserve"> (ídem; ÚSTR)</w:t>
      </w:r>
      <w:r>
        <w:t>. El 29 de noviembre, a propuesta del Gobierno, la Asamblea Federal suprimió de la Constitución el papel dirigente del Partido Comunista, sin ningún voto en contra ni abstención</w:t>
      </w:r>
      <w:r>
        <w:t xml:space="preserve"> (Asamblea Federal, proyecto 217 y acta de la sesión de 29-11-1989)</w:t>
      </w:r>
      <w:r>
        <w:t>. Václav Havel, detenido en enero de ese mismo año</w:t>
      </w:r>
      <w:r>
        <w:t xml:space="preserve"> (ÚSTR, Paměť a dějiny, 2019/3; fuente secundaria)</w:t>
      </w:r>
      <w:r>
        <w:t>, fue elegido presidente por la Asamblea Federal el 29 de diciembre</w:t>
      </w:r>
      <w:r>
        <w:t xml:space="preserve"> (acta de la sesión de 29-12-1989)</w:t>
      </w:r>
      <w:r>
        <w:t>.</w:t>
      </w:r>
    </w:p>
    <w:p>
      <w:pPr>
        <w:spacing w:after="60"/>
        <w:ind w:left="510" w:hanging="397"/>
      </w:pPr>
      <w:r>
        <w:rPr>
          <w:b w:val="0"/>
        </w:rPr>
        <w:t xml:space="preserve">6. </w:t>
      </w:r>
      <w:r>
        <w:rPr>
          <w:b/>
        </w:rPr>
        <w:t>Filipinas, 1986.</w:t>
      </w:r>
      <w:r>
        <w:t xml:space="preserve"> Ferdinand Marcos era presidente desde el 30 de diciembre de 1965</w:t>
      </w:r>
      <w:r>
        <w:t xml:space="preserve"> (Encyclopaedia Britannica, «Ferdinand Marcos»; fuente secundaria)</w:t>
      </w:r>
      <w:r>
        <w:t>. De las elecciones del 7 de febrero de 1986, el Gobierno de Estados Unidos, aliado suyo, dijo que quedaron «empañadas por un fraude y una violencia generalizados, cometidos sobre todo por el partido del Gobierno»</w:t>
      </w:r>
      <w:r>
        <w:t xml:space="preserve"> [original: «the elections were marred by widespread fraud and violence perpetrated largely by the ruling party»]</w:t>
      </w:r>
      <w:r>
        <w:t xml:space="preserve"> (declaración del presidente de EE. UU., 15-2-1986 (Biblioteca Reagan))</w:t>
      </w:r>
      <w:r>
        <w:br/>
      </w:r>
      <w:r>
        <w:rPr>
          <w:b/>
        </w:rPr>
        <w:t>leída en su fuente · declaración del presidente de EE. UU., 15-2-1986 (Biblioteca Reagan)</w:t>
      </w:r>
      <w:r>
        <w:br/>
      </w:r>
      <w:r>
        <w:rPr>
          <w:b/>
        </w:rPr>
        <w:t>Archivo leído:</w:t>
      </w:r>
      <w:r>
        <w:t xml:space="preserve"> c6_reaganlibrary_1986-02-15_statement_presidential_election_philippines.html; c6_reaganlibrary_1986-02-22_statement_speakes_internal_situation.html; c6_britannica_ferdinand_marcos.html · contraste del archivo de pasajes: ✘</w:t>
      </w:r>
      <w:r>
        <w:br/>
      </w:r>
      <w:r>
        <w:rPr>
          <w:b/>
        </w:rPr>
        <w:t>Lugar:</w:t>
      </w:r>
      <w:r>
        <w:t xml:space="preserve"> Declaración de Reagan, 15-2-1986, l. 235</w:t>
      </w:r>
      <w:r>
        <w:br/>
      </w:r>
      <w:r>
        <w:rPr>
          <w:b/>
        </w:rPr>
        <w:t>Dirección:</w:t>
      </w:r>
      <w:r>
        <w:t xml:space="preserve"> </w:t>
      </w:r>
      <w:r>
        <w:t>https://www.reaganlibrary.gov/archives/speech/statement-presidential-election-philippines</w:t>
      </w:r>
      <w:r>
        <w:t xml:space="preserve"> ; </w:t>
      </w:r>
      <w:r>
        <w:t>https://www.reaganlibrary.gov/research/speeches/22286b</w:t>
      </w:r>
      <w:r>
        <w:br/>
      </w:r>
      <w:r>
        <w:rPr>
          <w:b/>
        </w:rPr>
        <w:t>Tal como está en la fuente:</w:t>
      </w:r>
      <w:r>
        <w:t xml:space="preserve"> las elecciones quedaron empañadas por un fraude y una violencia generalizados, cometidos sobre todo por el partido del Gobierno</w:t>
      </w:r>
      <w:r>
        <w:t>. El 22 de febrero, el ministro de Defensa y el jefe del Estado Mayor dimitieron por ese fraude</w:t>
      </w:r>
      <w:r>
        <w:t xml:space="preserve"> (Casa Blanca, declaración de 22-2-1986)</w:t>
      </w:r>
      <w:r>
        <w:t>. Durante cuatro días, cientos de miles de personas se reunieron en la avenida EDSA de Manila, y millones en todo el país, según la Gaceta Oficial filipina</w:t>
      </w:r>
      <w:r>
        <w:t xml:space="preserve"> (Gaceta Oficial de Filipinas, páginas de EDSA (copia del Internet Archive); fuente secundaria)</w:t>
      </w:r>
      <w:r>
        <w:t>. El 25, Corazón Aquino juró como presidenta y Marcos salió del país</w:t>
      </w:r>
      <w:r>
        <w:t xml:space="preserve"> (Encyclopaedia Britannica, «Corazon Aquino» y «Ferdinand Marcos»; fuente secundaria)</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t xml:space="preserve"> [original: «the Government has taken a firm decision to release Mr Mandela unconditionally»]</w:t>
      </w:r>
      <w:r>
        <w:t xml:space="preserve"> (discurso de F. W. de Klerk, 2-2-1990 (archivo O'Malley))</w:t>
      </w:r>
      <w:r>
        <w:br/>
      </w:r>
      <w:r>
        <w:rPr>
          <w:b/>
        </w:rPr>
        <w:t>leída en su fuente · discurso de F. W. de Klerk, 2-2-1990 (archivo O'Malley)</w:t>
      </w:r>
      <w:r>
        <w:br/>
      </w:r>
      <w:r>
        <w:rPr>
          <w:b/>
        </w:rPr>
        <w:t>Archivo leído:</w:t>
      </w:r>
      <w:r>
        <w:t xml:space="preserve"> c7_omalley_de_klerk_1990.html · contraste del archivo de pasajes: ✘</w:t>
      </w:r>
      <w:r>
        <w:br/>
      </w:r>
      <w:r>
        <w:rPr>
          <w:b/>
        </w:rPr>
        <w:t>Lugar:</w:t>
      </w:r>
      <w:r>
        <w:t xml:space="preserve"> Título de la página</w:t>
      </w:r>
      <w:r>
        <w:br/>
      </w:r>
      <w:r>
        <w:rPr>
          <w:b/>
        </w:rPr>
        <w:t>Dirección:</w:t>
      </w:r>
      <w:r>
        <w:t xml:space="preserve"> </w:t>
      </w:r>
      <w:r>
        <w:t>https://omalley.nelsonmandela.org/index.php/site/q/03lv02039/04lv02103/05lv02104/06lv02105.htm</w:t>
      </w:r>
      <w:r>
        <w:br/>
      </w:r>
      <w:r>
        <w:rPr>
          <w:b/>
        </w:rPr>
        <w:t>Tal como está en la fuente:</w:t>
      </w:r>
      <w:r>
        <w:t xml:space="preserve"> el Gobierno ha tomado la firme decisión de liberar al señor Mandela sin condiciones</w:t>
      </w:r>
      <w:r>
        <w:t>. Mandela salió de la cárcel el 11 de febrero, tras veintisiete años y medio</w:t>
      </w:r>
      <w:r>
        <w:t xml:space="preserve"> (Encyclopaedia Britannica, «Nelson Mandela»; fuente secundaria)</w:t>
      </w:r>
      <w:r>
        <w:t>. En las primeras elecciones no raciales, el 27 de abril de 1994, el Congreso Nacional Africano obtuvo el 62,6 % de los votos, y el 9 de mayo la Asamblea Nacional eligió presidente a Mandela, por unanimidad</w:t>
      </w:r>
      <w:r>
        <w:t xml:space="preserve"> (Biblioteca del Congreso de EE. UU., estudio de país (copia en countrystudies.us); South African History Online; fuentes secundarias)</w:t>
      </w:r>
      <w:r>
        <w:t>.</w:t>
      </w:r>
    </w:p>
    <w:p>
      <w:pPr>
        <w:spacing w:after="60"/>
        <w:ind w:left="510" w:hanging="397"/>
      </w:pPr>
      <w:r>
        <w:rPr>
          <w:b w:val="0"/>
        </w:rPr>
        <w:t xml:space="preserve">8. </w:t>
      </w:r>
      <w:r>
        <w:rPr>
          <w:b/>
        </w:rPr>
        <w:t>Indonesia, 1998.</w:t>
      </w:r>
      <w:r>
        <w:t xml:space="preserve"> En 1997, una crisis monetaria que barría el sudeste asiático alcanzó a Indonesia</w:t>
      </w:r>
      <w:r>
        <w:t xml:space="preserve"> (Encyclopaedia Britannica, «Suharto»; fuente secundaria)</w:t>
      </w:r>
      <w:r>
        <w:t>. Suharto llevaba treinta y dos años en el poder, contando desde que tomó el control efectivo del Gobierno en 1966</w:t>
      </w:r>
      <w:r>
        <w:t xml:space="preserve"> (ídem; Forrester y May (eds.), The Fall of Soeharto (La caída de Suharto), Universidad Nacional Australiana, 1998)</w:t>
      </w:r>
      <w:r>
        <w:t>. Los estudiantes ocuparon el Parlamento desde el 18 de mayo de 1998, y el 21 Suharto dimitió</w:t>
      </w:r>
      <w:r>
        <w:t xml:space="preserve"> (ídem)</w:t>
      </w:r>
      <w:r>
        <w:t xml:space="preserve">. Siguió la época llamada </w:t>
      </w:r>
      <w:r>
        <w:rPr>
          <w:i/>
        </w:rPr>
        <w:t>reformasi</w:t>
      </w:r>
      <w:r>
        <w:t>, la reforma</w:t>
      </w:r>
      <w:r>
        <w:t xml:space="preserve"> (Britannica)</w:t>
      </w:r>
      <w:r>
        <w:t>, y el 7 de junio de 1999, según los observadores internacionales, Indonesia celebró «sus primeras elecciones competitivas desde 1955»</w:t>
      </w:r>
      <w:r>
        <w:t xml:space="preserve"> [original: «its first competitive elections since 1955»]</w:t>
      </w:r>
      <w:r>
        <w:t xml:space="preserve"> (declaración de la misión de observación del NDI y el Centro Carter, 9-6-1999)</w:t>
      </w:r>
      <w:r>
        <w:br/>
      </w:r>
      <w:r>
        <w:rPr>
          <w:b/>
        </w:rPr>
        <w:t>leída en su fuente · declaración de la misión de observación del NDI y el Centro Carter, 9-6-1999</w:t>
      </w:r>
      <w:r>
        <w:br/>
      </w:r>
      <w:r>
        <w:rPr>
          <w:b/>
        </w:rPr>
        <w:t>Archivo leído:</w:t>
      </w:r>
      <w:r>
        <w:t xml:space="preserve"> c8_ndi_carter_1999_indonesia_statement_213_id_1stelect.pdf; c8_britannica_indonesia_independent_to_1965.html · contraste del archivo de pasajes: ✘</w:t>
      </w:r>
      <w:r>
        <w:br/>
      </w:r>
      <w:r>
        <w:rPr>
          <w:b/>
        </w:rPr>
        <w:t>Lugar:</w:t>
      </w:r>
      <w:r>
        <w:t xml:space="preserve"> Declaración de la misión de observación del NDI (Instituto Nacional Demócrata) y el Centro Carter, Yakarta, 9-6-1999, pág. PDF 1, l. 34</w:t>
      </w:r>
      <w:r>
        <w:br/>
      </w:r>
      <w:r>
        <w:rPr>
          <w:b/>
        </w:rPr>
        <w:t>Dirección:</w:t>
      </w:r>
      <w:r>
        <w:t xml:space="preserve"> </w:t>
      </w:r>
      <w:r>
        <w:t>https://www.ndi.org/sites/default/files/213_id_1stelect_0.pdf</w:t>
      </w:r>
      <w:r>
        <w:t xml:space="preserve"> ; </w:t>
      </w:r>
      <w:r>
        <w:t>https://www.britannica.com/place/Indonesia/Independent-Indonesia-to-1965</w:t>
      </w:r>
      <w:r>
        <w:br/>
      </w:r>
      <w:r>
        <w:rPr>
          <w:b/>
        </w:rPr>
        <w:t>Tal como está en la fuente:</w:t>
      </w:r>
      <w:r>
        <w:t xml:space="preserve"> El 7 de junio, Indonesia celebró sus primeras elecciones competitivas desde 1955.</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t xml:space="preserve"> [original: «widespread and systematic election fraud»]</w:t>
      </w:r>
      <w:r>
        <w:t xml:space="preserve"> (OSCE/ODIHR, informe final, 28-1-2004, p. 1)</w:t>
      </w:r>
      <w:r>
        <w:br/>
      </w:r>
      <w:r>
        <w:rPr>
          <w:b/>
        </w:rPr>
        <w:t>leída en su fuente · OSCE/ODIHR, informe final, 28-1-2004, p. 1</w:t>
      </w:r>
      <w:r>
        <w:br/>
      </w:r>
      <w:r>
        <w:rPr>
          <w:b/>
        </w:rPr>
        <w:t>Archivo leído:</w:t>
      </w:r>
      <w:r>
        <w:t xml:space="preserve"> c9_osce_odihr_georgia_2003_final_report_part1_22205.pdf · contraste del archivo de pasajes: ✘</w:t>
      </w:r>
      <w:r>
        <w:br/>
      </w:r>
      <w:r>
        <w:rPr>
          <w:b/>
        </w:rPr>
        <w:t>Lugar:</w:t>
      </w:r>
      <w:r>
        <w:t xml:space="preserve"> Pág. PDF 3 (p. 1)</w:t>
      </w:r>
      <w:r>
        <w:br/>
      </w:r>
      <w:r>
        <w:rPr>
          <w:b/>
        </w:rPr>
        <w:t>Dirección:</w:t>
      </w:r>
      <w:r>
        <w:t xml:space="preserve"> </w:t>
      </w:r>
      <w:r>
        <w:t>https://odihr.osce.org/sites/default/files/f/documents/2/0/22205.pdf</w:t>
      </w:r>
      <w:r>
        <w:t xml:space="preserve"> (ficha: </w:t>
      </w:r>
      <w:r>
        <w:t>https://odihr.osce.org/odihr/elections/georgia/22205</w:t>
      </w:r>
      <w:r>
        <w:t>)</w:t>
      </w:r>
      <w:r>
        <w:br/>
      </w:r>
      <w:r>
        <w:rPr>
          <w:b/>
        </w:rPr>
        <w:t>Tal como está en la fuente:</w:t>
      </w:r>
      <w:r>
        <w:t xml:space="preserve"> Las elecciones parlamentarias del 2 de noviembre en Georgia no cumplieron varios compromisos de la OSCE y otras normas internacionales de elecciones democráticas. Demostraron que a las autoridades les faltó voluntad política para llevar a cabo un proceso democrático auténtico. El resultado fue un fraude electoral extendido y sistemático durante y después del día de la votación, sobre todo en las regiones de Ayaria y Kvemo Kartli.</w:t>
      </w:r>
      <w:r>
        <w:t>. Siguieron las protestas, con una rosa en la mano en lugar de un arma; de ahí el nombre de Revolución de las Rosas</w:t>
      </w:r>
      <w:r>
        <w:t xml:space="preserve"> (Columbia Magazine, «Rose revolutionary»; fuente secundaria)</w:t>
      </w:r>
      <w:r>
        <w:t>. El 22 de noviembre, los manifestantes impidieron que se constituyera el nuevo Parlamento, y el 23 dimitió el presidente Shevardnadze</w:t>
      </w:r>
      <w:r>
        <w:t xml:space="preserve"> (OSCE/ODIHR, informe final, p. 21)</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t xml:space="preserve"> [original: «a banking sector collapse that is globally unprecedented in scale (relative to the domestic economy)»]</w:t>
      </w:r>
      <w:r>
        <w:t xml:space="preserve"> (FMI, informe de país n.º 08/362, párrs. 4 y 31)</w:t>
      </w:r>
      <w:r>
        <w:t>. Hubo protestas ante el Parlamento, golpeando cacerolas</w:t>
      </w:r>
      <w:r>
        <w:t xml:space="preserve"> (Encyclopaedia Britannica, «Iceland»; fuente secundaria)</w:t>
      </w:r>
      <w:r>
        <w:t>. El 26 de enero de 2009 dimitió el Gobierno</w:t>
      </w:r>
      <w:r>
        <w:t xml:space="preserve"> (Gobierno de Islandia, nota de 26-1-2009)</w:t>
      </w:r>
      <w:r>
        <w:t>, y el 25 de abril hubo elecciones</w:t>
      </w:r>
      <w:r>
        <w:t xml:space="preserve"> (Instituto de Estadística de Islandia)</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t xml:space="preserve"> (Comisión Investigadora Especial, informe de 12-4-2010, cap. 2, p. 18)</w:t>
      </w:r>
      <w:r>
        <w:t>.</w:t>
      </w:r>
    </w:p>
    <w:p>
      <w:r>
        <w:t>[19.00-13.1 a 22.2, corregido: la invitación no fue del Parlamento (no estaba reunido), sino de siete notables; la ley de 1947 es la Indian Independence Act; en Polonia, las elecciones «parcialmente democráticas» y un jefe de Gobierno no comunista en un Gobierno de coalición; en Praga, el 29 de noviembre, no el 28; en Sudáfrica las ganó el CNA; en Indonesia, las primeras competitivas desde 1955; en Georgia, irrupción el 22 y dimisión el 23; en Islandia, el superlativo es del FMI. Fuentes leídas en el original; las secundarias, marcadas]</w:t>
      </w:r>
    </w:p>
    <w:p>
      <w:r>
        <w:rPr>
          <w:b/>
        </w:rPr>
        <w:t>Precisiones de fecha y de fuente.</w:t>
      </w:r>
    </w:p>
    <w:p>
      <w:pPr>
        <w:pStyle w:val="ListBullet"/>
      </w:pPr>
      <w:r>
        <w:rPr>
          <w:b/>
        </w:rPr>
        <w:t>Inglaterra.</w:t>
      </w:r>
      <w:r>
        <w:t xml:space="preserve"> Lo que se reunió después, el 22 de enero de 1689, fue una Convención de lores y diputados, que «no se llamó Parlamento porque no la convocó el rey»</w:t>
      </w:r>
      <w:r>
        <w:t xml:space="preserve"> [original: «not called a Parliament, as it was not summoned by the King»]</w:t>
      </w:r>
      <w:r>
        <w:t xml:space="preserve"> (Parlamento del Reino Unido; fuente secundaria)</w:t>
      </w:r>
      <w:r>
        <w:br/>
      </w:r>
      <w:r>
        <w:rPr>
          <w:b/>
        </w:rPr>
        <w:t>leída en su fuente · Parlamento del Reino Unido; fuente secundaria</w:t>
      </w:r>
      <w:r>
        <w:br/>
      </w:r>
      <w:r>
        <w:rPr>
          <w:b/>
        </w:rPr>
        <w:t>Archivo leído:</w:t>
      </w:r>
      <w:r>
        <w:t xml:space="preserve"> c1_britannica_james_ii.html; c1_britannica_glorious_revolution.html; c1_uk_parliament_invasion_desertion.html; c1_uk_parliament_keydates_1660_88.html (c9b\c1_uk_parliament_invasion_desertion.html) · contraste del archivo de pasajes: ✔</w:t>
      </w:r>
      <w:r>
        <w:br/>
      </w:r>
      <w:r>
        <w:rPr>
          <w:b/>
        </w:rPr>
        <w:t>Lugar:</w:t>
      </w:r>
      <w:r>
        <w:t xml:space="preserve"> Britannica James II l. 408</w:t>
      </w:r>
      <w:r>
        <w:br/>
      </w:r>
      <w:r>
        <w:rPr>
          <w:b/>
        </w:rPr>
        <w:t>Dirección:</w:t>
      </w:r>
      <w:r>
        <w:t xml:space="preserve"> </w:t>
      </w:r>
      <w:r>
        <w:t>https://www.britannica.com/biography/James-II-king-of-England-Scotland-and-Ireland</w:t>
      </w:r>
      <w:r>
        <w:t xml:space="preserve"> ; </w:t>
      </w:r>
      <w:r>
        <w:t>https://www.britannica.com/event/Glorious-Revolution</w:t>
      </w:r>
      <w:r>
        <w:t xml:space="preserve"> ; </w:t>
      </w:r>
      <w:r>
        <w:t>https://www.parliament.uk/about/living-heritage/evolutionofparliament/parliamentaryauthority/revolution/overview/invasiondesertion/</w:t>
      </w:r>
      <w:r>
        <w:t xml:space="preserve"> ; </w:t>
      </w:r>
      <w:r>
        <w:t>https://www.parliament.uk/about/living-heritage/evolutionofparliament/parliamentaryauthority/revolution/keydates/keydates1660-88/</w:t>
      </w:r>
      <w:r>
        <w:br/>
      </w:r>
      <w:r>
        <w:rPr>
          <w:b/>
        </w:rPr>
        <w:t>Tal como está en la fuente:</w:t>
      </w:r>
      <w:r>
        <w:t xml:space="preserve"> summoned a Convention of Lords and MPs (not called a Parliament, as it was not summoned by the King)</w:t>
      </w:r>
      <w:r>
        <w:br/>
      </w:r>
      <w:r>
        <w:rPr>
          <w:b/>
        </w:rPr>
        <w:t>Traducción guardada:</w:t>
      </w:r>
      <w:r>
        <w:t xml:space="preserve"> «convocó una Convención de lores y diputados —no llamada Parlamento porque no la convocó el rey—»</w:t>
      </w:r>
      <w:r>
        <w:t>. Las fuentes no coinciden en quiénes firmaron la invitación: «un obispo y seis políticos destacados»</w:t>
      </w:r>
      <w:r>
        <w:t xml:space="preserve"> [original: «one bishop and six prominent politicians»]</w:t>
      </w:r>
      <w:r>
        <w:t xml:space="preserve"> (Encyclopaedia Britannica, «Glorious Revolution»; fuente secundaria)</w:t>
      </w:r>
      <w:r>
        <w:br/>
      </w:r>
      <w:r>
        <w:rPr>
          <w:b/>
        </w:rPr>
        <w:t>leída en su fuente · Encyclopaedia Britannica, «Glorious Revolution»; fuente secundaria</w:t>
      </w:r>
      <w:r>
        <w:br/>
      </w:r>
      <w:r>
        <w:rPr>
          <w:b/>
        </w:rPr>
        <w:t>Archivo leído:</w:t>
      </w:r>
      <w:r>
        <w:t xml:space="preserve"> c1_britannica_james_ii.html; c1_britannica_glorious_revolution.html; c1_uk_parliament_invasion_desertion.html; c1_uk_parliament_keydates_1660_88.html · contraste del archivo de pasajes: ✘</w:t>
      </w:r>
      <w:r>
        <w:br/>
      </w:r>
      <w:r>
        <w:rPr>
          <w:b/>
        </w:rPr>
        <w:t>Lugar:</w:t>
      </w:r>
      <w:r>
        <w:t xml:space="preserve"> Britannica James II l. 408</w:t>
      </w:r>
      <w:r>
        <w:br/>
      </w:r>
      <w:r>
        <w:rPr>
          <w:b/>
        </w:rPr>
        <w:t>Dirección:</w:t>
      </w:r>
      <w:r>
        <w:t xml:space="preserve"> </w:t>
      </w:r>
      <w:r>
        <w:t>https://www.britannica.com/biography/James-II-king-of-England-Scotland-and-Ireland</w:t>
      </w:r>
      <w:r>
        <w:t xml:space="preserve"> ; </w:t>
      </w:r>
      <w:r>
        <w:t>https://www.britannica.com/event/Glorious-Revolution</w:t>
      </w:r>
      <w:r>
        <w:t xml:space="preserve"> ; </w:t>
      </w:r>
      <w:r>
        <w:t>https://www.parliament.uk/about/living-heritage/evolutionofparliament/parliamentaryauthority/revolution/overview/invasiondesertion/</w:t>
      </w:r>
      <w:r>
        <w:t xml:space="preserve"> ; </w:t>
      </w:r>
      <w:r>
        <w:t>https://www.parliament.uk/about/living-heritage/evolutionofparliament/parliamentaryauthority/revolution/keydates/keydates1660-88/</w:t>
      </w:r>
      <w:r>
        <w:br/>
      </w:r>
      <w:r>
        <w:rPr>
          <w:b/>
        </w:rPr>
        <w:t>Tal como está en la fuente:</w:t>
      </w:r>
      <w:r>
        <w:t xml:space="preserve"> entre ellos un obispo y seis políticos destacados</w:t>
      </w:r>
      <w:r>
        <w:t>, según Britannica; «siete pares»</w:t>
      </w:r>
      <w:r>
        <w:t xml:space="preserve"> [original: «seven peers»]</w:t>
      </w:r>
      <w:r>
        <w:t xml:space="preserve"> (Parlamento del Reino Unido; fuente secundaria)</w:t>
      </w:r>
      <w:r>
        <w:t>, según la web del Parlamento. Y la revolución, poco sangrienta en Inglaterra, «fue muy sangrienta en Irlanda y Escocia»</w:t>
      </w:r>
      <w:r>
        <w:t xml:space="preserve"> [original: «became very bloody in Ireland and Scotland»]</w:t>
      </w:r>
      <w:r>
        <w:t xml:space="preserve"> (ídem)</w:t>
      </w:r>
      <w:r>
        <w:br/>
      </w:r>
      <w:r>
        <w:rPr>
          <w:b/>
        </w:rPr>
        <w:t>leída en su fuente · ídem</w:t>
      </w:r>
      <w:r>
        <w:br/>
      </w:r>
      <w:r>
        <w:rPr>
          <w:b/>
        </w:rPr>
        <w:t>Archivo leído:</w:t>
      </w:r>
      <w:r>
        <w:t xml:space="preserve"> c1_britannica_james_ii.html; c1_uk_parliament_invasion_desertion.html · contraste del archivo de pasajes: ✘</w:t>
      </w:r>
      <w:r>
        <w:br/>
      </w:r>
      <w:r>
        <w:rPr>
          <w:b/>
        </w:rPr>
        <w:t>Lugar:</w:t>
      </w:r>
      <w:r>
        <w:t xml:space="preserve"> Britannica l. 408</w:t>
      </w:r>
      <w:r>
        <w:br/>
      </w:r>
      <w:r>
        <w:rPr>
          <w:b/>
        </w:rPr>
        <w:t>Tal como está en la fuente:</w:t>
      </w:r>
      <w:r>
        <w:t xml:space="preserve"> con poco derramamiento de sangre en Inglaterra, olvidando que la revolución fue muy sangrienta en Irlanda y Escocia</w:t>
      </w:r>
      <w:r>
        <w:t>. La ley se titula «1688» porque entonces el año empezaba el 25 de marzo: en el calendario de hoy, 1689.</w:t>
      </w:r>
    </w:p>
    <w:p>
      <w:pPr>
        <w:pStyle w:val="ListBullet"/>
      </w:pPr>
      <w:r>
        <w:rPr>
          <w:b/>
        </w:rPr>
        <w:t>La India.</w:t>
      </w:r>
      <w:r>
        <w:t xml:space="preserve"> La Oficina de Prensa del Gobierno indio da 241 millas, unos 388 kilómetros</w:t>
      </w:r>
      <w:r>
        <w:t xml:space="preserve"> (Oficina de Prensa del Gobierno de la India, 2021; fuente secundaria)</w:t>
      </w:r>
      <w:r>
        <w:t>. La cifra de presos tiene una sola fuente secundaria.</w:t>
      </w:r>
    </w:p>
    <w:p>
      <w:pPr>
        <w:pStyle w:val="ListBullet"/>
      </w:pPr>
      <w:r>
        <w:rPr>
          <w:b/>
        </w:rPr>
        <w:t>Polonia.</w:t>
      </w:r>
      <w:r>
        <w:t xml:space="preserve"> La Unión Soviética ya había elegido en marzo de 1989, con varios candidatos, a parte de su Congreso de Diputados del Pueblo; lo que dicen las fuentes de Solidaridad es que fue «el primer movimiento de oposición que participó en elecciones libres en un país del bloque soviético desde los años cuarenta»</w:t>
      </w:r>
      <w:r>
        <w:t xml:space="preserve"> [original: «the first opposition movement to participate in free elections in a Soviet-bloc nation since the 1940s»]</w:t>
      </w:r>
      <w:r>
        <w:t xml:space="preserve"> (Encyclopaedia Britannica, «Solidarity»)</w:t>
      </w:r>
      <w:r>
        <w:br/>
      </w:r>
      <w:r>
        <w:rPr>
          <w:b/>
        </w:rPr>
        <w:t>leída en su fuente · Encyclopaedia Britannica, «Solidarity»</w:t>
      </w:r>
      <w:r>
        <w:br/>
      </w:r>
      <w:r>
        <w:rPr>
          <w:b/>
        </w:rPr>
        <w:t>Archivo leído:</w:t>
      </w:r>
      <w:r>
        <w:t xml:space="preserve"> c3_zpe_okragly_stol.html; c3_britannica_solidarity.html; c3_britannica_congress_of_peoples_deputies.html · contraste del archivo de pasajes: ✘</w:t>
      </w:r>
      <w:r>
        <w:br/>
      </w:r>
      <w:r>
        <w:rPr>
          <w:b/>
        </w:rPr>
        <w:t>Lugar:</w:t>
      </w:r>
      <w:r>
        <w:t xml:space="preserve"> zpe l. 67</w:t>
      </w:r>
      <w:r>
        <w:br/>
      </w:r>
      <w:r>
        <w:rPr>
          <w:b/>
        </w:rPr>
        <w:t>Tal como está en la fuente:</w:t>
      </w:r>
      <w:r>
        <w:t xml:space="preserve"> el primer movimiento de oposición que participó en elecciones libres en un país del bloque soviético desde los años cuarenta</w:t>
      </w:r>
      <w:r>
        <w:t>. El Gobierno de Mazowiecki, nombrado el 12 de septiembre, era de coalición con el Partido Obrero Unificado, que tenía ministros</w:t>
      </w:r>
      <w:r>
        <w:t xml:space="preserve"> (ídem; Sejm, resolución de 12-9-2014)</w:t>
      </w:r>
      <w:r>
        <w:t>.</w:t>
      </w:r>
    </w:p>
    <w:p>
      <w:pPr>
        <w:pStyle w:val="ListBullet"/>
      </w:pPr>
      <w:r>
        <w:rPr>
          <w:b/>
        </w:rPr>
        <w:t>La RDA.</w:t>
      </w:r>
      <w:r>
        <w:t xml:space="preserve"> La hora de apertura del paso varía según la fuente: las 23.14 (bpb) o las 23.30 (Crónica del Muro). La disolución de la Unión Soviética se fecha el 25 de diciembre, cuando dimitió su presidente y se arrió la bandera, o el 31, según la fuente.</w:t>
      </w:r>
    </w:p>
    <w:p>
      <w:pPr>
        <w:pStyle w:val="ListBullet"/>
      </w:pPr>
      <w:r>
        <w:rPr>
          <w:b/>
        </w:rPr>
        <w:t>Checoslovaquia.</w:t>
      </w:r>
      <w:r>
        <w:t xml:space="preserve"> El Partido Comunista siguió en el Gobierno hasta el Gobierno de transición y la dimisión del presidente Husák, el 10 de diciembre</w:t>
      </w:r>
      <w:r>
        <w:t xml:space="preserve"> (Britannica; fuente secundaria)</w:t>
      </w:r>
      <w:r>
        <w:t>.</w:t>
      </w:r>
    </w:p>
    <w:p>
      <w:pPr>
        <w:pStyle w:val="ListBullet"/>
      </w:pPr>
      <w:r>
        <w:rPr>
          <w:b/>
        </w:rPr>
        <w:t>Filipinas.</w:t>
      </w:r>
      <w:r>
        <w:t xml:space="preserve"> Ese mismo 25 de febrero, Marcos también juró ante los suyos</w:t>
      </w:r>
      <w:r>
        <w:t xml:space="preserve"> (Britannica, «Corazon Aquino»)</w:t>
      </w:r>
      <w:r>
        <w:t>. Que esa noche volara a una base dentro del país y saliera hacia Guam al día siguiente solo consta en prensa, y no entra.</w:t>
      </w:r>
    </w:p>
    <w:p>
      <w:pPr>
        <w:pStyle w:val="ListBullet"/>
      </w:pPr>
      <w:r>
        <w:rPr>
          <w:b/>
        </w:rPr>
        <w:t>Sudáfrica.</w:t>
      </w:r>
      <w:r>
        <w:t xml:space="preserve"> El 27 de abril fue el día general: los ancianos y las personas con discapacidad votaron el 26, y la votación se alargó hasta el 29</w:t>
      </w:r>
      <w:r>
        <w:t xml:space="preserve"> (South African History Online; Biblioteca del Congreso de EE. UU.; fuentes secundarias)</w:t>
      </w:r>
      <w:r>
        <w:t>.</w:t>
      </w:r>
    </w:p>
    <w:p>
      <w:pPr>
        <w:pStyle w:val="ListBullet"/>
      </w:pPr>
      <w:r>
        <w:rPr>
          <w:b/>
        </w:rPr>
        <w:t>Indonesia.</w:t>
      </w:r>
      <w:r>
        <w:t xml:space="preserve"> Fue presidente interino desde marzo de 1967 y elegido en marzo de 1968: contando desde 1967, serían treinta y un años</w:t>
      </w:r>
      <w:r>
        <w:t xml:space="preserve"> (Britannica)</w:t>
      </w:r>
      <w:r>
        <w:t>. La ocupación del Parlamento duró hasta la madrugada del 23 de mayo</w:t>
      </w:r>
      <w:r>
        <w:t xml:space="preserve"> (Forrester y May)</w:t>
      </w:r>
      <w:r>
        <w:t>. El texto de su discurso de dimisión solo se ha hallado en prensa.</w:t>
      </w:r>
    </w:p>
    <w:p>
      <w:pPr>
        <w:pStyle w:val="ListBullet"/>
      </w:pPr>
      <w:r>
        <w:rPr>
          <w:b/>
        </w:rPr>
        <w:t>Islandia.</w:t>
      </w:r>
      <w:r>
        <w:t xml:space="preserve"> La fecha exacta de las cacerolas no consta en las fuentes leídas.</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 </w:t>
      </w:r>
      <w:r>
        <w:t>[19.00-23.1, corregido: de 1688 a 2009 van más de tres siglos; ninguno de los diez es de la Primavera Árabe; las duraciones, con las fechas de los propios casos]</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 </w:t>
      </w:r>
      <w:r>
        <w:t>[19.00-11.1 y 23.1]</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xml:space="preserve">). Lo que quiere es que la segunda no sea una retirada a ciegas, sino la constancia escrita de lo que falta, el juicio de la verdad y la reforma por la puerta que la propia Constitución dejó abierta (capítulos 10 y 11). </w:t>
      </w:r>
      <w:r>
        <w:t>[00.0-5.16; 19.00-23.1; redacción nueva, aprobada por Kiko el 6-oct]</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 xml:space="preserve">). </w:t>
      </w:r>
      <w:r>
        <w:t>[19.00-23.1]</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r>
        <w:t>[00.0-6.3 y 6.4]</w:t>
      </w:r>
    </w:p>
    <w:p>
      <w:pPr>
        <w:pStyle w:val="ListBullet"/>
      </w:pPr>
      <w:r>
        <w:rPr>
          <w:b/>
        </w:rPr>
        <w:t>El dictamen no tiene valor oficial.</w:t>
      </w:r>
      <w:r>
        <w:t xml:space="preserve"> La obra no es un auditor inscrito ni un órgano de control; usa el formato de la ley para que su conclusión se lea con categorías conocidas. </w:t>
      </w:r>
      <w:r>
        <w:t>[00.0-6.9 y 6.10]</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r>
        <w:t>[14.00-8.10]</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r>
        <w:t>[18.00-7.12; 34.00-13.12]</w:t>
      </w:r>
    </w:p>
    <w:p>
      <w:pPr>
        <w:pStyle w:val="ListBullet"/>
      </w:pPr>
      <w:r>
        <w:rPr>
          <w:b/>
        </w:rPr>
        <w:t>«El sistema creó los problemas» es lectura del autor,</w:t>
      </w:r>
      <w:r>
        <w:t xml:space="preserve"> no conclusión de los datos (</w:t>
      </w:r>
      <w:r>
        <w:t>8.9</w:t>
      </w:r>
      <w:r>
        <w:t xml:space="preserve">). </w:t>
      </w:r>
      <w:r>
        <w:t>[29.00-8.8]</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br/>
      </w:r>
      <w:r>
        <w:rPr>
          <w:b/>
        </w:rPr>
        <w:t>leída en su fuente · art. 9.3</w:t>
      </w:r>
      <w:r>
        <w:br/>
      </w:r>
      <w:r>
        <w:rPr>
          <w:b/>
        </w:rPr>
        <w:t>Archivo leído:</w:t>
      </w:r>
      <w:r>
        <w:t xml:space="preserve"> constitucion_1978.html (c5\constitucion_1978.html) · contraste del archivo de pasajes: ✔</w:t>
      </w:r>
      <w:r>
        <w:br/>
      </w:r>
      <w:r>
        <w:rPr>
          <w:b/>
        </w:rPr>
        <w:t>Lugar:</w:t>
      </w:r>
      <w:r>
        <w:t xml:space="preserve"> Art. 9.3</w:t>
      </w:r>
      <w:r>
        <w:br/>
      </w:r>
      <w:r>
        <w:rPr>
          <w:b/>
        </w:rPr>
        <w:t>Tal como está en la fuente:</w:t>
      </w:r>
      <w:r>
        <w:t xml:space="preserve"> la irretroactividad de las disposiciones sancionadoras no favorables o restrictivas de derechos individuales</w:t>
      </w:r>
      <w:r>
        <w:t>. El decomiso ampliado del Código Penal exige una condena: se ordena sobre los bienes de «una persona condenada por alguno de los siguientes delitos»</w:t>
      </w:r>
      <w:r>
        <w:t xml:space="preserve"> (Código Penal, art. 127 bis.1)</w:t>
      </w:r>
      <w:r>
        <w:br/>
      </w:r>
      <w:r>
        <w:rPr>
          <w:b/>
        </w:rPr>
        <w:t>leída en su fuente · Código Penal, art. 127 bis.1</w:t>
      </w:r>
      <w:r>
        <w:br/>
      </w:r>
      <w:r>
        <w:rPr>
          <w:b/>
        </w:rPr>
        <w:t>Archivo leído:</w:t>
      </w:r>
      <w:r>
        <w:t xml:space="preserve"> 8.5_15a_Codigo_Penal_BOE-A-1995-25444.html (c8c\8.5_15a_Codigo_Penal_BOE-A-1995-25444.html) · contraste del archivo de pasajes: ✔</w:t>
      </w:r>
      <w:r>
        <w:br/>
      </w:r>
      <w:r>
        <w:rPr>
          <w:b/>
        </w:rPr>
        <w:t>Lugar:</w:t>
      </w:r>
      <w:r>
        <w:t xml:space="preserve"> Art. 127 bis.1 (#a127bis)</w:t>
      </w:r>
      <w:r>
        <w:br/>
      </w:r>
      <w:r>
        <w:rPr>
          <w:b/>
        </w:rPr>
        <w:t>Dirección:</w:t>
      </w:r>
      <w:r>
        <w:t xml:space="preserve"> </w:t>
      </w:r>
      <w:r>
        <w:t>https://www.boe.es/buscar/act.php?id=BOE-A-1995-25444</w:t>
      </w:r>
      <w:r>
        <w:br/>
      </w:r>
      <w:r>
        <w:rPr>
          <w:b/>
        </w:rPr>
        <w:t>Tal como está en la fuente:</w:t>
      </w:r>
      <w:r>
        <w:t xml:space="preserve"> 1. El juez o tribunal ordenará también el decomiso de los bienes, efectos y ganancias pertenecientes a una persona condenada por alguno de los siguientes delitos cuando resuelva, a partir de indicios objetivos fundados, que los bienes o efectos provienen de una actividad delictiva, y no se acredite su origen lícito: / a) Delitos de trata de seres humanos. / a bis) Delitos de tráfico de órganos. / b) Delitos relativos a la prostitución y a la explotación sexual y corrupción de menores y delitos de abusos y agresiones sexuales a menores de dieciséis años. / c) Delitos informáticos de los apartados 2 y 3 del artículo 197 y artículo 264. / d) Delitos contra el patrimonio y contra el orden socioeconómico en los supuestos de continuidad delictiva y reincidencia. / e) Delitos relativos a las insolvencias punibles. / f) Delitos contra la propiedad intelectual o industrial. / g) Delitos de corrupción en los negocios. / h) Delitos de receptación del apartado 2 del artículo 298. / i) Delitos de blanqueo de capitales. / j) Delitos contra la Hacienda pública y la Seguridad Social. / k) Delitos contra los derechos de los trabajadores de los artículos 311 a 313. / l) Delitos contra los derechos de los ciudadanos extranjeros. / m) Delitos contra la salud pública de los artículos 368 a 373. / n) Delitos de falsificación de moneda. / o) Delitos de cohecho. / p) Delitos de malversación. / q) Delitos de terrorismo. / r) Delitos cometidos en el seno de una organización o grupo criminal.</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br/>
      </w:r>
      <w:r>
        <w:rPr>
          <w:b/>
        </w:rPr>
        <w:t>leída en su fuente · Código Civil, art. 1003</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no sólo con los bienes de ésta, sino también con los suyos propios</w:t>
      </w:r>
      <w:r>
        <w:t xml:space="preserve">. </w:t>
      </w:r>
      <w:r>
        <w:t>[00.00-11.4; Código Penal, Constitución y Código Civil leídos en el BOE]</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r>
        <w:t>[19.00-23.1; 19.00-35.4]</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br/>
      </w:r>
      <w:r>
        <w:rPr>
          <w:b/>
        </w:rPr>
        <w:t>pasaje guardado · López Austin, La constitución real de México-Tenochtitlan, UNAM, conclusión 12</w:t>
      </w:r>
      <w:r>
        <w:br/>
      </w:r>
      <w:r>
        <w:rPr>
          <w:b/>
        </w:rPr>
        <w:t>Archivo leído:</w:t>
      </w:r>
      <w:r>
        <w:t xml:space="preserve"> c13_unam_lopez_austin_constitucion_real_1961_conclusiones_060_11.pdf; c13_unam_lopez_austin_constitucion_real_1961_cap_funcionamiento_estatal_060_09.pdf; c13_unam_torquemada_monarquia_indiana_lib2_cap62_muerte_tizoc_miv1127.pdf; c13_britannica_ahuitzotl.html (c9b\c13_unam_lopez_austin_constitucion_real_1961_conclusiones_060_11.pdf) · contraste del archivo de pasajes: parcial</w:t>
      </w:r>
      <w:r>
        <w:br/>
      </w:r>
      <w:r>
        <w:rPr>
          <w:b/>
        </w:rPr>
        <w:t>Lugar:</w:t>
      </w:r>
      <w:r>
        <w:t xml:space="preserve"> López Austin, conclusión 12, pág. PDF 4 (p. 151)</w:t>
      </w:r>
      <w:r>
        <w:br/>
      </w:r>
      <w:r>
        <w:rPr>
          <w:b/>
        </w:rPr>
        <w:t>Tal como está en la fuente:</w:t>
      </w:r>
      <w:r>
        <w:t xml:space="preserve"> El poder del Tlatoani era absoluto desde el punto de vista jurídico.</w:t>
      </w:r>
      <w:r>
        <w:t>. A Tízoc no lo destituyeron: lo mataron, según las crónicas</w:t>
      </w:r>
      <w:r>
        <w:t xml:space="preserve"> (Torquemada, Monarquía indiana, 1615, lib. II, cap. LXII)</w:t>
      </w:r>
      <w:r>
        <w:t xml:space="preserve">. La fuente maya del Registro no se ha leído en el original, y no entra. </w:t>
      </w:r>
      <w:r>
        <w:t>[19.00-0.1 y 11.1; leídos en la UNAM]</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r>
        <w:t>[clasificación de las defensas, aprobada, 11.4 y capítulo 10; 00.0-6.1 a 6.14; 00.00-11.4; 13.00-13.16; 14.00-8.10; 18.00-7.10 y 7.12; 19.00-35.1 a 35.5; 29.00-8.4 y 8.8; 34.00-13.12]</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