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(Kiko, chat de 08.26, 16:4x, pasado por 08.26 tal cual: «Este punto se tiene que presentar exactamente cómo los daños colaterales de un sistema, basado contra natura. Y aquí vemos los daños colaterales de la naturaleza.»; filas 600 y 604 de 08/01; el sitio, decidido por 08.26; borrador B20 bis de 10.34, b74d1fd): en 0.2, al principio de la «Lectura del autor» que va detrás de la conclusión, una frase con sus palabras: «lo que se pierde en el planeta son los daños colaterales de un sistema basado contra natura (5.2): aquí vemos los daños colaterales de la naturaleza.»; «por eso» pasa a «Por eso», porque ahora abre frase; y su remisión en la trazabilidad del párrafo. La conclusión y sus datos no cambian. Sin dato ni cita nuevos. Ninguna otra palabra cambia. Cambio del 12-oct-2026 (Kiko, chat de 08.26, pasado por 08.26 tal cual a la pregunta del B20: «SI»; fila 599 de 08/01; la decisión de fondo, fila 522: «añadir estado en cada una y si existe algun tipo de deterioro contaminacion etc... [...] con el matiz concuerdo»; borrador B20 de 10.33, verificado por 08.25, fila 591): en 0.2, la «Conclusión, lo que arrojan los datos» pasa a dos puntos: «El sistema», con su frase sin cambiar una palabra, y «El planeta», una línea por cosa (la vida silvestre, los bosques, el mar, el aire, el agua, el suelo, lo que se recupera y la natalidad, que remite a 8.8), cada cifra con lo que mide, sus años y su fuente leída, y al final «estas cifras miden el estado, no quién lo causa»; debajo, un {breve} y, solo en el nivel completo, la tabla de 25 filas (lo que se pierde, lo que se gana, el estado y el deterioro), con su línea de fuente. Leído hoy en su original: los diecisiete documentos del lote frutos_del_planeta_12oct de 10 FUENTES LEIDAS (comprobar_B20.py, 66 de 66 frases y 3 cálculos). Sin cita literal nueva. Ninguna otra palabra cambia. Cambio del 12-oct-2026 (Kiko, chat de 08.21, 11:0x, pasado por 08.21 tal cual, a «¿Entran así la pesa en 0.5 y la tabla de J.8?»: «si concuerdo»; la pesa calibrada, a las 10:5x: «concuerdo» y «si concuerdo»; parlamento de la balanza, 08/22, apartados 10 y 11): en 0.5, «La idea» lleva detrás la frase de la pesa que eligió Kiko («La pesa: ¿roca o arena? Y, por sus frutos, ¿sirve más allá de sí, se sirve, o no cuida ni cumple? Vale para quien pesa»), con «(lectura del autor)» al final; y en el cuerpo, detrás de «La vara» y antes de «La convergencia», dos bloques (borrador B17): «La balanza» (la vara, la pesa justa, el centro y el dial, un solo instrumento con cuatro nombres, con remisión a J) y «Lectura del autor: la pesa» (las palabras del autor tal cual y lo que significan en este libro; 0.4 no cambia). Sin dato ni cita nueva. Ninguna otra palabra cambia. Cambio del 12-oct-2026 (Kiko, chat de 08.19, 08:5x, pasado por 08.19 tal cual, a «¿entran así los tres textos, el de 0.2, el llamamiento y estas líneas de cierre?»: «si entran»; parlamento del hilo de la poda, 08/20, con la forma que Kiko decidió a las 08:0x): en 0.2, detrás de «Adónde lleva» y antes de «Lo que no hace», el propósito en el fondo (borrador B15): una lectura del autor (la poda de las ramas secas del árbol del conocimiento, el método, el árbol de la vida), una conclusión con las palabras de 9.1 (la causa de disolución; más años de vida, más normas y más trámites para obtener lo mismo) y otra lectura del autor (por eso la poda empieza por el Estado; el capitán y el timón, siempre por las puertas de la ley; el aliento de vida; el mapa de J.1). «No sostiene la vida» va como lectura y no como dato: 8.8 y 8.10 no afirman ninguna causa. Ninguna otra palabra cambia. Cambio del 12-oct-2026 (B13, punto 7 en otra forma; decisión de 08.18 sobre la frase que Kiko aprobó en el chat de 08.18, 06:3x: «si»; la vio 10.29): en 0.5, «lo dicen tradiciones que no se leyeron entre sí» pasa a «sin contacto documentado entre sí». Ninguna otra palabra cambia. Cambio del 12-oct-2026 (Kiko, chat de 08.18, 06:3x, pasado por 08.18 tal cual, a «¿das el sí a los nueve cambios de 07.6?»: «si»; borrador B13, el barrido de los cuantificadores vagos en las frases con dato): en 0.5, «La esclavitud estuvo en casi todos los pueblos» pasa a «La esclavitud estuvo muy extendida»: ninguna fuente de la obra da ese «casi todos». Ninguna otra palabra cambia. Cambio del 9-oct-2026 (Kiko: «Sí, ponlo en 1.5»; fila 29 de 04p): en 0.5, en «La condición», una frase tras el caso de la esclavitud que añade el robo hacia fuera de unos germanos y la mutilación genital femenina como casos que no pasan la vara y remite a 1.5. Cambio del 9-oct-2026 (Kiko: «si» al borrador F30; fila 30 de 04p, la regla de oro como apoyo del criterio de reciprocidad): en 0.5, tras «Lo dicen todas las tradiciones», un bloque nuevo, «La regla de oro»: cuatro ejemplos a la vista (Israel, el Evangelio, China, India) y cinco en el nivel completo (budismo, jainismo, Persia, Grecia, islam), con «coinciden» y no «convergen»; sin el taoísmo (forma actual tardía) ni Egipto (no se halló; el Campesino elocuente, sin leer en su fuente). «La idea» de 0.5 no cambia. Cambio del 9-oct-2026 (Kiko: «Sí al M6 con las tres recomendaciones» en el chat de 08 y «sí al M6, sí a P-11.6» en el de 07; borrador M6 de la carpeta 07; 04p filas 25, 27 y 35): en 0.6, una viñeta nueva al final de la lista: «El mapa del árbol», la segunda puerta de entrada de la obra (se abre desde el índice general). No cambia ningún dato. Cambio del 9-oct-2026 (Kiko: «Sí al M4 con las tres recomendaciones» en el chat de 08 y «Sí al M4, aplícalo» en el de 07; borrador M4 de la carpeta 07; 07/05 y fila 26 de 04p): en 0.3, «Tres maneras de leer» pasa a «Tres puertas, seis escalones» (lo que concluye, lo que lo sostiene y lo que lo confirma), con una «Lectura del autor» sobre Tomás (Jn 20:25, 27 y 29, leídos en la Reina-Valera 1909 local); y «En los tres niveles» pasa a «En todos los escalones». El lector se rehace con las tres puertas, las pestañas por apartado y el plegado. Cambio del 9-oct-2026 (Kiko: «Sí a todo el B3 y el B4, aplícalos» y «SÍ A TODO, LO PARLAMENTADO EN ESTE CONSENSO»; fila 1 de 04p; borrador B4 de la carpeta 07): en 0.6, la lista de anexos pasa de «A a I» a «A a J», con una viñeta nueva: la balanza equilibrada, el método con que se mide hacia dónde apunta cada cosa, con lo que las tradiciones guardaron como centro. Cambio del 9-oct-2026 (Kiko: «Sí al B1, aplícalo en 06»; borrador B1 de la carpeta 07; filas 3, 4 y 36 de 04p y definición de «ley escrita»): en 0.4, un párrafo nuevo «La presunción, en la ley»: la ley exige un hecho de partida admitido o probado (Ley de Enjuiciamiento Civil, arts. 385.1 y 386.1, leída en el BOE), y la obra toma esa regla como vara. No cambia la definición de la presunción. Cambio del 8-oct-2026 (lectura de la dirección de la obra, aviso PASO 4.8): en 0.2, «Como dice el Pórtico» pasa a «Se resume así»: el Pórtico era una pieza de la Biblioteca que el lector todavía no conoce (anclaje). La cita no cambia. Cambio del 8-oct-2026 (parlamento sobre los mitos; Kiko: «sí a las tres, con tus recomendaciones» y el añadido del método de medir): 0.3 («lo que no se ha podido comprobar no entra») pasa a «no entra como hecho» y explica la etiqueta «presunción»; 0.4 la nombra; 0.6 llama al anexo E «lo que se afirma sin documento». ESTADO: APROBADO por Kiko el 5-oct-2026 («sí a las tres»). Su material está marcado en el inventario (04 CAPITULOS/marcas/marcas del capitulo 0.txt). Cualquier cambio posterior, con su aprobación. Trazabilidad: al final de cada párrafo, entre corchetes, de dónde sale (código del inventario de procedencia, entrada del glosario único o del archivo del Arca). Al aprobarse, esas entradas se marcan [x] en el inventario. Anclaje comprobado con mapa_anclaje.py: ningún concepto de capítulos posteriores se usa antes del mapa (0.6), salvo «orden natural» dentro de la cita literal del autor (0.2). Conceptos que ancla este capítulo: la revelación (el nombre); la Biblioteca y la edición; la constancia escrita; el Registro de los frutos; el juicio popular de la verdad; la metamorfosis del Estado; las capas (hechos, «Conclusión, lo que arrojan los datos», «Lectura del autor», «La mejor defensa del Estado y los contrapuntos», «Límite honesto de la prueba»); la dirección de los hechos; las dos fórmulas de la lectura del autor (el padre de la mentira; lo que clama al cielo); la escala verdad, presunción, falso y mentira; por sus frutos; la vara; la convergencia y la pata coja; los tres niveles de lectura. TRES NIVELES (Kiko, 5-oct-2026, «sí a las dos»; libreta 72, puntos 112 y 113): pasado al formato de tres niveles sin cambiar ningún dato ni ninguna cita. Añadido: «En pocas palabras», «La idea» de cada apartado, «Para recordar» y, en 0.3, «Tres maneras de leer». En 0.2, «cada párrafo dice de qué pieza sale» pasa a «en el nivel completo».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r>
        <w:t>La humanidad guarda con más celo lo que más valora:</w:t>
      </w:r>
    </w:p>
    <w:p>
      <w:pPr>
        <w:pStyle w:val="ListBullet"/>
      </w:pPr>
      <w:r>
        <w:rPr>
          <w:b/>
        </w:rPr>
        <w:t>El libro de Isaías</w:t>
      </w:r>
      <w:r>
        <w:t xml:space="preserve"> se copió con tanto cuidado que el rollo hallado en Qumrán, de hace más de dos mil años, coincide en general con los códices que se copiaban mil años después</w:t>
      </w:r>
      <w:r>
        <w:t xml:space="preserve"> (Museo de Israel, «The Digital Dead Sea Scrolls»)</w:t>
      </w:r>
      <w:r>
        <w:t>.</w:t>
      </w:r>
    </w:p>
    <w:p>
      <w:pPr>
        <w:pStyle w:val="ListBullet"/>
      </w:pPr>
      <w:r>
        <w:rPr>
          <w:b/>
        </w:rPr>
        <w:t>Los Vedas</w:t>
      </w:r>
      <w:r>
        <w:t xml:space="preserve"> se han transmitido de memoria durante miles de años, cuidando que no cambie el sonido de cada palabra</w:t>
      </w:r>
      <w:r>
        <w:t xml:space="preserve"> (UNESCO, ficha de la tradición del canto védico)</w:t>
      </w:r>
      <w:r>
        <w:t>.</w:t>
      </w:r>
    </w:p>
    <w:p>
      <w:pPr>
        <w:pStyle w:val="ListBullet"/>
      </w:pPr>
      <w:r>
        <w:rPr>
          <w:b/>
        </w:rPr>
        <w:t>Los Evangelios de Garima,</w:t>
      </w:r>
      <w:r>
        <w:t xml:space="preserve"> escritos hace unos mil quinientos años, todavía se veneran en su monasterio de Etiopía</w:t>
      </w:r>
      <w:r>
        <w:t xml:space="preserve"> (Ethiopian Heritage Fund)</w:t>
      </w:r>
      <w:r>
        <w:t>.</w:t>
      </w:r>
    </w:p>
    <w:p>
      <w:r>
        <w:t xml:space="preserve">Ese celo es un testimonio: muestra lo que los pueblos han tenido por ley por encima de toda ley. Da igual el nombre que cada pueblo dé a Dios: lo que todos guardaron coincide en lo esencial. </w:t>
      </w:r>
      <w:r>
        <w:t>[00.0-1.1, corregido: véase la nota al pie del apartado]</w:t>
      </w:r>
    </w:p>
    <w:p>
      <w:r>
        <w:t>Los hechos que lo sostienen, leídos en su fuente original:</w:t>
      </w:r>
    </w:p>
    <w:p>
      <w:pPr>
        <w:pStyle w:val="ListBullet"/>
      </w:pPr>
      <w:r>
        <w:rPr>
          <w:b/>
        </w:rPr>
        <w:t>El gran rollo de Isaías.</w:t>
      </w:r>
      <w:r>
        <w:t xml:space="preserve"> </w:t>
      </w:r>
    </w:p>
    <w:p>
      <w:pPr>
        <w:pStyle w:val="ListBullet2"/>
      </w:pPr>
      <w:r>
        <w:t>Se halló en Qumrán en 1947 y es de hacia el año 125 antes de Cristo, «some one thousand years older than the oldest manuscripts of the Hebrew Bible known to us before the scrolls' discovery» (unos mil años más antiguo que los manuscritos de la Biblia hebrea más antiguos que se conocían antes de su descubrimiento).</w:t>
      </w:r>
    </w:p>
    <w:p>
      <w:pPr>
        <w:pStyle w:val="ListBullet2"/>
      </w:pPr>
      <w:r>
        <w:t>Su texto coincide en general con el de los códices medievales, como el de Alepo, «but it contains many variant readings, alternative spellings, scribal errors, and corrections» (pero tiene muchas variantes de lectura, grafías distintas, errores de copista y correcciones).</w:t>
      </w:r>
    </w:p>
    <w:p>
      <w:pPr>
        <w:pStyle w:val="ListBullet2"/>
      </w:pPr>
      <w:r>
        <w:t>Fuente: Museo de Israel, «The Digital Dead Sea Scrolls» (Los manuscritos del mar Muerto, en digital).</w:t>
      </w:r>
    </w:p>
    <w:p>
      <w:pPr>
        <w:pStyle w:val="ListBullet"/>
      </w:pPr>
      <w:r>
        <w:rPr>
          <w:b/>
        </w:rPr>
        <w:t>Los Vedas.</w:t>
      </w:r>
      <w:r>
        <w:t xml:space="preserve"> </w:t>
      </w:r>
    </w:p>
    <w:p>
      <w:pPr>
        <w:pStyle w:val="ListBullet2"/>
      </w:pPr>
      <w:r>
        <w:t>Se transmiten de memoria. Para que «the sound of each word remains unaltered» (el sonido de cada palabra no cambie), se enseñan desde la niñez técnicas de recitación muy complejas.</w:t>
      </w:r>
    </w:p>
    <w:p>
      <w:pPr>
        <w:pStyle w:val="ListBullet2"/>
      </w:pPr>
      <w:r>
        <w:t>La UNESCO proclamó esta tradición en 2003, y en 2008 la inscribió en la Lista Representativa del Patrimonio Cultural Inmaterial de la Humanidad.</w:t>
      </w:r>
    </w:p>
    <w:p>
      <w:pPr>
        <w:pStyle w:val="ListBullet2"/>
      </w:pPr>
      <w:r>
        <w:t>Fuente: UNESCO, ficha de la tradición del canto védico.</w:t>
      </w:r>
    </w:p>
    <w:p>
      <w:pPr>
        <w:pStyle w:val="ListBullet"/>
      </w:pPr>
      <w:r>
        <w:rPr>
          <w:b/>
        </w:rPr>
        <w:t>Los Evangelios de Garima.</w:t>
      </w:r>
      <w:r>
        <w:t xml:space="preserve"> </w:t>
      </w:r>
    </w:p>
    <w:p>
      <w:pPr>
        <w:pStyle w:val="ListBullet2"/>
      </w:pPr>
      <w:r>
        <w:t>El monasterio de Abuna Garima, en Etiopía, conserva dos libros de los evangelios que los cristianos del lugar todavía veneran como reliquias.</w:t>
      </w:r>
    </w:p>
    <w:p>
      <w:pPr>
        <w:pStyle w:val="ListBullet2"/>
      </w:pPr>
      <w:r>
        <w:t>Se creían de hacia el año 1000. Dos análisis de radiocarbono los sitúan entre finales del siglo V y principios del VII: el segundo dio los años 390 a 570 para Garima 2, y 550 a 660 para Garima 1.</w:t>
      </w:r>
    </w:p>
    <w:p>
      <w:pPr>
        <w:pStyle w:val="ListBullet2"/>
      </w:pPr>
      <w:r>
        <w:t>Están «among the very earliest extant manuscripts illustrated with Christian images» (entre los manuscritos más antiguos que se conservan con imágenes cristianas).</w:t>
      </w:r>
    </w:p>
    <w:p>
      <w:pPr>
        <w:pStyle w:val="ListBullet2"/>
      </w:pPr>
      <w:r>
        <w:t>Fuente: Ethiopian Heritage Fund (Fondo del Patrimonio Etíope), la entidad que encargó los análisis.</w:t>
      </w:r>
    </w:p>
    <w:p>
      <w:pPr>
        <w:pStyle w:val="ListBullet"/>
      </w:pPr>
      <w:r>
        <w:rPr>
          <w:b/>
        </w:rPr>
        <w:t>El canon de la Iglesia etíope.</w:t>
      </w:r>
      <w:r>
        <w:t xml:space="preserve"> </w:t>
      </w:r>
    </w:p>
    <w:p>
      <w:pPr>
        <w:pStyle w:val="ListBullet2"/>
      </w:pPr>
      <w:r>
        <w:t>Tiene 81 libros: «46 books of the Old Testament and 35 books of the New Testament» (46 del Antiguo Testamento y 35 del Nuevo). Entre ellos están Enoc y Jubileos.</w:t>
      </w:r>
    </w:p>
    <w:p>
      <w:pPr>
        <w:pStyle w:val="ListBullet2"/>
      </w:pPr>
      <w:r>
        <w:t>Del segundo dice la propia Iglesia que «has also been preserved entire only in the Ethiopic version» (también se ha conservado entero solo en la versión etíope). El «también» se refiere a Enoc, del que acaba de hablar.</w:t>
      </w:r>
    </w:p>
    <w:p>
      <w:pPr>
        <w:pStyle w:val="ListBullet2"/>
      </w:pPr>
      <w:r>
        <w:t>Fuente: Iglesia ortodoxa Tewahedo de Etiopía, ethiopianorthodox.org.</w:t>
      </w:r>
    </w:p>
    <w:p>
      <w:r>
        <w:t xml:space="preserve">[00.0-1.2; 00.0-1.5. Fuentes originales leídas el 5-oct-2026. </w:t>
      </w:r>
      <w:r>
        <w:rPr>
          <w:i/>
        </w:rPr>
        <w:t>Nota de trazabilidad:</w:t>
      </w:r>
      <w:r>
        <w:t xml:space="preserve"> corregido respecto al Pórtico I de la Biblioteca. Garima se creía de hacia el año 1000, no del 1100, y sus análisis dan 390-660, no 330-650 ni «desde el siglo IV». Las diferencias del rollo de Isaías no son «sobre todo de ortografía», sino también variantes de lectura, errores y correcciones. De la UNESCO consta el año, 2003, pero no el día. Y «ninguna ley humana…» se sustituye por los hechos, que sí se pueden comprobar.]</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El nombre.</w:t>
      </w:r>
      <w:r>
        <w:t xml:space="preserve"> «Apocalipsis» viene del griego </w:t>
      </w:r>
      <w:r>
        <w:rPr>
          <w:i/>
        </w:rPr>
        <w:t>apokálypsis</w:t>
      </w:r>
      <w:r>
        <w:t>, «revelación». Y revelar es «descubrir o manifestar lo ignorado o secreto»</w:t>
      </w:r>
      <w:r>
        <w:t xml:space="preserve"> (Diccionario de la lengua española)</w:t>
      </w:r>
      <w:r>
        <w:br/>
      </w:r>
      <w:r>
        <w:rPr>
          <w:b/>
        </w:rPr>
        <w:t>leída en su fuente · Diccionario de la lengua española</w:t>
      </w:r>
      <w:r>
        <w:br/>
      </w:r>
      <w:r>
        <w:rPr>
          <w:b/>
        </w:rPr>
        <w:t>Archivo leído:</w:t>
      </w:r>
      <w:r>
        <w:t xml:space="preserve"> CENDOJ_STS_1000-2025_Sala2_09-12-2025_ROJ_STS_5365-2025_causa_especial_20557-2024.pdf (c9c\CENDOJ_STS_1000-2025_Sala2_09-12-2025_ROJ_STS_5365-2025_causa_especial_20557-2024.pdf) · contraste del archivo de pasajes: ✔</w:t>
      </w:r>
      <w:r>
        <w:br/>
      </w:r>
      <w:r>
        <w:rPr>
          <w:b/>
        </w:rPr>
        <w:t>Lugar:</w:t>
      </w:r>
      <w:r>
        <w:t xml:space="preserve"> Diccionario de la lengua española</w:t>
      </w:r>
      <w:r>
        <w:br/>
      </w:r>
      <w:r>
        <w:rPr>
          <w:b/>
        </w:rPr>
        <w:t>Tal como está en la fuente:</w:t>
      </w:r>
      <w:r>
        <w:t xml:space="preserve"> descubrir o manifestar lo ignorado o secreto</w:t>
      </w:r>
      <w:r>
        <w:t xml:space="preserve">. La obra usa la palabra en ese sentido: descubrir cómo funciona el sistema, que está a la vista de todos, pero escondido en su complejidad. No anuncia el fin del mundo. </w:t>
      </w:r>
      <w:r>
        <w:t>[glosario 1.1]</w:t>
      </w:r>
    </w:p>
    <w:p>
      <w:r>
        <w:rPr>
          <w:b/>
        </w:rPr>
        <w:t>Qué hace.</w:t>
      </w:r>
      <w:r>
        <w:t xml:space="preserve"> Esta obra mide el sistema, es decir, el Estado y las normas con que gobierna, tomando España como caso. Lo mide con la ley que todos los pueblos guardaron por encima de toda ley. Y lo hace con hechos comprobables, cada uno con su fuente. Cada afirmación remite al lugar donde está su prueba. </w:t>
      </w:r>
      <w:r>
        <w:t>[00.0-0.0.2; 00.00-1.3; título de la 14.00]</w:t>
      </w:r>
    </w:p>
    <w:p>
      <w:r>
        <w:rPr>
          <w:b/>
        </w:rPr>
        <w:t>Por qué.</w:t>
      </w:r>
      <w:r>
        <w:t xml:space="preserve"> En palabras del autor: «No lo he inventado yo; tan solo lo pretendo presentar a mis hermanos en orden, ya que nadie lo hace. Me veo en la obligación moral de ordenarlo yo mismo, para que todo quede desvelado y recuperar lo que es del orden natural». </w:t>
      </w:r>
      <w:r>
        <w:t>[glosario 0, palabras de Kiko del 5-oct]</w:t>
      </w:r>
    </w:p>
    <w:p>
      <w:r>
        <w:rPr>
          <w:b/>
        </w:rPr>
        <w:t>El autor.</w:t>
      </w:r>
      <w:r>
        <w:t xml:space="preserve"> Kiko Orozco Rocamora. El autor firma el orden y la lectura, no las verdades, que son de todos. Se resume así: «El dictamen es del autor; los hechos son de todos». El lector tiene delante las mismas pruebas, con su fuente y el lugar donde comprobarlas, para sacar sus propias conclusiones: «esta obra no pide fe, la somete a examen». </w:t>
      </w:r>
      <w:r>
        <w:t>[glosario 1.1 y 1.4; 00.0-0.0.4]</w:t>
      </w:r>
    </w:p>
    <w:p>
      <w:r>
        <w:rPr>
          <w:b/>
        </w:rPr>
        <w:t>Adónde lleva.</w:t>
      </w:r>
      <w:r>
        <w:t xml:space="preserve"> El camino de la obra termina en cuatro cosas. Aquí se dicen en breve; cada una se explica entera al final del libro.</w:t>
      </w:r>
    </w:p>
    <w:p>
      <w:pPr>
        <w:pStyle w:val="ListBullet"/>
      </w:pPr>
      <w:r>
        <w:rPr>
          <w:b/>
        </w:rPr>
        <w:t>La constancia escrita:</w:t>
      </w:r>
      <w:r>
        <w:t xml:space="preserve"> dejar por escrito lo que se pide y lo que se responde, o el silencio. Quien deja constancia ya no puede ser ignorado sin que quede registrado (se explica en </w:t>
      </w:r>
      <w:r>
        <w:t>10.4</w:t>
      </w:r>
      <w:r>
        <w:t xml:space="preserve">). </w:t>
      </w:r>
      <w:r>
        <w:t>[00.0-10.11; glosario 8.5]</w:t>
      </w:r>
    </w:p>
    <w:p>
      <w:pPr>
        <w:pStyle w:val="ListBullet"/>
      </w:pPr>
      <w:r>
        <w:rPr>
          <w:b/>
        </w:rPr>
        <w:t>El Registro de los frutos:</w:t>
      </w:r>
      <w:r>
        <w:t xml:space="preserve"> el archivo público que la obra propone. Cada ciudadano dejará constancia de sus escritos al Estado y de la respuesta o el silencio, con un código para que cualquiera lo compruebe. Sus datos personales solo se publicarán si lo autoriza. Hoy es una propuesta, no un archivo en marcha (se explica en </w:t>
      </w:r>
      <w:r>
        <w:t>10.8</w:t>
      </w:r>
      <w:r>
        <w:t xml:space="preserve">). </w:t>
      </w:r>
      <w:r>
        <w:t>[00.0-10.12; 00.00-10.4; glosario 8.6]</w:t>
      </w:r>
    </w:p>
    <w:p>
      <w:pPr>
        <w:pStyle w:val="ListBullet"/>
      </w:pPr>
      <w:r>
        <w:rPr>
          <w:b/>
        </w:rPr>
        <w:t>El juicio popular de la verdad:</w:t>
      </w:r>
      <w:r>
        <w:t xml:space="preserve"> un tribunal de opinión, sin carácter oficial y sin fuerza legal, y que lo declara desde el principio. Un jurado elegido por sorteo juzga al Estado acusación por acusación, institución por institución, y nunca a personas con nombre. Su fuerza es la verdad documentada, a la vista de todos (se explica en el </w:t>
      </w:r>
      <w:r>
        <w:t>capítulo 11</w:t>
      </w:r>
      <w:r>
        <w:t xml:space="preserve">). </w:t>
      </w:r>
      <w:r>
        <w:t>[00.0-10.13; 00.00-10.5; glosario 8.10]</w:t>
      </w:r>
    </w:p>
    <w:p>
      <w:pPr>
        <w:pStyle w:val="ListBullet"/>
      </w:pPr>
      <w:r>
        <w:rPr>
          <w:b/>
        </w:rPr>
        <w:t>La metamorfosis del Estado:</w:t>
      </w:r>
      <w:r>
        <w:t xml:space="preserve"> no se reclama un Estado nuevo. La obra invita a que el Estado que tenemos se alinee con la ley que está por encima de la suya y sirva al bien común, porque solo así recupera su legitimidad (se explica en </w:t>
      </w:r>
      <w:r>
        <w:t>10.2</w:t>
      </w:r>
      <w:r>
        <w:t xml:space="preserve">). </w:t>
      </w:r>
      <w:r>
        <w:t>[00.0-10.15; 00.0-7.3; glosario 8.1]</w:t>
      </w:r>
    </w:p>
    <w:p>
      <w:r>
        <w:rPr>
          <w:b/>
        </w:rPr>
        <w:t>Lectura del autor: el propósito en el fondo.</w:t>
      </w:r>
      <w:r>
        <w:t xml:space="preserve"> Esta obra poda las ramas secas del árbol del conocimiento, las que nos alejan del árbol de la vida: comprueba cada afirmación en su fuente y la juzga por sus frutos. Lo hace con el Estado, el primer campo, para que cualquiera pueda repetirlo en el suyo. Una rama seca es la que ya no bebe de la raíz, de lo recibido (</w:t>
      </w:r>
      <w:r>
        <w:t>J.1</w:t>
      </w:r>
      <w:r>
        <w:t>), y se conoce por sus frutos (</w:t>
      </w:r>
      <w:r>
        <w:t>0.5</w:t>
      </w:r>
      <w:r>
        <w:t>); podar no es talar (</w:t>
      </w:r>
      <w:r>
        <w:t>10.2</w:t>
      </w:r>
      <w:r>
        <w:t>). Y el árbol de la vida es, en palabras del autor, «aquello que fomenta la vida».</w:t>
      </w:r>
    </w:p>
    <w:p>
      <w:r>
        <w:rPr>
          <w:b/>
        </w:rPr>
        <w:t>Conclusión, lo que arrojan los datos:</w:t>
      </w:r>
    </w:p>
    <w:p>
      <w:pPr>
        <w:pStyle w:val="ListBullet"/>
      </w:pPr>
      <w:r>
        <w:rPr>
          <w:b/>
        </w:rPr>
        <w:t>El sistema:</w:t>
      </w:r>
      <w:r>
        <w:t xml:space="preserve"> medido con la regla que aplica a cualquier empresa, el sistema estaría en causa de disolución, y cada generación necesita más años de vida, más normas y más trámites para obtener lo mismo (</w:t>
      </w:r>
      <w:r>
        <w:t>9.1</w:t>
      </w:r>
      <w:r>
        <w:t>).</w:t>
      </w:r>
    </w:p>
    <w:p>
      <w:pPr>
        <w:pStyle w:val="ListBullet"/>
      </w:pPr>
      <w:r>
        <w:rPr>
          <w:b/>
        </w:rPr>
        <w:t>El planeta:</w:t>
      </w:r>
      <w:r>
        <w:t xml:space="preserve"> medido con fuentes oficiales, cada cifra con lo que mide y sus años: </w:t>
      </w:r>
    </w:p>
    <w:p>
      <w:pPr>
        <w:pStyle w:val="ListBullet2"/>
      </w:pPr>
      <w:r>
        <w:rPr>
          <w:b/>
        </w:rPr>
        <w:t>la vida silvestre:</w:t>
      </w:r>
      <w:r>
        <w:t xml:space="preserve"> en el mundo, el tamaño medio de las poblaciones de vertebrados que se siguen, un 73,2 % menos de 1970 a 2022 (no es el número de animales, y la mitad de esas poblaciones está estable o sube); en Europa y Asia Central, sin el mar, un 23 % menos (el informe de 2024 daba un 35 % hasta 2020)</w:t>
      </w:r>
      <w:r>
        <w:t xml:space="preserve"> (WWF y ZSL, Informe Planeta Vivo 2026 y 2024)</w:t>
      </w:r>
      <w:r>
        <w:t>; en España, 1.855 especies amenazadas y el 74 % de los tipos de hábitat en estado desfavorable (2013-2018), cifra que sube sobre todo porque hay menos evaluaciones con resultado desconocido</w:t>
      </w:r>
      <w:r>
        <w:t xml:space="preserve"> (MITECO, informes del Patrimonio Natural y de la Biodiversidad 2024 y 2020)</w:t>
      </w:r>
      <w:r>
        <w:t>;</w:t>
      </w:r>
    </w:p>
    <w:p>
      <w:pPr>
        <w:pStyle w:val="ListBullet2"/>
      </w:pPr>
      <w:r>
        <w:rPr>
          <w:b/>
        </w:rPr>
        <w:t>los bosques:</w:t>
      </w:r>
      <w:r>
        <w:t xml:space="preserve"> el del mundo mengua, cada vez más despacio; el de España crece un 37,6 % de 1990 a 2025 (cálculo de la edición), sobre todo el que se regenera solo</w:t>
      </w:r>
      <w:r>
        <w:t xml:space="preserve"> (FAO, Evaluación de los recursos forestales mundiales 2025)</w:t>
      </w:r>
      <w:r>
        <w:t>, pero en 2024 casi una cuarta parte de sus árboles muestreados había perdido más de la cuarta parte de sus hojas, sobre todo por la sequía</w:t>
      </w:r>
      <w:r>
        <w:t xml:space="preserve"> (MITECO, informe del Patrimonio Natural y de la Biodiversidad 2024)</w:t>
      </w:r>
      <w:r>
        <w:t>;</w:t>
      </w:r>
    </w:p>
    <w:p>
      <w:pPr>
        <w:pStyle w:val="ListBullet2"/>
      </w:pPr>
      <w:r>
        <w:rPr>
          <w:b/>
        </w:rPr>
        <w:t>el mar:</w:t>
      </w:r>
      <w:r>
        <w:t xml:space="preserve"> las poblaciones marinas que se siguen, un 59 % menos de 1970 a 2022</w:t>
      </w:r>
      <w:r>
        <w:t xml:space="preserve"> (WWF y ZSL, 2026)</w:t>
      </w:r>
      <w:r>
        <w:t>; las pesquerías sobreexplotadas, del 10 % al 37,7 % de las poblaciones evaluadas de 1974 a 2021; el Mediterráneo y el mar Negro, entre lo peor, pero mejoran</w:t>
      </w:r>
      <w:r>
        <w:t xml:space="preserve"> (FAO, El estado mundial de la pesca y la acuicultura 2024; Comisión General de Pesca del Mediterráneo, 2023)</w:t>
      </w:r>
      <w:r>
        <w:t>; en los mares de Europa, el 80 % de las zonas evaluadas, con problemas por contaminantes</w:t>
      </w:r>
      <w:r>
        <w:t xml:space="preserve"> (Agencia Europea de Medio Ambiente)</w:t>
      </w:r>
      <w:r>
        <w:t>;</w:t>
      </w:r>
    </w:p>
    <w:p>
      <w:pPr>
        <w:pStyle w:val="ListBullet2"/>
      </w:pPr>
      <w:r>
        <w:rPr>
          <w:b/>
        </w:rPr>
        <w:t>el aire:</w:t>
      </w:r>
      <w:r>
        <w:t xml:space="preserve"> en España, casi ninguna zona por encima de los valores legales, salvo el ozono (20 de 132 zonas en 2024)</w:t>
      </w:r>
      <w:r>
        <w:t xml:space="preserve"> (MITECO, Evaluación de la calidad del aire en España 2024)</w:t>
      </w:r>
      <w:r>
        <w:t>; con los valores guía de la OMS, más exigentes, más del 90 % de la población urbana de la UE, por encima; y la contaminación baja desde hace dos décadas</w:t>
      </w:r>
      <w:r>
        <w:t xml:space="preserve"> (Agencia Europea de Medio Ambiente, 2026)</w:t>
      </w:r>
      <w:r>
        <w:t>;</w:t>
      </w:r>
    </w:p>
    <w:p>
      <w:pPr>
        <w:pStyle w:val="ListBullet2"/>
      </w:pPr>
      <w:r>
        <w:rPr>
          <w:b/>
        </w:rPr>
        <w:t>el agua:</w:t>
      </w:r>
      <w:r>
        <w:t xml:space="preserve"> en España, en buen estado, el 50,2 % de las masas superficiales y el 54,1 % de las subterráneas (2023; cálculo de la edición)</w:t>
      </w:r>
      <w:r>
        <w:t xml:space="preserve"> (MITECO, informe del Patrimonio Natural y de la Biodiversidad 2024)</w:t>
      </w:r>
      <w:r>
        <w:t>;</w:t>
      </w:r>
    </w:p>
    <w:p>
      <w:pPr>
        <w:pStyle w:val="ListBullet2"/>
      </w:pPr>
      <w:r>
        <w:rPr>
          <w:b/>
        </w:rPr>
        <w:t>el suelo:</w:t>
      </w:r>
      <w:r>
        <w:t xml:space="preserve"> en España, el 24,8 % de la superficie erosionable, con erosión media o alta</w:t>
      </w:r>
      <w:r>
        <w:t xml:space="preserve"> (MITECO, informe del Patrimonio Natural y de la Biodiversidad 2024)</w:t>
      </w:r>
      <w:r>
        <w:t>; en la UE, más del 60 % de los suelos, probablemente degradado</w:t>
      </w:r>
      <w:r>
        <w:t xml:space="preserve"> (Centro Común de Investigación de la Comisión Europea, 2024)</w:t>
      </w:r>
      <w:r>
        <w:t>;</w:t>
      </w:r>
    </w:p>
    <w:p>
      <w:pPr>
        <w:pStyle w:val="ListBullet2"/>
      </w:pPr>
      <w:r>
        <w:rPr>
          <w:b/>
        </w:rPr>
        <w:t>lo que se recupera:</w:t>
      </w:r>
      <w:r>
        <w:t xml:space="preserve"> en España, el lince ibérico, de unos 100 ejemplares en 2011 a más de 600 en 2017, y el águila imperial, el quebrantahuesos y el oso pardo</w:t>
      </w:r>
      <w:r>
        <w:t xml:space="preserve"> (MITECO, informe del Patrimonio Natural y de la Biodiversidad 2020)</w:t>
      </w:r>
      <w:r>
        <w:t>;</w:t>
      </w:r>
    </w:p>
    <w:p>
      <w:pPr>
        <w:pStyle w:val="ListBullet2"/>
      </w:pPr>
      <w:r>
        <w:rPr>
          <w:b/>
        </w:rPr>
        <w:t>y nacen menos:</w:t>
      </w:r>
      <w:r>
        <w:t xml:space="preserve"> 1,10 hijos por mujer en España (</w:t>
      </w:r>
      <w:r>
        <w:t>8.8</w:t>
      </w:r>
      <w:r>
        <w:t>), 1,34 en la UE y 2,25 en el mundo, en 2024</w:t>
      </w:r>
      <w:r>
        <w:t xml:space="preserve"> (Eurostat, estadísticas de fecundidad; Naciones Unidas, Perspectivas de la población mundial 2024)</w:t>
      </w:r>
      <w:r>
        <w:t>;</w:t>
      </w:r>
    </w:p>
    <w:p>
      <w:pPr>
        <w:pStyle w:val="ListBullet2"/>
      </w:pPr>
      <w:r>
        <w:rPr>
          <w:b/>
        </w:rPr>
        <w:t>lo que no dicen:</w:t>
      </w:r>
      <w:r>
        <w:t xml:space="preserve"> estas cifras miden el estado, no quién lo causa.</w:t>
      </w:r>
    </w:p>
    <w:p>
      <w:r>
        <w:rPr>
          <w:b/>
        </w:rPr>
        <w:t>Los frutos del planeta, cosa por cosa</w:t>
      </w:r>
      <w:r>
        <w:t xml:space="preserve"> (cada cifra, con su fuente leída; «sin dato leído» donde la fuente no lo da):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Qué se mide</w:t>
            </w:r>
          </w:p>
        </w:tc>
        <w:tc>
          <w:tcPr>
            <w:tcW w:type="dxa" w:w="1312"/>
            <w:shd w:val="clear" w:color="auto" w:fill="F1EEE8"/>
          </w:tcPr>
          <w:p>
            <w:pPr>
              <w:spacing w:after="20" w:line="264" w:lineRule="auto"/>
            </w:pPr>
            <w:r>
              <w:rPr>
                <w:b/>
              </w:rPr>
            </w:r>
            <w:r>
              <w:rPr>
                <w:rFonts w:ascii="Segoe UI" w:hAnsi="Segoe UI" w:eastAsia="Segoe UI" w:cs="Segoe UI"/>
                <w:b/>
                <w:color w:val="1F1D1A"/>
                <w:sz w:val="18"/>
              </w:rPr>
              <w:t>Dónde y cuándo</w:t>
            </w:r>
          </w:p>
        </w:tc>
        <w:tc>
          <w:tcPr>
            <w:tcW w:type="dxa" w:w="1312"/>
            <w:shd w:val="clear" w:color="auto" w:fill="F1EEE8"/>
          </w:tcPr>
          <w:p>
            <w:pPr>
              <w:spacing w:after="20" w:line="264" w:lineRule="auto"/>
            </w:pPr>
            <w:r>
              <w:rPr>
                <w:b/>
              </w:rPr>
            </w:r>
            <w:r>
              <w:rPr>
                <w:rFonts w:ascii="Segoe UI" w:hAnsi="Segoe UI" w:eastAsia="Segoe UI" w:cs="Segoe UI"/>
                <w:b/>
                <w:color w:val="1F1D1A"/>
                <w:sz w:val="18"/>
              </w:rPr>
              <w:t>Se pierde o se gana</w:t>
            </w:r>
          </w:p>
        </w:tc>
        <w:tc>
          <w:tcPr>
            <w:tcW w:type="dxa" w:w="1312"/>
            <w:shd w:val="clear" w:color="auto" w:fill="F1EEE8"/>
          </w:tcPr>
          <w:p>
            <w:pPr>
              <w:spacing w:after="20" w:line="264" w:lineRule="auto"/>
            </w:pPr>
            <w:r>
              <w:rPr>
                <w:b/>
              </w:rPr>
            </w:r>
            <w:r>
              <w:rPr>
                <w:rFonts w:ascii="Segoe UI" w:hAnsi="Segoe UI" w:eastAsia="Segoe UI" w:cs="Segoe UI"/>
                <w:b/>
                <w:color w:val="1F1D1A"/>
                <w:sz w:val="18"/>
              </w:rPr>
              <w:t>La cifra</w:t>
            </w:r>
          </w:p>
        </w:tc>
        <w:tc>
          <w:tcPr>
            <w:tcW w:type="dxa" w:w="1312"/>
            <w:shd w:val="clear" w:color="auto" w:fill="F1EEE8"/>
          </w:tcPr>
          <w:p>
            <w:pPr>
              <w:spacing w:after="20" w:line="264" w:lineRule="auto"/>
            </w:pPr>
            <w:r>
              <w:rPr>
                <w:b/>
              </w:rPr>
            </w:r>
            <w:r>
              <w:rPr>
                <w:rFonts w:ascii="Segoe UI" w:hAnsi="Segoe UI" w:eastAsia="Segoe UI" w:cs="Segoe UI"/>
                <w:b/>
                <w:color w:val="1F1D1A"/>
                <w:sz w:val="18"/>
              </w:rPr>
              <w:t>Estado</w:t>
            </w:r>
          </w:p>
        </w:tc>
        <w:tc>
          <w:tcPr>
            <w:tcW w:type="dxa" w:w="1312"/>
            <w:shd w:val="clear" w:color="auto" w:fill="F1EEE8"/>
          </w:tcPr>
          <w:p>
            <w:pPr>
              <w:spacing w:after="20" w:line="264" w:lineRule="auto"/>
            </w:pPr>
            <w:r>
              <w:rPr>
                <w:b/>
              </w:rPr>
            </w:r>
            <w:r>
              <w:rPr>
                <w:rFonts w:ascii="Segoe UI" w:hAnsi="Segoe UI" w:eastAsia="Segoe UI" w:cs="Segoe UI"/>
                <w:b/>
                <w:color w:val="1F1D1A"/>
                <w:sz w:val="18"/>
              </w:rPr>
              <w:t>Deterioro</w:t>
            </w:r>
          </w:p>
        </w:tc>
        <w:tc>
          <w:tcPr>
            <w:tcW w:type="dxa" w:w="1312"/>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1312"/>
          </w:tcPr>
          <w:p>
            <w:pPr>
              <w:spacing w:after="20" w:line="264" w:lineRule="auto"/>
            </w:pPr>
            <w:r/>
            <w:r>
              <w:rPr>
                <w:rFonts w:ascii="Segoe UI" w:hAnsi="Segoe UI" w:eastAsia="Segoe UI" w:cs="Segoe UI"/>
                <w:color w:val="1F1D1A"/>
                <w:sz w:val="18"/>
              </w:rPr>
              <w:t>Poblaciones de vertebrados que se siguen (tamaño medio, no número de animales)</w:t>
            </w:r>
          </w:p>
        </w:tc>
        <w:tc>
          <w:tcPr>
            <w:tcW w:type="dxa" w:w="1312"/>
          </w:tcPr>
          <w:p>
            <w:pPr>
              <w:spacing w:after="20" w:line="264" w:lineRule="auto"/>
            </w:pPr>
            <w:r/>
            <w:r>
              <w:rPr>
                <w:rFonts w:ascii="Segoe UI" w:hAnsi="Segoe UI" w:eastAsia="Segoe UI" w:cs="Segoe UI"/>
                <w:color w:val="1F1D1A"/>
                <w:sz w:val="18"/>
              </w:rPr>
              <w:t>Mundo,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−73,2 %; agua dulce, −85 %; tierra, −69 %; mar, −59 %</w:t>
            </w:r>
          </w:p>
        </w:tc>
        <w:tc>
          <w:tcPr>
            <w:tcW w:type="dxa" w:w="1312"/>
          </w:tcPr>
          <w:p>
            <w:pPr>
              <w:spacing w:after="20" w:line="264" w:lineRule="auto"/>
            </w:pPr>
            <w:r/>
            <w:r>
              <w:rPr>
                <w:rFonts w:ascii="Segoe UI" w:hAnsi="Segoe UI" w:eastAsia="Segoe UI" w:cs="Segoe UI"/>
                <w:color w:val="1F1D1A"/>
                <w:sz w:val="18"/>
              </w:rPr>
              <w:t>La mitad baja; la otra mitad, estable o sube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Informe Planeta Vivo 2026</w:t>
            </w:r>
          </w:p>
        </w:tc>
      </w:tr>
      <w:tr>
        <w:tc>
          <w:tcPr>
            <w:tcW w:type="dxa" w:w="1312"/>
          </w:tcPr>
          <w:p>
            <w:pPr>
              <w:spacing w:after="20" w:line="264" w:lineRule="auto"/>
            </w:pPr>
            <w:r/>
            <w:r>
              <w:rPr>
                <w:rFonts w:ascii="Segoe UI" w:hAnsi="Segoe UI" w:eastAsia="Segoe UI" w:cs="Segoe UI"/>
                <w:color w:val="1F1D1A"/>
                <w:sz w:val="18"/>
              </w:rPr>
              <w:t>Lo mismo, sin el mar</w:t>
            </w:r>
          </w:p>
        </w:tc>
        <w:tc>
          <w:tcPr>
            <w:tcW w:type="dxa" w:w="1312"/>
          </w:tcPr>
          <w:p>
            <w:pPr>
              <w:spacing w:after="20" w:line="264" w:lineRule="auto"/>
            </w:pPr>
            <w:r/>
            <w:r>
              <w:rPr>
                <w:rFonts w:ascii="Segoe UI" w:hAnsi="Segoe UI" w:eastAsia="Segoe UI" w:cs="Segoe UI"/>
                <w:color w:val="1F1D1A"/>
                <w:sz w:val="18"/>
              </w:rPr>
              <w:t>Europa y Asia Central,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−23 % (el informe de 2024 daba −35 % para 1970-2020; el de 2026 no explica la diferencia en esta región)</w:t>
            </w:r>
          </w:p>
        </w:tc>
        <w:tc>
          <w:tcPr>
            <w:tcW w:type="dxa" w:w="1312"/>
          </w:tcPr>
          <w:p>
            <w:pPr>
              <w:spacing w:after="20" w:line="264" w:lineRule="auto"/>
            </w:pPr>
            <w:r/>
            <w:r>
              <w:rPr>
                <w:rFonts w:ascii="Segoe UI" w:hAnsi="Segoe UI" w:eastAsia="Segoe UI" w:cs="Segoe UI"/>
                <w:color w:val="1F1D1A"/>
                <w:sz w:val="18"/>
              </w:rPr>
              <w:t>Ya estaba peor en 1970; vuelven muchas especies de mamíferos y aves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2026 y 2024</w:t>
            </w:r>
          </w:p>
        </w:tc>
      </w:tr>
      <w:tr>
        <w:tc>
          <w:tcPr>
            <w:tcW w:type="dxa" w:w="1312"/>
          </w:tcPr>
          <w:p>
            <w:pPr>
              <w:spacing w:after="20" w:line="264" w:lineRule="auto"/>
            </w:pPr>
            <w:r/>
            <w:r>
              <w:rPr>
                <w:rFonts w:ascii="Segoe UI" w:hAnsi="Segoe UI" w:eastAsia="Segoe UI" w:cs="Segoe UI"/>
                <w:color w:val="1F1D1A"/>
                <w:sz w:val="18"/>
              </w:rPr>
              <w:t>Especies que se enfrentan a la extinción</w:t>
            </w:r>
          </w:p>
        </w:tc>
        <w:tc>
          <w:tcPr>
            <w:tcW w:type="dxa" w:w="1312"/>
          </w:tcPr>
          <w:p>
            <w:pPr>
              <w:spacing w:after="20" w:line="264" w:lineRule="auto"/>
            </w:pPr>
            <w:r/>
            <w:r>
              <w:rPr>
                <w:rFonts w:ascii="Segoe UI" w:hAnsi="Segoe UI" w:eastAsia="Segoe UI" w:cs="Segoe UI"/>
                <w:color w:val="1F1D1A"/>
                <w:sz w:val="18"/>
              </w:rPr>
              <w:t>Mundo, evaluación de 2019</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Alrededor de un millón (estimación)</w:t>
            </w:r>
          </w:p>
        </w:tc>
        <w:tc>
          <w:tcPr>
            <w:tcW w:type="dxa" w:w="1312"/>
          </w:tcPr>
          <w:p>
            <w:pPr>
              <w:spacing w:after="20" w:line="264" w:lineRule="auto"/>
            </w:pPr>
            <w:r/>
            <w:r>
              <w:rPr>
                <w:rFonts w:ascii="Segoe UI" w:hAnsi="Segoe UI" w:eastAsia="Segoe UI" w:cs="Segoe UI"/>
                <w:color w:val="1F1D1A"/>
                <w:sz w:val="18"/>
              </w:rPr>
              <w:t>Amenazadas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IPBES, 2019</w:t>
            </w:r>
          </w:p>
        </w:tc>
      </w:tr>
      <w:tr>
        <w:tc>
          <w:tcPr>
            <w:tcW w:type="dxa" w:w="1312"/>
          </w:tcPr>
          <w:p>
            <w:pPr>
              <w:spacing w:after="20" w:line="264" w:lineRule="auto"/>
            </w:pPr>
            <w:r/>
            <w:r>
              <w:rPr>
                <w:rFonts w:ascii="Segoe UI" w:hAnsi="Segoe UI" w:eastAsia="Segoe UI" w:cs="Segoe UI"/>
                <w:color w:val="1F1D1A"/>
                <w:sz w:val="18"/>
              </w:rPr>
              <w:t>Biomasa de los mamíferos salvajes</w:t>
            </w:r>
          </w:p>
        </w:tc>
        <w:tc>
          <w:tcPr>
            <w:tcW w:type="dxa" w:w="1312"/>
          </w:tcPr>
          <w:p>
            <w:pPr>
              <w:spacing w:after="20" w:line="264" w:lineRule="auto"/>
            </w:pPr>
            <w:r/>
            <w:r>
              <w:rPr>
                <w:rFonts w:ascii="Segoe UI" w:hAnsi="Segoe UI" w:eastAsia="Segoe UI" w:cs="Segoe UI"/>
                <w:color w:val="1F1D1A"/>
                <w:sz w:val="18"/>
              </w:rPr>
              <w:t>Mundo, tierra y mar</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−82 % (la fuente no da el periodo en esa frase)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IPBES, 2019</w:t>
            </w:r>
          </w:p>
        </w:tc>
      </w:tr>
      <w:tr>
        <w:tc>
          <w:tcPr>
            <w:tcW w:type="dxa" w:w="1312"/>
          </w:tcPr>
          <w:p>
            <w:pPr>
              <w:spacing w:after="20" w:line="264" w:lineRule="auto"/>
            </w:pPr>
            <w:r/>
            <w:r>
              <w:rPr>
                <w:rFonts w:ascii="Segoe UI" w:hAnsi="Segoe UI" w:eastAsia="Segoe UI" w:cs="Segoe UI"/>
                <w:color w:val="1F1D1A"/>
                <w:sz w:val="18"/>
              </w:rPr>
              <w:t>Especies amenazadas</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1.855 de las 63.375 especies silvestres conocidas</w:t>
            </w:r>
          </w:p>
        </w:tc>
        <w:tc>
          <w:tcPr>
            <w:tcW w:type="dxa" w:w="1312"/>
          </w:tcPr>
          <w:p>
            <w:pPr>
              <w:spacing w:after="20" w:line="264" w:lineRule="auto"/>
            </w:pPr>
            <w:r/>
            <w:r>
              <w:rPr>
                <w:rFonts w:ascii="Segoe UI" w:hAnsi="Segoe UI" w:eastAsia="Segoe UI" w:cs="Segoe UI"/>
                <w:color w:val="1F1D1A"/>
                <w:sz w:val="18"/>
              </w:rPr>
              <w:t>Con algún grado de amenaza</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Aves comunes de ambientes agrícolas</w:t>
            </w:r>
          </w:p>
        </w:tc>
        <w:tc>
          <w:tcPr>
            <w:tcW w:type="dxa" w:w="1312"/>
          </w:tcPr>
          <w:p>
            <w:pPr>
              <w:spacing w:after="20" w:line="264" w:lineRule="auto"/>
            </w:pPr>
            <w:r/>
            <w:r>
              <w:rPr>
                <w:rFonts w:ascii="Segoe UI" w:hAnsi="Segoe UI" w:eastAsia="Segoe UI" w:cs="Segoe UI"/>
                <w:color w:val="1F1D1A"/>
                <w:sz w:val="18"/>
              </w:rPr>
              <w:t>España, desde 2000 (informe de 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En torno al −34 %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Lince ibérico, águila imperial, quebrantahuesos y oso pardo</w:t>
            </w:r>
          </w:p>
        </w:tc>
        <w:tc>
          <w:tcPr>
            <w:tcW w:type="dxa" w:w="1312"/>
          </w:tcPr>
          <w:p>
            <w:pPr>
              <w:spacing w:after="20" w:line="264" w:lineRule="auto"/>
            </w:pPr>
            <w:r/>
            <w:r>
              <w:rPr>
                <w:rFonts w:ascii="Segoe UI" w:hAnsi="Segoe UI" w:eastAsia="Segoe UI" w:cs="Segoe UI"/>
                <w:color w:val="1F1D1A"/>
                <w:sz w:val="18"/>
              </w:rPr>
              <w:t>España, de 1970-2011 a 2017-2018</w:t>
            </w:r>
          </w:p>
        </w:tc>
        <w:tc>
          <w:tcPr>
            <w:tcW w:type="dxa" w:w="1312"/>
          </w:tcPr>
          <w:p>
            <w:pPr>
              <w:spacing w:after="20" w:line="264" w:lineRule="auto"/>
            </w:pPr>
            <w:r/>
            <w:r>
              <w:rPr>
                <w:rFonts w:ascii="Segoe UI" w:hAnsi="Segoe UI" w:eastAsia="Segoe UI" w:cs="Segoe UI"/>
                <w:color w:val="1F1D1A"/>
                <w:sz w:val="18"/>
              </w:rPr>
              <w:t>Se gana</w:t>
            </w:r>
          </w:p>
        </w:tc>
        <w:tc>
          <w:tcPr>
            <w:tcW w:type="dxa" w:w="1312"/>
          </w:tcPr>
          <w:p>
            <w:pPr>
              <w:spacing w:after="20" w:line="264" w:lineRule="auto"/>
            </w:pPr>
            <w:r/>
            <w:r>
              <w:rPr>
                <w:rFonts w:ascii="Segoe UI" w:hAnsi="Segoe UI" w:eastAsia="Segoe UI" w:cs="Segoe UI"/>
                <w:color w:val="1F1D1A"/>
                <w:sz w:val="18"/>
              </w:rPr>
              <w:t>Lince, de unos 100 (2011) a más de 600 (2017); águila imperial, de unas decenas de parejas en los años setenta a 520 (2017); quebrantahuesos, de 22 parejas (1982) a 133 (2018); oso pardo, de 100-120 (1989) a 310-350 (2018)</w:t>
            </w:r>
          </w:p>
        </w:tc>
        <w:tc>
          <w:tcPr>
            <w:tcW w:type="dxa" w:w="1312"/>
          </w:tcPr>
          <w:p>
            <w:pPr>
              <w:spacing w:after="20" w:line="264" w:lineRule="auto"/>
            </w:pPr>
            <w:r/>
            <w:r>
              <w:rPr>
                <w:rFonts w:ascii="Segoe UI" w:hAnsi="Segoe UI" w:eastAsia="Segoe UI" w:cs="Segoe UI"/>
                <w:color w:val="1F1D1A"/>
                <w:sz w:val="18"/>
              </w:rPr>
              <w:t>Se recuperan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2020</w:t>
            </w:r>
          </w:p>
        </w:tc>
      </w:tr>
      <w:tr>
        <w:tc>
          <w:tcPr>
            <w:tcW w:type="dxa" w:w="1312"/>
          </w:tcPr>
          <w:p>
            <w:pPr>
              <w:spacing w:after="20" w:line="264" w:lineRule="auto"/>
            </w:pPr>
            <w:r/>
            <w:r>
              <w:rPr>
                <w:rFonts w:ascii="Segoe UI" w:hAnsi="Segoe UI" w:eastAsia="Segoe UI" w:cs="Segoe UI"/>
                <w:color w:val="1F1D1A"/>
                <w:sz w:val="18"/>
              </w:rPr>
              <w:t>Tipos de hábitat de interés comunitario</w:t>
            </w:r>
          </w:p>
        </w:tc>
        <w:tc>
          <w:tcPr>
            <w:tcW w:type="dxa" w:w="1312"/>
          </w:tcPr>
          <w:p>
            <w:pPr>
              <w:spacing w:after="20" w:line="264" w:lineRule="auto"/>
            </w:pPr>
            <w:r/>
            <w:r>
              <w:rPr>
                <w:rFonts w:ascii="Segoe UI" w:hAnsi="Segoe UI" w:eastAsia="Segoe UI" w:cs="Segoe UI"/>
                <w:color w:val="1F1D1A"/>
                <w:sz w:val="18"/>
              </w:rPr>
              <w:t>España, 2013-2018</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74 % en estado desfavorable (62 % en 2007-2012; sube sobre todo porque hay menos evaluaciones con resultado desconocido; solo la región atlántica parece empeorar de verdad)</w:t>
            </w:r>
          </w:p>
        </w:tc>
        <w:tc>
          <w:tcPr>
            <w:tcW w:type="dxa" w:w="1312"/>
          </w:tcPr>
          <w:p>
            <w:pPr>
              <w:spacing w:after="20" w:line="264" w:lineRule="auto"/>
            </w:pPr>
            <w:r/>
            <w:r>
              <w:rPr>
                <w:rFonts w:ascii="Segoe UI" w:hAnsi="Segoe UI" w:eastAsia="Segoe UI" w:cs="Segoe UI"/>
                <w:color w:val="1F1D1A"/>
                <w:sz w:val="18"/>
              </w:rPr>
              <w:t>Los bosques y, sobre todo, las turberas, los peores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2020</w:t>
            </w:r>
          </w:p>
        </w:tc>
      </w:tr>
      <w:tr>
        <w:tc>
          <w:tcPr>
            <w:tcW w:type="dxa" w:w="1312"/>
          </w:tcPr>
          <w:p>
            <w:pPr>
              <w:spacing w:after="20" w:line="264" w:lineRule="auto"/>
            </w:pPr>
            <w:r/>
            <w:r>
              <w:rPr>
                <w:rFonts w:ascii="Segoe UI" w:hAnsi="Segoe UI" w:eastAsia="Segoe UI" w:cs="Segoe UI"/>
                <w:color w:val="1F1D1A"/>
                <w:sz w:val="18"/>
              </w:rPr>
              <w:t>Bosque, superficie</w:t>
            </w:r>
          </w:p>
        </w:tc>
        <w:tc>
          <w:tcPr>
            <w:tcW w:type="dxa" w:w="1312"/>
          </w:tcPr>
          <w:p>
            <w:pPr>
              <w:spacing w:after="20" w:line="264" w:lineRule="auto"/>
            </w:pPr>
            <w:r/>
            <w:r>
              <w:rPr>
                <w:rFonts w:ascii="Segoe UI" w:hAnsi="Segoe UI" w:eastAsia="Segoe UI" w:cs="Segoe UI"/>
                <w:color w:val="1F1D1A"/>
                <w:sz w:val="18"/>
              </w:rPr>
              <w:t>Mundo, 1990-2025</w:t>
            </w:r>
          </w:p>
        </w:tc>
        <w:tc>
          <w:tcPr>
            <w:tcW w:type="dxa" w:w="1312"/>
          </w:tcPr>
          <w:p>
            <w:pPr>
              <w:spacing w:after="20" w:line="264" w:lineRule="auto"/>
            </w:pPr>
            <w:r/>
            <w:r>
              <w:rPr>
                <w:rFonts w:ascii="Segoe UI" w:hAnsi="Segoe UI" w:eastAsia="Segoe UI" w:cs="Segoe UI"/>
                <w:color w:val="1F1D1A"/>
                <w:sz w:val="18"/>
              </w:rPr>
              <w:t>Se pierde (neto)</w:t>
            </w:r>
          </w:p>
        </w:tc>
        <w:tc>
          <w:tcPr>
            <w:tcW w:type="dxa" w:w="1312"/>
          </w:tcPr>
          <w:p>
            <w:pPr>
              <w:spacing w:after="20" w:line="264" w:lineRule="auto"/>
            </w:pPr>
            <w:r/>
            <w:r>
              <w:rPr>
                <w:rFonts w:ascii="Segoe UI" w:hAnsi="Segoe UI" w:eastAsia="Segoe UI" w:cs="Segoe UI"/>
                <w:color w:val="1F1D1A"/>
                <w:sz w:val="18"/>
              </w:rPr>
              <w:t>De 4.343.534 a 4.140.217 miles de hectáreas; la pérdida neta por año baja de 10,7 millones de hectáreas (1990-2000) a 4,12 (2015-2025)</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Evaluación de los recursos forestales mundiales 2025</w:t>
            </w:r>
          </w:p>
        </w:tc>
      </w:tr>
      <w:tr>
        <w:tc>
          <w:tcPr>
            <w:tcW w:type="dxa" w:w="1312"/>
          </w:tcPr>
          <w:p>
            <w:pPr>
              <w:spacing w:after="20" w:line="264" w:lineRule="auto"/>
            </w:pPr>
            <w:r/>
            <w:r>
              <w:rPr>
                <w:rFonts w:ascii="Segoe UI" w:hAnsi="Segoe UI" w:eastAsia="Segoe UI" w:cs="Segoe UI"/>
                <w:color w:val="1F1D1A"/>
                <w:sz w:val="18"/>
              </w:rPr>
              <w:t>Bosque, superficie</w:t>
            </w:r>
          </w:p>
        </w:tc>
        <w:tc>
          <w:tcPr>
            <w:tcW w:type="dxa" w:w="1312"/>
          </w:tcPr>
          <w:p>
            <w:pPr>
              <w:spacing w:after="20" w:line="264" w:lineRule="auto"/>
            </w:pPr>
            <w:r/>
            <w:r>
              <w:rPr>
                <w:rFonts w:ascii="Segoe UI" w:hAnsi="Segoe UI" w:eastAsia="Segoe UI" w:cs="Segoe UI"/>
                <w:color w:val="1F1D1A"/>
                <w:sz w:val="18"/>
              </w:rPr>
              <w:t>Europa, con Rusia, 1990-2025</w:t>
            </w:r>
          </w:p>
        </w:tc>
        <w:tc>
          <w:tcPr>
            <w:tcW w:type="dxa" w:w="1312"/>
          </w:tcPr>
          <w:p>
            <w:pPr>
              <w:spacing w:after="20" w:line="264" w:lineRule="auto"/>
            </w:pPr>
            <w:r/>
            <w:r>
              <w:rPr>
                <w:rFonts w:ascii="Segoe UI" w:hAnsi="Segoe UI" w:eastAsia="Segoe UI" w:cs="Segoe UI"/>
                <w:color w:val="1F1D1A"/>
                <w:sz w:val="18"/>
              </w:rPr>
              <w:t>Se gana</w:t>
            </w:r>
          </w:p>
        </w:tc>
        <w:tc>
          <w:tcPr>
            <w:tcW w:type="dxa" w:w="1312"/>
          </w:tcPr>
          <w:p>
            <w:pPr>
              <w:spacing w:after="20" w:line="264" w:lineRule="auto"/>
            </w:pPr>
            <w:r/>
            <w:r>
              <w:rPr>
                <w:rFonts w:ascii="Segoe UI" w:hAnsi="Segoe UI" w:eastAsia="Segoe UI" w:cs="Segoe UI"/>
                <w:color w:val="1F1D1A"/>
                <w:sz w:val="18"/>
              </w:rPr>
              <w:t>Sube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2025</w:t>
            </w:r>
          </w:p>
        </w:tc>
      </w:tr>
      <w:tr>
        <w:tc>
          <w:tcPr>
            <w:tcW w:type="dxa" w:w="1312"/>
          </w:tcPr>
          <w:p>
            <w:pPr>
              <w:spacing w:after="20" w:line="264" w:lineRule="auto"/>
            </w:pPr>
            <w:r/>
            <w:r>
              <w:rPr>
                <w:rFonts w:ascii="Segoe UI" w:hAnsi="Segoe UI" w:eastAsia="Segoe UI" w:cs="Segoe UI"/>
                <w:color w:val="1F1D1A"/>
                <w:sz w:val="18"/>
              </w:rPr>
              <w:t>Bosque, superficie y cómo es</w:t>
            </w:r>
          </w:p>
        </w:tc>
        <w:tc>
          <w:tcPr>
            <w:tcW w:type="dxa" w:w="1312"/>
          </w:tcPr>
          <w:p>
            <w:pPr>
              <w:spacing w:after="20" w:line="264" w:lineRule="auto"/>
            </w:pPr>
            <w:r/>
            <w:r>
              <w:rPr>
                <w:rFonts w:ascii="Segoe UI" w:hAnsi="Segoe UI" w:eastAsia="Segoe UI" w:cs="Segoe UI"/>
                <w:color w:val="1F1D1A"/>
                <w:sz w:val="18"/>
              </w:rPr>
              <w:t>España, 1990-2025</w:t>
            </w:r>
          </w:p>
        </w:tc>
        <w:tc>
          <w:tcPr>
            <w:tcW w:type="dxa" w:w="1312"/>
          </w:tcPr>
          <w:p>
            <w:pPr>
              <w:spacing w:after="20" w:line="264" w:lineRule="auto"/>
            </w:pPr>
            <w:r/>
            <w:r>
              <w:rPr>
                <w:rFonts w:ascii="Segoe UI" w:hAnsi="Segoe UI" w:eastAsia="Segoe UI" w:cs="Segoe UI"/>
                <w:color w:val="1F1D1A"/>
                <w:sz w:val="18"/>
              </w:rPr>
              <w:t>Se gana, sobre todo el que se regenera solo</w:t>
            </w:r>
          </w:p>
        </w:tc>
        <w:tc>
          <w:tcPr>
            <w:tcW w:type="dxa" w:w="1312"/>
          </w:tcPr>
          <w:p>
            <w:pPr>
              <w:spacing w:after="20" w:line="264" w:lineRule="auto"/>
            </w:pPr>
            <w:r/>
            <w:r>
              <w:rPr>
                <w:rFonts w:ascii="Segoe UI" w:hAnsi="Segoe UI" w:eastAsia="Segoe UI" w:cs="Segoe UI"/>
                <w:color w:val="1F1D1A"/>
                <w:sz w:val="18"/>
              </w:rPr>
              <w:t>+37,6 % (cálculo: de 13.905 a 19.133 miles de hectáreas); el que se regenera solo, de 11.959 a 16.314; el plantado, de 1.945 a 2.819</w:t>
            </w:r>
          </w:p>
        </w:tc>
        <w:tc>
          <w:tcPr>
            <w:tcW w:type="dxa" w:w="1312"/>
          </w:tcPr>
          <w:p>
            <w:pPr>
              <w:spacing w:after="20" w:line="264" w:lineRule="auto"/>
            </w:pPr>
            <w:r/>
            <w:r>
              <w:rPr>
                <w:rFonts w:ascii="Segoe UI" w:hAnsi="Segoe UI" w:eastAsia="Segoe UI" w:cs="Segoe UI"/>
                <w:color w:val="1F1D1A"/>
                <w:sz w:val="18"/>
              </w:rPr>
              <w:t>De lo plantado, el 37 % es plantación de gestión intensiva (en Europa, en torno al 6 %); los hábitats de bosque, entre los peores (2013-2018)</w:t>
            </w:r>
          </w:p>
        </w:tc>
        <w:tc>
          <w:tcPr>
            <w:tcW w:type="dxa" w:w="1312"/>
          </w:tcPr>
          <w:p>
            <w:pPr>
              <w:spacing w:after="20" w:line="264" w:lineRule="auto"/>
            </w:pPr>
            <w:r/>
            <w:r>
              <w:rPr>
                <w:rFonts w:ascii="Segoe UI" w:hAnsi="Segoe UI" w:eastAsia="Segoe UI" w:cs="Segoe UI"/>
                <w:color w:val="1F1D1A"/>
                <w:sz w:val="18"/>
              </w:rPr>
              <w:t>En 2024, casi una cuarta parte de los árboles muestreados había perdido más de la cuarta parte de sus hojas (defoliación moderada o grave), sobre todo por daños ligados a la sequía</w:t>
            </w:r>
          </w:p>
        </w:tc>
        <w:tc>
          <w:tcPr>
            <w:tcW w:type="dxa" w:w="1312"/>
          </w:tcPr>
          <w:p>
            <w:pPr>
              <w:spacing w:after="20" w:line="264" w:lineRule="auto"/>
            </w:pPr>
            <w:r/>
            <w:r>
              <w:rPr>
                <w:rFonts w:ascii="Segoe UI" w:hAnsi="Segoe UI" w:eastAsia="Segoe UI" w:cs="Segoe UI"/>
                <w:color w:val="1F1D1A"/>
                <w:sz w:val="18"/>
              </w:rPr>
              <w:t>FAO, 2025; MITECO, informes del Patrimonio Natural y de la Biodiversidad 2020 y 2024</w:t>
            </w:r>
          </w:p>
        </w:tc>
      </w:tr>
      <w:tr>
        <w:tc>
          <w:tcPr>
            <w:tcW w:type="dxa" w:w="1312"/>
          </w:tcPr>
          <w:p>
            <w:pPr>
              <w:spacing w:after="20" w:line="264" w:lineRule="auto"/>
            </w:pPr>
            <w:r/>
            <w:r>
              <w:rPr>
                <w:rFonts w:ascii="Segoe UI" w:hAnsi="Segoe UI" w:eastAsia="Segoe UI" w:cs="Segoe UI"/>
                <w:color w:val="1F1D1A"/>
                <w:sz w:val="18"/>
              </w:rPr>
              <w:t>Poblaciones marinas que se siguen (abundancia, no biomasa)</w:t>
            </w:r>
          </w:p>
        </w:tc>
        <w:tc>
          <w:tcPr>
            <w:tcW w:type="dxa" w:w="1312"/>
          </w:tcPr>
          <w:p>
            <w:pPr>
              <w:spacing w:after="20" w:line="264" w:lineRule="auto"/>
            </w:pPr>
            <w:r/>
            <w:r>
              <w:rPr>
                <w:rFonts w:ascii="Segoe UI" w:hAnsi="Segoe UI" w:eastAsia="Segoe UI" w:cs="Segoe UI"/>
                <w:color w:val="1F1D1A"/>
                <w:sz w:val="18"/>
              </w:rPr>
              <w:t>Mundo,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−59 %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2026</w:t>
            </w:r>
          </w:p>
        </w:tc>
      </w:tr>
      <w:tr>
        <w:tc>
          <w:tcPr>
            <w:tcW w:type="dxa" w:w="1312"/>
          </w:tcPr>
          <w:p>
            <w:pPr>
              <w:spacing w:after="20" w:line="264" w:lineRule="auto"/>
            </w:pPr>
            <w:r/>
            <w:r>
              <w:rPr>
                <w:rFonts w:ascii="Segoe UI" w:hAnsi="Segoe UI" w:eastAsia="Segoe UI" w:cs="Segoe UI"/>
                <w:color w:val="1F1D1A"/>
                <w:sz w:val="18"/>
              </w:rPr>
              <w:t>Pesquerías sobreexplotadas</w:t>
            </w:r>
          </w:p>
        </w:tc>
        <w:tc>
          <w:tcPr>
            <w:tcW w:type="dxa" w:w="1312"/>
          </w:tcPr>
          <w:p>
            <w:pPr>
              <w:spacing w:after="20" w:line="264" w:lineRule="auto"/>
            </w:pPr>
            <w:r/>
            <w:r>
              <w:rPr>
                <w:rFonts w:ascii="Segoe UI" w:hAnsi="Segoe UI" w:eastAsia="Segoe UI" w:cs="Segoe UI"/>
                <w:color w:val="1F1D1A"/>
                <w:sz w:val="18"/>
              </w:rPr>
              <w:t>Mundo, 1974-2021</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Del 10 % al 37,7 % de las poblaciones evaluadas (cuenta poblaciones, no capturas)</w:t>
            </w:r>
          </w:p>
        </w:tc>
        <w:tc>
          <w:tcPr>
            <w:tcW w:type="dxa" w:w="1312"/>
          </w:tcPr>
          <w:p>
            <w:pPr>
              <w:spacing w:after="20" w:line="264" w:lineRule="auto"/>
            </w:pPr>
            <w:r/>
            <w:r>
              <w:rPr>
                <w:rFonts w:ascii="Segoe UI" w:hAnsi="Segoe UI" w:eastAsia="Segoe UI" w:cs="Segoe UI"/>
                <w:color w:val="1F1D1A"/>
                <w:sz w:val="18"/>
              </w:rPr>
              <w:t>El 76,9 % de lo desembarcado en 2021 viene de poblaciones sostenibles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El estado mundial de la pesca y la acuicultura 2024</w:t>
            </w:r>
          </w:p>
        </w:tc>
      </w:tr>
      <w:tr>
        <w:tc>
          <w:tcPr>
            <w:tcW w:type="dxa" w:w="1312"/>
          </w:tcPr>
          <w:p>
            <w:pPr>
              <w:spacing w:after="20" w:line="264" w:lineRule="auto"/>
            </w:pPr>
            <w:r/>
            <w:r>
              <w:rPr>
                <w:rFonts w:ascii="Segoe UI" w:hAnsi="Segoe UI" w:eastAsia="Segoe UI" w:cs="Segoe UI"/>
                <w:color w:val="1F1D1A"/>
                <w:sz w:val="18"/>
              </w:rPr>
              <w:t>Pesquerías del Mediterráneo y el mar Negro</w:t>
            </w:r>
          </w:p>
        </w:tc>
        <w:tc>
          <w:tcPr>
            <w:tcW w:type="dxa" w:w="1312"/>
          </w:tcPr>
          <w:p>
            <w:pPr>
              <w:spacing w:after="20" w:line="264" w:lineRule="auto"/>
            </w:pPr>
            <w:r/>
            <w:r>
              <w:rPr>
                <w:rFonts w:ascii="Segoe UI" w:hAnsi="Segoe UI" w:eastAsia="Segoe UI" w:cs="Segoe UI"/>
                <w:color w:val="1F1D1A"/>
                <w:sz w:val="18"/>
              </w:rPr>
              <w:t>2012-2021</w:t>
            </w:r>
          </w:p>
        </w:tc>
        <w:tc>
          <w:tcPr>
            <w:tcW w:type="dxa" w:w="1312"/>
          </w:tcPr>
          <w:p>
            <w:pPr>
              <w:spacing w:after="20" w:line="264" w:lineRule="auto"/>
            </w:pPr>
            <w:r/>
            <w:r>
              <w:rPr>
                <w:rFonts w:ascii="Segoe UI" w:hAnsi="Segoe UI" w:eastAsia="Segoe UI" w:cs="Segoe UI"/>
                <w:color w:val="1F1D1A"/>
                <w:sz w:val="18"/>
              </w:rPr>
              <w:t>Se pierde en el nivel; se gana en la tendencia</w:t>
            </w:r>
          </w:p>
        </w:tc>
        <w:tc>
          <w:tcPr>
            <w:tcW w:type="dxa" w:w="1312"/>
          </w:tcPr>
          <w:p>
            <w:pPr>
              <w:spacing w:after="20" w:line="264" w:lineRule="auto"/>
            </w:pPr>
            <w:r/>
            <w:r>
              <w:rPr>
                <w:rFonts w:ascii="Segoe UI" w:hAnsi="Segoe UI" w:eastAsia="Segoe UI" w:cs="Segoe UI"/>
                <w:color w:val="1F1D1A"/>
                <w:sz w:val="18"/>
              </w:rPr>
              <w:t>El 37,5 % de las poblaciones, en niveles sostenibles (2021)</w:t>
            </w:r>
          </w:p>
        </w:tc>
        <w:tc>
          <w:tcPr>
            <w:tcW w:type="dxa" w:w="1312"/>
          </w:tcPr>
          <w:p>
            <w:pPr>
              <w:spacing w:after="20" w:line="264" w:lineRule="auto"/>
            </w:pPr>
            <w:r/>
            <w:r>
              <w:rPr>
                <w:rFonts w:ascii="Segoe UI" w:hAnsi="Segoe UI" w:eastAsia="Segoe UI" w:cs="Segoe UI"/>
                <w:color w:val="1F1D1A"/>
                <w:sz w:val="18"/>
              </w:rPr>
              <w:t>Las sobreexplotadas, del 73 % (2020) al 58 % (2021); la presión pesquera, un 31 % menos desde 2012</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2024; Comisión General de Pesca del Mediterráneo, 2023</w:t>
            </w:r>
          </w:p>
        </w:tc>
      </w:tr>
      <w:tr>
        <w:tc>
          <w:tcPr>
            <w:tcW w:type="dxa" w:w="1312"/>
          </w:tcPr>
          <w:p>
            <w:pPr>
              <w:spacing w:after="20" w:line="264" w:lineRule="auto"/>
            </w:pPr>
            <w:r/>
            <w:r>
              <w:rPr>
                <w:rFonts w:ascii="Segoe UI" w:hAnsi="Segoe UI" w:eastAsia="Segoe UI" w:cs="Segoe UI"/>
                <w:color w:val="1F1D1A"/>
                <w:sz w:val="18"/>
              </w:rPr>
              <w:t>Los mares de Europa</w:t>
            </w:r>
          </w:p>
        </w:tc>
        <w:tc>
          <w:tcPr>
            <w:tcW w:type="dxa" w:w="1312"/>
          </w:tcPr>
          <w:p>
            <w:pPr>
              <w:spacing w:after="20" w:line="264" w:lineRule="auto"/>
            </w:pPr>
            <w:r/>
            <w:r>
              <w:rPr>
                <w:rFonts w:ascii="Segoe UI" w:hAnsi="Segoe UI" w:eastAsia="Segoe UI" w:cs="Segoe UI"/>
                <w:color w:val="1F1D1A"/>
                <w:sz w:val="18"/>
              </w:rPr>
              <w:t>Europa; las basuras, con datos de 2010 a 2021</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En general, malo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Contaminantes, el 80 % de las zonas evaluadas; exceso de nutrientes, casi una cuarta parte; basuras, casi el 75 % (2010-2021); hay indicios de que la basura plástica en el mar puede estar bajando</w:t>
            </w:r>
          </w:p>
        </w:tc>
        <w:tc>
          <w:tcPr>
            <w:tcW w:type="dxa" w:w="1312"/>
          </w:tcPr>
          <w:p>
            <w:pPr>
              <w:spacing w:after="20" w:line="264" w:lineRule="auto"/>
            </w:pPr>
            <w:r/>
            <w:r>
              <w:rPr>
                <w:rFonts w:ascii="Segoe UI" w:hAnsi="Segoe UI" w:eastAsia="Segoe UI" w:cs="Segoe UI"/>
                <w:color w:val="1F1D1A"/>
                <w:sz w:val="18"/>
              </w:rPr>
              <w:t>Agencia Europea de Medio Ambiente</w:t>
            </w:r>
          </w:p>
        </w:tc>
      </w:tr>
      <w:tr>
        <w:tc>
          <w:tcPr>
            <w:tcW w:type="dxa" w:w="1312"/>
          </w:tcPr>
          <w:p>
            <w:pPr>
              <w:spacing w:after="20" w:line="264" w:lineRule="auto"/>
            </w:pPr>
            <w:r/>
            <w:r>
              <w:rPr>
                <w:rFonts w:ascii="Segoe UI" w:hAnsi="Segoe UI" w:eastAsia="Segoe UI" w:cs="Segoe UI"/>
                <w:color w:val="1F1D1A"/>
                <w:sz w:val="18"/>
              </w:rPr>
              <w:t>Basuras en las playas</w:t>
            </w:r>
          </w:p>
        </w:tc>
        <w:tc>
          <w:tcPr>
            <w:tcW w:type="dxa" w:w="1312"/>
          </w:tcPr>
          <w:p>
            <w:pPr>
              <w:spacing w:after="20" w:line="264" w:lineRule="auto"/>
            </w:pPr>
            <w:r/>
            <w:r>
              <w:rPr>
                <w:rFonts w:ascii="Segoe UI" w:hAnsi="Segoe UI" w:eastAsia="Segoe UI" w:cs="Segoe UI"/>
                <w:color w:val="1F1D1A"/>
                <w:sz w:val="18"/>
              </w:rPr>
              <w:t>España, 29 playas, 2023</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316 objetos de media por muestreo, en tramos de 100 metros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Basuras</w:t>
            </w:r>
          </w:p>
        </w:tc>
        <w:tc>
          <w:tcPr>
            <w:tcW w:type="dxa" w:w="1312"/>
          </w:tcPr>
          <w:p>
            <w:pPr>
              <w:spacing w:after="20" w:line="264" w:lineRule="auto"/>
            </w:pPr>
            <w:r/>
            <w:r>
              <w:rPr>
                <w:rFonts w:ascii="Segoe UI" w:hAnsi="Segoe UI" w:eastAsia="Segoe UI" w:cs="Segoe UI"/>
                <w:color w:val="1F1D1A"/>
                <w:sz w:val="18"/>
              </w:rPr>
              <w:t>MITECO, resultados de 2023 del seguimiento de basuras en playas</w:t>
            </w:r>
          </w:p>
        </w:tc>
      </w:tr>
      <w:tr>
        <w:tc>
          <w:tcPr>
            <w:tcW w:type="dxa" w:w="1312"/>
          </w:tcPr>
          <w:p>
            <w:pPr>
              <w:spacing w:after="20" w:line="264" w:lineRule="auto"/>
            </w:pPr>
            <w:r/>
            <w:r>
              <w:rPr>
                <w:rFonts w:ascii="Segoe UI" w:hAnsi="Segoe UI" w:eastAsia="Segoe UI" w:cs="Segoe UI"/>
                <w:color w:val="1F1D1A"/>
                <w:sz w:val="18"/>
              </w:rPr>
              <w:t>El aire, con los valores legales</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Por encima del valor límite: dióxido de nitrógeno, 0 de 133 zonas; PM2,5, 0 de 137; PM10, 1 de 137. Ozono, por encima del valor objetivo para la salud: 20 de 132 (14 en 2023)</w:t>
            </w:r>
          </w:p>
        </w:tc>
        <w:tc>
          <w:tcPr>
            <w:tcW w:type="dxa" w:w="1312"/>
          </w:tcPr>
          <w:p>
            <w:pPr>
              <w:spacing w:after="20" w:line="264" w:lineRule="auto"/>
            </w:pPr>
            <w:r/>
            <w:r>
              <w:rPr>
                <w:rFonts w:ascii="Segoe UI" w:hAnsi="Segoe UI" w:eastAsia="Segoe UI" w:cs="Segoe UI"/>
                <w:color w:val="1F1D1A"/>
                <w:sz w:val="18"/>
              </w:rPr>
              <w:t>La exposición media a las PM2,5, un 18,44 % menos que en 2011</w:t>
            </w:r>
          </w:p>
        </w:tc>
        <w:tc>
          <w:tcPr>
            <w:tcW w:type="dxa" w:w="1312"/>
          </w:tcPr>
          <w:p>
            <w:pPr>
              <w:spacing w:after="20" w:line="264" w:lineRule="auto"/>
            </w:pPr>
            <w:r/>
            <w:r>
              <w:rPr>
                <w:rFonts w:ascii="Segoe UI" w:hAnsi="Segoe UI" w:eastAsia="Segoe UI" w:cs="Segoe UI"/>
                <w:color w:val="1F1D1A"/>
                <w:sz w:val="18"/>
              </w:rPr>
              <w:t>El ozono</w:t>
            </w:r>
          </w:p>
        </w:tc>
        <w:tc>
          <w:tcPr>
            <w:tcW w:type="dxa" w:w="1312"/>
          </w:tcPr>
          <w:p>
            <w:pPr>
              <w:spacing w:after="20" w:line="264" w:lineRule="auto"/>
            </w:pPr>
            <w:r/>
            <w:r>
              <w:rPr>
                <w:rFonts w:ascii="Segoe UI" w:hAnsi="Segoe UI" w:eastAsia="Segoe UI" w:cs="Segoe UI"/>
                <w:color w:val="1F1D1A"/>
                <w:sz w:val="18"/>
              </w:rPr>
              <w:t>MITECO, Evaluación de la calidad del aire en España 2024</w:t>
            </w:r>
          </w:p>
        </w:tc>
      </w:tr>
      <w:tr>
        <w:tc>
          <w:tcPr>
            <w:tcW w:type="dxa" w:w="1312"/>
          </w:tcPr>
          <w:p>
            <w:pPr>
              <w:spacing w:after="20" w:line="264" w:lineRule="auto"/>
            </w:pPr>
            <w:r/>
            <w:r>
              <w:rPr>
                <w:rFonts w:ascii="Segoe UI" w:hAnsi="Segoe UI" w:eastAsia="Segoe UI" w:cs="Segoe UI"/>
                <w:color w:val="1F1D1A"/>
                <w:sz w:val="18"/>
              </w:rPr>
              <w:t>El aire, con los valores guía de la OMS</w:t>
            </w:r>
          </w:p>
        </w:tc>
        <w:tc>
          <w:tcPr>
            <w:tcW w:type="dxa" w:w="1312"/>
          </w:tcPr>
          <w:p>
            <w:pPr>
              <w:spacing w:after="20" w:line="264" w:lineRule="auto"/>
            </w:pPr>
            <w:r/>
            <w:r>
              <w:rPr>
                <w:rFonts w:ascii="Segoe UI" w:hAnsi="Segoe UI" w:eastAsia="Segoe UI" w:cs="Segoe UI"/>
                <w:color w:val="1F1D1A"/>
                <w:sz w:val="18"/>
              </w:rPr>
              <w:t>UE,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Más del 90 % de la población urbana, expuesta por encima de ellos</w:t>
            </w:r>
          </w:p>
        </w:tc>
        <w:tc>
          <w:tcPr>
            <w:tcW w:type="dxa" w:w="1312"/>
          </w:tcPr>
          <w:p>
            <w:pPr>
              <w:spacing w:after="20" w:line="264" w:lineRule="auto"/>
            </w:pPr>
            <w:r/>
            <w:r>
              <w:rPr>
                <w:rFonts w:ascii="Segoe UI" w:hAnsi="Segoe UI" w:eastAsia="Segoe UI" w:cs="Segoe UI"/>
                <w:color w:val="1F1D1A"/>
                <w:sz w:val="18"/>
              </w:rPr>
              <w:t>La contaminación baja desde hace dos décadas</w:t>
            </w:r>
          </w:p>
        </w:tc>
        <w:tc>
          <w:tcPr>
            <w:tcW w:type="dxa" w:w="1312"/>
          </w:tcPr>
          <w:p>
            <w:pPr>
              <w:spacing w:after="20" w:line="264" w:lineRule="auto"/>
            </w:pPr>
            <w:r/>
            <w:r>
              <w:rPr>
                <w:rFonts w:ascii="Segoe UI" w:hAnsi="Segoe UI" w:eastAsia="Segoe UI" w:cs="Segoe UI"/>
                <w:color w:val="1F1D1A"/>
                <w:sz w:val="18"/>
              </w:rPr>
              <w:t>Hasta un 20 % de las estaciones, por encima de las normas legales de la UE</w:t>
            </w:r>
          </w:p>
        </w:tc>
        <w:tc>
          <w:tcPr>
            <w:tcW w:type="dxa" w:w="1312"/>
          </w:tcPr>
          <w:p>
            <w:pPr>
              <w:spacing w:after="20" w:line="264" w:lineRule="auto"/>
            </w:pPr>
            <w:r/>
            <w:r>
              <w:rPr>
                <w:rFonts w:ascii="Segoe UI" w:hAnsi="Segoe UI" w:eastAsia="Segoe UI" w:cs="Segoe UI"/>
                <w:color w:val="1F1D1A"/>
                <w:sz w:val="18"/>
              </w:rPr>
              <w:t>Agencia Europea de Medio Ambiente, 2026</w:t>
            </w:r>
          </w:p>
        </w:tc>
      </w:tr>
      <w:tr>
        <w:tc>
          <w:tcPr>
            <w:tcW w:type="dxa" w:w="1312"/>
          </w:tcPr>
          <w:p>
            <w:pPr>
              <w:spacing w:after="20" w:line="264" w:lineRule="auto"/>
            </w:pPr>
            <w:r/>
            <w:r>
              <w:rPr>
                <w:rFonts w:ascii="Segoe UI" w:hAnsi="Segoe UI" w:eastAsia="Segoe UI" w:cs="Segoe UI"/>
                <w:color w:val="1F1D1A"/>
                <w:sz w:val="18"/>
              </w:rPr>
              <w:t>El agua</w:t>
            </w:r>
          </w:p>
        </w:tc>
        <w:tc>
          <w:tcPr>
            <w:tcW w:type="dxa" w:w="1312"/>
          </w:tcPr>
          <w:p>
            <w:pPr>
              <w:spacing w:after="20" w:line="264" w:lineRule="auto"/>
            </w:pPr>
            <w:r/>
            <w:r>
              <w:rPr>
                <w:rFonts w:ascii="Segoe UI" w:hAnsi="Segoe UI" w:eastAsia="Segoe UI" w:cs="Segoe UI"/>
                <w:color w:val="1F1D1A"/>
                <w:sz w:val="18"/>
              </w:rPr>
              <w:t>España, seguimiento de 2023</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En buen estado, el 50,2 % de las masas superficiales (2.745 de 5.470) y el 54,1 % de las subterráneas (435 de 804); cálculo de la edición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El agua</w:t>
            </w:r>
          </w:p>
        </w:tc>
        <w:tc>
          <w:tcPr>
            <w:tcW w:type="dxa" w:w="1312"/>
          </w:tcPr>
          <w:p>
            <w:pPr>
              <w:spacing w:after="20" w:line="264" w:lineRule="auto"/>
            </w:pPr>
            <w:r/>
            <w:r>
              <w:rPr>
                <w:rFonts w:ascii="Segoe UI" w:hAnsi="Segoe UI" w:eastAsia="Segoe UI" w:cs="Segoe UI"/>
                <w:color w:val="1F1D1A"/>
                <w:sz w:val="18"/>
              </w:rPr>
              <w:t>Europa, 2021</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Estado ecológico bueno o muy bueno, el 37 % de las aguas superficiales; buen estado químico, el 29 %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Agencia Europea de Medio Ambiente, 2024</w:t>
            </w:r>
          </w:p>
        </w:tc>
      </w:tr>
      <w:tr>
        <w:tc>
          <w:tcPr>
            <w:tcW w:type="dxa" w:w="1312"/>
          </w:tcPr>
          <w:p>
            <w:pPr>
              <w:spacing w:after="20" w:line="264" w:lineRule="auto"/>
            </w:pPr>
            <w:r/>
            <w:r>
              <w:rPr>
                <w:rFonts w:ascii="Segoe UI" w:hAnsi="Segoe UI" w:eastAsia="Segoe UI" w:cs="Segoe UI"/>
                <w:color w:val="1F1D1A"/>
                <w:sz w:val="18"/>
              </w:rPr>
              <w:t>El suelo</w:t>
            </w:r>
          </w:p>
        </w:tc>
        <w:tc>
          <w:tcPr>
            <w:tcW w:type="dxa" w:w="1312"/>
          </w:tcPr>
          <w:p>
            <w:pPr>
              <w:spacing w:after="20" w:line="264" w:lineRule="auto"/>
            </w:pPr>
            <w:r/>
            <w:r>
              <w:rPr>
                <w:rFonts w:ascii="Segoe UI" w:hAnsi="Segoe UI" w:eastAsia="Segoe UI" w:cs="Segoe UI"/>
                <w:color w:val="1F1D1A"/>
                <w:sz w:val="18"/>
              </w:rPr>
              <w:t>España</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El 24,8 % de la superficie erosionable, con erosión media o alta (más de 10 toneladas por hectárea y año)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La erosión</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El suelo</w:t>
            </w:r>
          </w:p>
        </w:tc>
        <w:tc>
          <w:tcPr>
            <w:tcW w:type="dxa" w:w="1312"/>
          </w:tcPr>
          <w:p>
            <w:pPr>
              <w:spacing w:after="20" w:line="264" w:lineRule="auto"/>
            </w:pPr>
            <w:r/>
            <w:r>
              <w:rPr>
                <w:rFonts w:ascii="Segoe UI" w:hAnsi="Segoe UI" w:eastAsia="Segoe UI" w:cs="Segoe UI"/>
                <w:color w:val="1F1D1A"/>
                <w:sz w:val="18"/>
              </w:rPr>
              <w:t>UE,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Más del 60 %, probablemente no sano (basta un proceso de degradación)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La degradación</w:t>
            </w:r>
          </w:p>
        </w:tc>
        <w:tc>
          <w:tcPr>
            <w:tcW w:type="dxa" w:w="1312"/>
          </w:tcPr>
          <w:p>
            <w:pPr>
              <w:spacing w:after="20" w:line="264" w:lineRule="auto"/>
            </w:pPr>
            <w:r/>
            <w:r>
              <w:rPr>
                <w:rFonts w:ascii="Segoe UI" w:hAnsi="Segoe UI" w:eastAsia="Segoe UI" w:cs="Segoe UI"/>
                <w:color w:val="1F1D1A"/>
                <w:sz w:val="18"/>
              </w:rPr>
              <w:t>Centro Común de Investigación de la Comisión Europea, 2024</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1,10 (</w:t>
            </w:r>
            <w:r>
              <w:rPr>
                <w:rFonts w:ascii="Segoe UI" w:hAnsi="Segoe UI" w:eastAsia="Segoe UI" w:cs="Segoe UI"/>
                <w:color w:val="1F1D1A"/>
                <w:sz w:val="18"/>
              </w:rPr>
              <w:t>8.8</w:t>
            </w:r>
            <w:r>
              <w:rPr>
                <w:rFonts w:ascii="Segoe UI" w:hAnsi="Segoe UI" w:eastAsia="Segoe UI" w:cs="Segoe UI"/>
                <w:color w:val="1F1D1A"/>
                <w:sz w:val="18"/>
              </w:rPr>
              <w:t>)</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INE (</w:t>
            </w:r>
            <w:r>
              <w:rPr>
                <w:rFonts w:ascii="Segoe UI" w:hAnsi="Segoe UI" w:eastAsia="Segoe UI" w:cs="Segoe UI"/>
                <w:color w:val="1F1D1A"/>
                <w:sz w:val="18"/>
              </w:rPr>
              <w:t>8.8</w:t>
            </w:r>
            <w:r>
              <w:rPr>
                <w:rFonts w:ascii="Segoe UI" w:hAnsi="Segoe UI" w:eastAsia="Segoe UI" w:cs="Segoe UI"/>
                <w:color w:val="1F1D1A"/>
                <w:sz w:val="18"/>
              </w:rPr>
              <w:t>)</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UE, 2001-2024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 1,43 a 1,34, su mínimo</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Eurostat</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Mundo, 1970-2024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 4,83 a 2,25 (1970, estimación; 2024, primer año de la proyección)</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Naciones Unidas, Perspectivas de la población mundial 2024</w:t>
            </w:r>
          </w:p>
        </w:tc>
      </w:tr>
    </w:tbl>
    <w:p>
      <w:pPr>
        <w:spacing w:after="80"/>
      </w:pPr>
    </w:p>
    <w:p>
      <w:r>
        <w:t>Sin leer en su fuente, y por eso fuera de la tabla: la biomasa de los peces del mar, el buen estado del mar de España por descriptores, los plásticos que entran al mar en el mundo, el estado del suelo del mundo y la superficie del eucalipto en España.</w:t>
      </w:r>
    </w:p>
    <w:p>
      <w:r>
        <w:t>[encargo de fuentes «frutos del planeta», lotes A a D, 12-oct-2026 (</w:t>
      </w:r>
      <w:r>
        <w:rPr>
          <w:rFonts w:ascii="Consolas" w:hAnsi="Consolas" w:eastAsia="Consolas" w:cs="Consolas"/>
          <w:color w:val="1F1D1A"/>
          <w:sz w:val="19"/>
        </w:rPr>
        <w:t>07/fuentes/frutos_del_planeta</w:t>
      </w:r>
      <w:r>
        <w:t>), verificados por programa; cada cifra, vuelta a buscar en su archivo (</w:t>
      </w:r>
      <w:r>
        <w:rPr>
          <w:rFonts w:ascii="Consolas" w:hAnsi="Consolas" w:eastAsia="Consolas" w:cs="Consolas"/>
          <w:color w:val="1F1D1A"/>
          <w:sz w:val="19"/>
        </w:rPr>
        <w:t>comprobar_B20.py</w:t>
      </w:r>
      <w:r>
        <w:t>, 66 de 66); borrador B20]</w:t>
      </w:r>
    </w:p>
    <w:p>
      <w:r>
        <w:rPr>
          <w:b/>
        </w:rPr>
        <w:t>Lectura del autor:</w:t>
      </w:r>
      <w:r>
        <w:t xml:space="preserve"> lo que se pierde en el planeta son los daños colaterales de un sistema basado contra natura (</w:t>
      </w:r>
      <w:r>
        <w:t>5.2</w:t>
      </w:r>
      <w:r>
        <w:t>): aquí vemos los daños colaterales de la naturaleza. Por eso la poda empieza por el Estado, que gestiona el bien común. Un sistema así no sostiene la vida: está desalineado de lo que la fomenta, camuflado en sus formas y en su complejidad. Si no avanza al ritmo del pueblo, ¿a quién sirve? (</w:t>
      </w:r>
      <w:r>
        <w:t>1.1</w:t>
      </w:r>
      <w:r>
        <w:t>). Y si, como un capitán, ha perdido el rumbo, primero se le pide una contestación motivada, de buena fe, por si él mismo decide alinearse (</w:t>
      </w:r>
      <w:r>
        <w:t>10.4</w:t>
      </w:r>
      <w:r>
        <w:t xml:space="preserve">; </w:t>
      </w:r>
      <w:r>
        <w:t>10.2</w:t>
      </w:r>
      <w:r>
        <w:t>); si no, se le aparta del timón como la historia muestra que se hace, cuando el pueblo deja de sostenerlo (</w:t>
      </w:r>
      <w:r>
        <w:t>9.2</w:t>
      </w:r>
      <w:r>
        <w:t>), y siempre por las puertas que la ley ya tiene (</w:t>
      </w:r>
      <w:r>
        <w:t>capítulo 10</w:t>
      </w:r>
      <w:r>
        <w:t>). El ente sin cuerpo no tiene aliento de vida (</w:t>
      </w:r>
      <w:r>
        <w:t>2.1</w:t>
      </w:r>
      <w:r>
        <w:t xml:space="preserve">; </w:t>
      </w:r>
      <w:r>
        <w:t>anexo D</w:t>
      </w:r>
      <w:r>
        <w:t>): por eso la contestación se pide a las personas que le prestan el suyo. Se señala el hecho, no a nadie. Lo que se señala es aquello que nació del padre de la mentira en el juego de la doble polaridad, lo que torció el rumbo y secó las ramas (</w:t>
      </w:r>
      <w:r>
        <w:t>4.4</w:t>
      </w:r>
      <w:r>
        <w:t xml:space="preserve">; </w:t>
      </w:r>
      <w:r>
        <w:t>J.3</w:t>
      </w:r>
      <w:r>
        <w:t xml:space="preserve">). Qué parte del árbol mira cada capítulo está en el mapa de J.1. </w:t>
      </w:r>
      <w:r>
        <w:t>[Kiko, chats de 08.18 y 08.19, 12-oct-2026; parlamento del hilo de la poda (08/20), apartados 5.1, 11 y 12; borrador B15; lectura del autor y una conclusión con las palabras de 9.1; sin dato nuevo; los daños colaterales, con las palabras de Kiko en el chat de 08.26, 12-oct-2026 (B20 bis)]</w:t>
      </w:r>
    </w:p>
    <w:p>
      <w:r>
        <w:rPr>
          <w:b/>
        </w:rPr>
        <w:t>Lo que no hace.</w:t>
      </w:r>
      <w:r>
        <w:t xml:space="preserve"> La obra no exime de ninguna obligación vigente: mientras el Estado no cambie, las obligaciones vigentes siguen vigentes</w:t>
      </w:r>
      <w:r>
        <w:t xml:space="preserve"> (Constitución, art. 9.1)</w:t>
      </w:r>
      <w:r>
        <w:t xml:space="preserve">. Tampoco invita a desobedecer. Juzga instituciones y diseños legales, nunca personas ni colectivos. Y no da consejo financiero ni de inversión. </w:t>
      </w:r>
      <w:r>
        <w:t>[00.0-7.4; libro de estilo §4]</w:t>
      </w:r>
    </w:p>
    <w:p>
      <w:r>
        <w:rPr>
          <w:b/>
        </w:rPr>
        <w:t>La Biblioteca y esta edición.</w:t>
      </w:r>
      <w:r>
        <w:t xml:space="preserve"> La obra existe de dos formas:</w:t>
      </w:r>
    </w:p>
    <w:p>
      <w:pPr>
        <w:pStyle w:val="ListBullet"/>
      </w:pPr>
      <w:r>
        <w:rPr>
          <w:b/>
        </w:rPr>
        <w:t>la Biblioteca:</w:t>
      </w:r>
      <w:r>
        <w:t xml:space="preserve"> las 40 piezas, con la auditoría completa y todas sus fuentes. Queda como archivo, sin tocar;</w:t>
      </w:r>
    </w:p>
    <w:p>
      <w:pPr>
        <w:pStyle w:val="ListBullet"/>
      </w:pPr>
      <w:r>
        <w:rPr>
          <w:b/>
        </w:rPr>
        <w:t>esta edición,</w:t>
      </w:r>
      <w:r>
        <w:t xml:space="preserve"> escrita para leerse de seguido. No añade datos. En el nivel completo, cada párrafo dice de qué pieza sale, con su número. Por ejemplo, 08.00 es la pieza «Reflexión filosófica propia sobre el cuerpo, la conciencia y el respeto». Así cualquiera puede ir al original y comprobarlo.</w:t>
      </w:r>
    </w:p>
    <w:p>
      <w:r>
        <w:t>[glosario 1.2 y 1.3; plan de la edición]</w:t>
      </w:r>
    </w:p>
    <w:p>
      <w:r>
        <w:rPr>
          <w:b/>
        </w:rPr>
        <w:t>Cómo se hizo.</w:t>
      </w:r>
      <w:r>
        <w:t xml:space="preserve"> La obra se ordenó con ayuda de herramientas de inteligencia artificial: Claude Code, Sofía, el asistente de inteligencia artificial de Google y NotebookLM. Las reglas con que se hizo, para que cualquiera pueda repetirla en otro país, están en el </w:t>
      </w:r>
      <w:r>
        <w:t>anexo G</w:t>
      </w:r>
      <w:r>
        <w:t xml:space="preserve">. </w:t>
      </w:r>
      <w:r>
        <w:t>[glosario 1.4]</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r>
        <w:rPr>
          <w:b/>
        </w:rPr>
        <w:t>Tres puertas, seis escalones.</w:t>
      </w:r>
      <w:r>
        <w:t xml:space="preserve"> El lector elige arriba por qué puerta entra y, dentro de cada puerta, cuánto quiere ver; puede cambiar cuando quiera, y el lector recuerda su elección:</w:t>
      </w:r>
    </w:p>
    <w:p>
      <w:pPr>
        <w:pStyle w:val="ListBullet"/>
      </w:pPr>
      <w:r>
        <w:rPr>
          <w:b/>
        </w:rPr>
        <w:t>Lo que concluye.</w:t>
      </w:r>
      <w:r>
        <w:t xml:space="preserve"> Primero, las conclusiones: «La idea» de cada apartado, «En pocas palabras» y «Para recordar», el esqueleto de la obra en cinco minutos. Después, la lectura entera, en español; una marca pequeña (◦) junto a cada cita avisa de que tiene fuente, y al pasar el ratón la dice.</w:t>
      </w:r>
    </w:p>
    <w:p>
      <w:pPr>
        <w:pStyle w:val="ListBullet"/>
      </w:pPr>
      <w:r>
        <w:rPr>
          <w:b/>
        </w:rPr>
        <w:t>Lo que lo sostiene.</w:t>
      </w:r>
      <w:r>
        <w:t xml:space="preserve"> Primero, de dónde sale cada cita: el libro, el artículo o el versículo. Después, el texto completo: el original de cada cita en su lengua (latín, griego, hebreo, árabe, chino…), dónde se leyó, las tablas y los textos completos, y el código que lleva a la pieza de la Biblioteca de donde sale cada párrafo.</w:t>
      </w:r>
    </w:p>
    <w:p>
      <w:pPr>
        <w:pStyle w:val="ListBullet"/>
      </w:pPr>
      <w:r>
        <w:rPr>
          <w:b/>
        </w:rPr>
        <w:t>Lo que lo confirma.</w:t>
      </w:r>
      <w:r>
        <w:t xml:space="preserve"> Primero, la prueba: junto a cada cita, el pasaje tal como está en su fuente, el archivo donde se leyó y el lugar exacto, sacados del archivo de pasajes por programa, nunca a mano; lo que se ha leído en su fuente lleva su marca, y lo que todavía no, también se dice. Después, lo extenso: lo que no cabe en el texto, como los demás pasajes de una tradición o las fichas enteras.</w:t>
      </w:r>
    </w:p>
    <w:p>
      <w:r>
        <w:rPr>
          <w:b/>
        </w:rPr>
        <w:t>Lectura del autor: para quien necesita ver y tocar.</w:t>
      </w:r>
      <w:r>
        <w:t xml:space="preserve"> Tomás no creyó por lo que le contaron: «Si no viere en sus manos la señal de los clavos, y metiere mi dedo en el lugar de los clavos, y metiere mi mano en su costado, no creeré»</w:t>
      </w:r>
      <w:r>
        <w:t xml:space="preserve"> (Jn 20:25)</w:t>
      </w:r>
      <w:r>
        <w:br/>
      </w:r>
      <w:r>
        <w:rPr>
          <w:b/>
        </w:rPr>
        <w:t>leída en su fuente · Jn 20:25</w:t>
      </w:r>
      <w:r>
        <w:br/>
      </w:r>
      <w:r>
        <w:rPr>
          <w:b/>
        </w:rPr>
        <w:t>Archivo leído:</w:t>
      </w:r>
      <w:r>
        <w:t xml:space="preserve"> spaRV1909_texto_corrido.txt (biblia_rv1909\spaRV1909_texto_corrido.txt) · contraste del archivo de pasajes: ✔</w:t>
      </w:r>
      <w:r>
        <w:br/>
      </w:r>
      <w:r>
        <w:rPr>
          <w:b/>
        </w:rPr>
        <w:t>Lugar:</w:t>
      </w:r>
      <w:r>
        <w:t xml:space="preserve"> Jn 20:25</w:t>
      </w:r>
      <w:r>
        <w:br/>
      </w:r>
      <w:r>
        <w:rPr>
          <w:b/>
        </w:rPr>
        <w:t>Tal como está en la fuente:</w:t>
      </w:r>
      <w:r>
        <w:t xml:space="preserve"> Si no viere en sus manos la señal de los clavos, y metiere mi dedo en el lugar de los clavos, y metiere mi mano en su costado, no creeré</w:t>
      </w:r>
      <w:r>
        <w:t>. Y no se le reprendió: «Mete tu dedo aquí, y ve mis manos: y alarga acá tu mano, y métela en mi costado»</w:t>
      </w:r>
      <w:r>
        <w:t xml:space="preserve"> (Jn 20:27)</w:t>
      </w:r>
      <w:r>
        <w:br/>
      </w:r>
      <w:r>
        <w:rPr>
          <w:b/>
        </w:rPr>
        <w:t>leída en su fuente · Jn 20:27</w:t>
      </w:r>
      <w:r>
        <w:br/>
      </w:r>
      <w:r>
        <w:rPr>
          <w:b/>
        </w:rPr>
        <w:t>Archivo leído:</w:t>
      </w:r>
      <w:r>
        <w:t xml:space="preserve"> spaRV1909_texto_corrido.txt (biblia_rv1909\spaRV1909_texto_corrido.txt) · contraste del archivo de pasajes: ✔</w:t>
      </w:r>
      <w:r>
        <w:br/>
      </w:r>
      <w:r>
        <w:rPr>
          <w:b/>
        </w:rPr>
        <w:t>Lugar:</w:t>
      </w:r>
      <w:r>
        <w:t xml:space="preserve"> Jn 20:27</w:t>
      </w:r>
      <w:r>
        <w:br/>
      </w:r>
      <w:r>
        <w:rPr>
          <w:b/>
        </w:rPr>
        <w:t>Tal como está en la fuente:</w:t>
      </w:r>
      <w:r>
        <w:t xml:space="preserve"> Mete tu dedo aquí, y ve mis manos: y alarga acá tu mano, y métela en mi costado</w:t>
      </w:r>
      <w:r>
        <w:t>; «bienaventurados los que no vieron y creyeron»</w:t>
      </w:r>
      <w:r>
        <w:t xml:space="preserve"> (Jn 20:29)</w:t>
      </w:r>
      <w:r>
        <w:br/>
      </w:r>
      <w:r>
        <w:rPr>
          <w:b/>
        </w:rPr>
        <w:t>leída en su fuente · Jn 20:29</w:t>
      </w:r>
      <w:r>
        <w:br/>
      </w:r>
      <w:r>
        <w:rPr>
          <w:b/>
        </w:rPr>
        <w:t>Archivo leído:</w:t>
      </w:r>
      <w:r>
        <w:t xml:space="preserve"> spaRV1909_texto_corrido.txt (biblia_rv1909\spaRV1909_texto_corrido.txt) · contraste del archivo de pasajes: ✔</w:t>
      </w:r>
      <w:r>
        <w:br/>
      </w:r>
      <w:r>
        <w:rPr>
          <w:b/>
        </w:rPr>
        <w:t>Lugar:</w:t>
      </w:r>
      <w:r>
        <w:t xml:space="preserve"> Jn 20:29</w:t>
      </w:r>
      <w:r>
        <w:br/>
      </w:r>
      <w:r>
        <w:rPr>
          <w:b/>
        </w:rPr>
        <w:t>Tal como está en la fuente:</w:t>
      </w:r>
      <w:r>
        <w:t xml:space="preserve"> bienaventurados los que no vieron y creyeron</w:t>
      </w:r>
      <w:r>
        <w:t>. La tercera puerta es para Tomás, y es un punto lícito. Quien necesita más pruebas no es menos: las necesita según su endurecimiento, que es el daño colateral de vivir en un sistema contra natura (</w:t>
      </w:r>
      <w:r>
        <w:t>10.9</w:t>
      </w:r>
      <w:r>
        <w:t>). Por eso la obra no reúne todo lo que existe, sino lo que ha leído y ha tenido por más relevante; si a alguien le falta algo que cambie una conclusión, que aporte dónde está, y se examinará con la misma vara.</w:t>
      </w:r>
    </w:p>
    <w:p>
      <w:r>
        <w:t xml:space="preserve">[Kiko, 9-oct-2026: las tres puertas y la versión D («Sí a las dos, concuerdo»; </w:t>
      </w:r>
      <w:r>
        <w:rPr>
          <w:rFonts w:ascii="Consolas" w:hAnsi="Consolas" w:eastAsia="Consolas" w:cs="Consolas"/>
          <w:color w:val="1F1D1A"/>
          <w:sz w:val="19"/>
        </w:rPr>
        <w:t>07/05</w:t>
      </w:r>
      <w:r>
        <w:t xml:space="preserve">) y, en el chat de 08, «el ejemplo de santo Tomás: si no lo veo y no lo palpo, no me lo creo; quien necesita más pruebas según su endurecimiento, como daño colateral de coexistir en un sistema totalmente contra natura»; Jn 20:25, 27 y 29 en la Reina-Valera 1909 de </w:t>
      </w:r>
      <w:r>
        <w:rPr>
          <w:rFonts w:ascii="Consolas" w:hAnsi="Consolas" w:eastAsia="Consolas" w:cs="Consolas"/>
          <w:color w:val="1F1D1A"/>
          <w:sz w:val="19"/>
        </w:rPr>
        <w:t>06</w:t>
      </w:r>
      <w:r>
        <w:t xml:space="preserve"> (</w:t>
      </w:r>
      <w:r>
        <w:rPr>
          <w:rFonts w:ascii="Consolas" w:hAnsi="Consolas" w:eastAsia="Consolas" w:cs="Consolas"/>
          <w:color w:val="1F1D1A"/>
          <w:sz w:val="19"/>
        </w:rPr>
        <w:t>spaRV1909_vpl.txt</w:t>
      </w:r>
      <w:r>
        <w:t>, leídos hoy); «contra natura» se dice de normas e instituciones, nunca de personas (5.2)]</w:t>
      </w:r>
    </w:p>
    <w:p>
      <w:r>
        <w:rPr>
          <w:b/>
        </w:rPr>
        <w:t>Las traducciones.</w:t>
      </w:r>
      <w:r>
        <w:t xml:space="preserve"> Cuando una cita tiene traductor publicado, se nombra: la Reina-Valera para la Biblia, Julio Cortés para el Corán, y así cada una. Cuando no se nombra traductor, la traducción al español es de esta edición, y el texto del que se ha hecho va al lado, en el nivel completo, para que cualquiera pueda comprobarla: el original o, cuando así se dice, una traducción reconocida. </w:t>
      </w:r>
      <w:r>
        <w:t>[Kiko, 5-oct-2026; libreta 72, punto 120]</w:t>
      </w:r>
    </w:p>
    <w:p>
      <w:r>
        <w:t xml:space="preserve">En todos los escalones se ven siempre los rótulos que separan el dato de la interpretación. Cada capítulo empieza con «En pocas palabras» y termina con «Para recordar», y cada apartado se abre con su idea en una frase. </w:t>
      </w:r>
      <w:r>
        <w:t>[decisión de Kiko del 5-oct; libreta 72, punto 112]</w:t>
      </w:r>
    </w:p>
    <w:p>
      <w:r>
        <w:rPr>
          <w:b/>
        </w:rPr>
        <w:t>Los rótulos.</w:t>
      </w:r>
      <w:r>
        <w:t xml:space="preserve"> Cada capítulo separa siempre lo que es dato de lo que es interpretación. Lo hace con rótulos fijos:</w:t>
      </w:r>
    </w:p>
    <w:p>
      <w:pPr>
        <w:spacing w:after="60"/>
        <w:ind w:left="510" w:hanging="397"/>
      </w:pPr>
      <w:r>
        <w:rPr>
          <w:b w:val="0"/>
        </w:rPr>
        <w:t xml:space="preserve">1. </w:t>
      </w:r>
      <w:r>
        <w:rPr>
          <w:b/>
        </w:rPr>
        <w:t>Los hechos,</w:t>
      </w:r>
      <w:r>
        <w:t xml:space="preserve"> cada uno con su fuente y su fecha: </w:t>
      </w:r>
    </w:p>
    <w:p>
      <w:pPr>
        <w:pStyle w:val="ListBullet2"/>
      </w:pPr>
      <w:r>
        <w:t>lo que se ha leído en su fuente original no lleva marca;</w:t>
      </w:r>
    </w:p>
    <w:p>
      <w:pPr>
        <w:pStyle w:val="ListBullet2"/>
      </w:pPr>
      <w:r>
        <w:t>lo que sale de fuentes secundarias fiables lleva la marca «fuente secundaria»;</w:t>
      </w:r>
    </w:p>
    <w:p>
      <w:pPr>
        <w:pStyle w:val="ListBullet2"/>
      </w:pPr>
      <w:r>
        <w:t>lo que no se ha podido comprobar no entra como hecho: si hay que mencionarlo, porque circula, se dice como afirmación y lleva la etiqueta «presunción» (</w:t>
      </w:r>
      <w:r>
        <w:t>0.4</w:t>
      </w:r>
      <w:r>
        <w:t>).</w:t>
      </w:r>
    </w:p>
    <w:p>
      <w:pPr>
        <w:spacing w:after="60"/>
        <w:ind w:left="510" w:hanging="397"/>
      </w:pPr>
      <w:r>
        <w:rPr>
          <w:b w:val="0"/>
        </w:rPr>
        <w:t xml:space="preserve">2. </w:t>
      </w:r>
      <w:r>
        <w:rPr>
          <w:b/>
        </w:rPr>
        <w:t>«Conclusión, lo que arrojan los datos»:</w:t>
      </w:r>
      <w:r>
        <w:t xml:space="preserve"> solo lo que se sigue de esos hechos. </w:t>
      </w:r>
    </w:p>
    <w:p>
      <w:pPr>
        <w:pStyle w:val="ListBullet2"/>
      </w:pPr>
      <w:r>
        <w:t>Cuando varios hechos, puestos en orden de fechas, marcan un camino, se dice qué dirección llevan. Por sus frutos se analiza; no se juzga la intención de nadie, porque un patrón no prueba una intención.</w:t>
      </w:r>
    </w:p>
    <w:p>
      <w:pPr>
        <w:pStyle w:val="ListBullet2"/>
      </w:pPr>
      <w:r>
        <w:t>Se dicen también los hechos que no encajan con esa dirección.</w:t>
      </w:r>
    </w:p>
    <w:p>
      <w:pPr>
        <w:spacing w:after="60"/>
        <w:ind w:left="510" w:hanging="397"/>
      </w:pPr>
      <w:r>
        <w:rPr>
          <w:b w:val="0"/>
        </w:rPr>
        <w:t xml:space="preserve">3. </w:t>
      </w:r>
      <w:r>
        <w:rPr>
          <w:b/>
        </w:rPr>
        <w:t>«Lectura del autor»:</w:t>
      </w:r>
      <w:r>
        <w:t xml:space="preserve"> la interpretación del autor, siempre marcada como suya. Las intenciones, las analogías y lo que el autor ve detrás de los hechos van aquí, nunca como dato.</w:t>
      </w:r>
    </w:p>
    <w:p>
      <w:pPr>
        <w:spacing w:after="60"/>
        <w:ind w:left="510" w:hanging="397"/>
      </w:pPr>
      <w:r>
        <w:rPr>
          <w:b w:val="0"/>
        </w:rPr>
        <w:t xml:space="preserve">4. </w:t>
      </w:r>
      <w:r>
        <w:rPr>
          <w:b/>
        </w:rPr>
        <w:t>«Límite honesto de la prueba»:</w:t>
      </w:r>
      <w:r>
        <w:t xml:space="preserve"> lo que los datos no permiten afirmar, y lo que la obra concede. Va en el mismo capítulo, junto a lo que se afirma, para que nada se diga con más fuerza de la que tiene su prueba.</w:t>
      </w:r>
    </w:p>
    <w:p>
      <w:pPr>
        <w:spacing w:after="60"/>
        <w:ind w:left="510" w:hanging="397"/>
      </w:pPr>
      <w:r>
        <w:rPr>
          <w:b w:val="0"/>
        </w:rPr>
        <w:t xml:space="preserve">5. </w:t>
      </w:r>
      <w:r>
        <w:rPr>
          <w:b/>
        </w:rPr>
        <w:t>«La mejor defensa del Estado y los contrapuntos de la obra»:</w:t>
      </w:r>
      <w:r>
        <w:t xml:space="preserve"> </w:t>
      </w:r>
    </w:p>
    <w:p>
      <w:pPr>
        <w:pStyle w:val="ListBullet2"/>
      </w:pPr>
      <w:r>
        <w:rPr>
          <w:b/>
        </w:rPr>
        <w:t>la defensa:</w:t>
      </w:r>
      <w:r>
        <w:t xml:space="preserve"> la mejor que podría dar el Estado, escrita en su propia jerga, con sus leyes, su doctrina y sus sentencias;</w:t>
      </w:r>
    </w:p>
    <w:p>
      <w:pPr>
        <w:pStyle w:val="ListBullet2"/>
      </w:pPr>
      <w:r>
        <w:rPr>
          <w:b/>
        </w:rPr>
        <w:t>los contrapuntos:</w:t>
      </w:r>
      <w:r>
        <w:t xml:space="preserve"> la respuesta de la obra. Concede lo que es cierto, responde primero con la propia ley del Estado y después con las leyes que están por encima de ella, y dice también dónde la defensa aguanta.</w:t>
      </w:r>
    </w:p>
    <w:p>
      <w:pPr>
        <w:pStyle w:val="ListBullet2"/>
      </w:pPr>
      <w:r>
        <w:t>«Una tortilla necesita sus dos caras»: el lector juzga mejor cuando oye a las dos partes.</w:t>
      </w:r>
    </w:p>
    <w:p>
      <w:pPr>
        <w:pStyle w:val="ListBullet2"/>
      </w:pPr>
      <w:r>
        <w:t>Para que el libro se lea de seguido, y para que cada objeción se responda una sola vez, las defensas no van al final de cada capítulo. Se reúnen en el juicio (</w:t>
      </w:r>
      <w:r>
        <w:t>capítulo 11</w:t>
      </w:r>
      <w:r>
        <w:t>), cargo por cargo. Cada cargo termina dándole al Estado la última palabra, como hace su propia ley con todo acusado.</w:t>
      </w:r>
    </w:p>
    <w:p>
      <w:pPr>
        <w:pStyle w:val="ListBullet2"/>
      </w:pPr>
      <w:r>
        <w:t>En cada capítulo queda una línea que dice dónde se oye su defensa.</w:t>
      </w:r>
    </w:p>
    <w:p>
      <w:r>
        <w:t>[00.0-0.0.3; 00.0-10.7; 01.00-17.1; glosario 5.5 y 8.13; libro de estilo §2 y §3]</w:t>
      </w:r>
    </w:p>
    <w:p>
      <w:r>
        <w:rPr>
          <w:b/>
        </w:rPr>
        <w:t>Las dos fórmulas de la lectura del autor.</w:t>
      </w:r>
    </w:p>
    <w:p>
      <w:pPr>
        <w:pStyle w:val="ListBullet"/>
      </w:pPr>
      <w:r>
        <w:rPr>
          <w:b/>
        </w:rPr>
        <w:t>Cuando un hecho muestra un engaño,</w:t>
      </w:r>
      <w:r>
        <w:t xml:space="preserve"> la lectura del autor lo dice siempre con la misma frase: «esto apunta hacia el padre de la mentira (Jn 8:44)». </w:t>
      </w:r>
    </w:p>
    <w:p>
      <w:pPr>
        <w:pStyle w:val="ListBullet2"/>
      </w:pPr>
      <w:r>
        <w:t>La expresión es del Evangelio de Juan, que dice del diablo: «es mentiroso, y padre de mentira»</w:t>
      </w:r>
      <w:r>
        <w:t xml:space="preserve"> (Jn 8:44)</w:t>
      </w:r>
      <w:r>
        <w:br/>
      </w:r>
      <w:r>
        <w:rPr>
          <w:b/>
        </w:rPr>
        <w:t>leída en su fuente · Jn 8:44</w:t>
      </w:r>
      <w:r>
        <w:br/>
      </w:r>
      <w:r>
        <w:rPr>
          <w:b/>
        </w:rPr>
        <w:t>Archivo leído:</w:t>
      </w:r>
      <w:r>
        <w:t xml:space="preserve"> rva_jn8.txt (c4_44\rva_jn8.txt) · contraste del archivo de pasajes: ✔</w:t>
      </w:r>
      <w:r>
        <w:br/>
      </w:r>
      <w:r>
        <w:rPr>
          <w:b/>
        </w:rPr>
        <w:t>Tal como está en la fuente:</w:t>
      </w:r>
      <w:r>
        <w:t xml:space="preserve"> Cuando habla mentira, de suyo habla; porque es mentiroso, y padre de mentira.</w:t>
      </w:r>
      <w:r>
        <w:br/>
      </w:r>
      <w:r>
        <w:rPr>
          <w:b/>
        </w:rPr>
        <w:t>Traducción guardada:</w:t>
      </w:r>
      <w:r>
        <w:t xml:space="preserve"> Jn 8:44, RVA</w:t>
      </w:r>
      <w:r>
        <w:t>.</w:t>
      </w:r>
    </w:p>
    <w:p>
      <w:pPr>
        <w:pStyle w:val="ListBullet2"/>
      </w:pPr>
      <w:r>
        <w:t>«Apunta hacia» dice la dirección que se ve en los frutos, no un origen que nadie puede probar.</w:t>
      </w:r>
    </w:p>
    <w:p>
      <w:pPr>
        <w:pStyle w:val="ListBullet2"/>
      </w:pPr>
      <w:r>
        <w:t xml:space="preserve">Se explica en </w:t>
      </w:r>
      <w:r>
        <w:t>4.4</w:t>
      </w:r>
      <w:r>
        <w:t>.</w:t>
      </w:r>
    </w:p>
    <w:p>
      <w:pPr>
        <w:pStyle w:val="ListBullet"/>
      </w:pPr>
      <w:r>
        <w:rPr>
          <w:b/>
        </w:rPr>
        <w:t>Cuando un hecho clama al cielo,</w:t>
      </w:r>
      <w:r>
        <w:t xml:space="preserve"> la lectura del autor lo dice con otra fórmula. El criterio no es de la obra: es la lista que la tradición llama «pecados que claman al cielo»</w:t>
      </w:r>
      <w:r>
        <w:t xml:space="preserve"> (Catecismo de la Iglesia católica, n.º 1867)</w:t>
      </w:r>
      <w:r>
        <w:br/>
      </w:r>
      <w:r>
        <w:rPr>
          <w:b/>
        </w:rPr>
        <w:t>pasaje guardado</w:t>
      </w:r>
      <w:r>
        <w:br/>
      </w:r>
      <w:r>
        <w:rPr>
          <w:b/>
        </w:rPr>
        <w:t>Archivo leído:</w:t>
      </w:r>
      <w:r>
        <w:t xml:space="preserve"> cec1867.html (ant\canon\cec1867.html) · contraste del archivo de pasajes: ✔</w:t>
      </w:r>
      <w:r>
        <w:br/>
      </w:r>
      <w:r>
        <w:rPr>
          <w:b/>
        </w:rPr>
        <w:t>Lugar:</w:t>
      </w:r>
      <w:r>
        <w:t xml:space="preserve"> Catecismo de la Iglesia católica, n.º 1867</w:t>
      </w:r>
      <w:r>
        <w:br/>
      </w:r>
      <w:r>
        <w:rPr>
          <w:b/>
        </w:rPr>
        <w:t>Tal como está en la fuente:</w:t>
      </w:r>
      <w:r>
        <w:t xml:space="preserve"> pecados que claman al cielo</w:t>
      </w:r>
      <w:r>
        <w:t xml:space="preserve">. La obra toma de ella los tres que tocan al Estado: </w:t>
      </w:r>
    </w:p>
    <w:p>
      <w:pPr>
        <w:pStyle w:val="ListBullet2"/>
      </w:pPr>
      <w:r>
        <w:t>«el clamor del pueblo oprimido»;</w:t>
      </w:r>
    </w:p>
    <w:p>
      <w:pPr>
        <w:pStyle w:val="ListBullet2"/>
      </w:pPr>
      <w:r>
        <w:t>«el lamento del extranjero, de la viuda y el huérfano»;</w:t>
      </w:r>
    </w:p>
    <w:p>
      <w:pPr>
        <w:pStyle w:val="ListBullet2"/>
      </w:pPr>
      <w:r>
        <w:t>«la injusticia para con el asalariado». En esos casos, y solo con el hecho comprobado en su fuente original, la lectura del autor dice «esto clama al cielo». Recuerda también que quizá no fue del todo culpa de quienes lo decidieron, y que es un aviso para rectificar. El texto completo se da la primera vez que se usa.</w:t>
      </w:r>
    </w:p>
    <w:p>
      <w:pPr>
        <w:pStyle w:val="ListBullet"/>
      </w:pPr>
      <w:r>
        <w:rPr>
          <w:b/>
        </w:rPr>
        <w:t>Ninguna de las dos fórmulas se aplica nunca a una persona ni a un colectivo con nombre.</w:t>
      </w:r>
    </w:p>
    <w:p>
      <w:r>
        <w:t>[glosario 9.1 y 9.3; libro de estilo §3 y §4; Jn 8:44, Reina-Valera Antigua]</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r>
        <w:t>Esta obra usa cuatro palabras con un sentido fijo, para no llamar mentira a lo que todavía no se ha probado falso:</w:t>
      </w:r>
    </w:p>
    <w:p>
      <w:pPr>
        <w:spacing w:after="60"/>
        <w:ind w:left="510" w:hanging="397"/>
      </w:pPr>
      <w:r>
        <w:rPr>
          <w:b w:val="0"/>
        </w:rPr>
        <w:t xml:space="preserve">1. </w:t>
      </w:r>
      <w:r>
        <w:rPr>
          <w:b/>
        </w:rPr>
        <w:t>La verdad:</w:t>
      </w:r>
      <w:r>
        <w:t xml:space="preserve"> lo que se comprueba con su fuente.</w:t>
      </w:r>
    </w:p>
    <w:p>
      <w:pPr>
        <w:spacing w:after="60"/>
        <w:ind w:left="510" w:hanging="397"/>
      </w:pPr>
      <w:r>
        <w:rPr>
          <w:b w:val="0"/>
        </w:rPr>
        <w:t xml:space="preserve">2. </w:t>
      </w:r>
      <w:r>
        <w:rPr>
          <w:b/>
        </w:rPr>
        <w:t>La presunción:</w:t>
      </w:r>
      <w:r>
        <w:t xml:space="preserve"> lo que se da por cierto sin haberlo probado. Todavía no se sabe si es verdad o falso. Cuando esta obra menciona algo sin documento que lo avale, lo marca con la etiqueta «presunción» (</w:t>
      </w:r>
      <w:r>
        <w:t>anexo E</w:t>
      </w:r>
      <w:r>
        <w:t>).</w:t>
      </w:r>
    </w:p>
    <w:p>
      <w:pPr>
        <w:spacing w:after="60"/>
        <w:ind w:left="510" w:hanging="397"/>
      </w:pPr>
      <w:r>
        <w:rPr>
          <w:b w:val="0"/>
        </w:rPr>
        <w:t xml:space="preserve">3. </w:t>
      </w:r>
      <w:r>
        <w:rPr>
          <w:b/>
        </w:rPr>
        <w:t>Lo falso:</w:t>
      </w:r>
      <w:r>
        <w:t xml:space="preserve"> lo que la norma o el dato demuestran que no es así. Se dice como «Conclusión, lo que arrojan los datos».</w:t>
      </w:r>
    </w:p>
    <w:p>
      <w:pPr>
        <w:spacing w:after="60"/>
        <w:ind w:left="510" w:hanging="397"/>
      </w:pPr>
      <w:r>
        <w:rPr>
          <w:b w:val="0"/>
        </w:rPr>
        <w:t xml:space="preserve">4. </w:t>
      </w:r>
      <w:r>
        <w:rPr>
          <w:b/>
        </w:rPr>
        <w:t>La mentira:</w:t>
      </w:r>
      <w:r>
        <w:t xml:space="preserve"> lo falso dicho sabiendo que es falso. </w:t>
      </w:r>
    </w:p>
    <w:p>
      <w:pPr>
        <w:pStyle w:val="ListBullet2"/>
      </w:pPr>
      <w:r>
        <w:t>Tomás de Aquino lo explica así: «es contra la naturaleza, e indebido, que alguien diga con su palabra lo que no tiene en la mente»</w:t>
      </w:r>
      <w:r>
        <w:t xml:space="preserve"> [original: «innaturale est et indebitum quod aliquis voce significet id quod non habet in mente»]</w:t>
      </w:r>
      <w:r>
        <w:t xml:space="preserve"> (Suma teológica II-II, q. 110, a. 3)</w:t>
      </w:r>
      <w:r>
        <w:br/>
      </w:r>
      <w:r>
        <w:rPr>
          <w:b/>
        </w:rPr>
        <w:t>leída en su fuente · Suma teológica II-II, q. 110, a. 3</w:t>
      </w:r>
      <w:r>
        <w:br/>
      </w:r>
      <w:r>
        <w:rPr>
          <w:b/>
        </w:rPr>
        <w:t>Archivo leído:</w:t>
      </w:r>
      <w:r>
        <w:t xml:space="preserve"> aquino_corpusthomisticum_sth3109_IIaIIae_q109-115.html (reparacion_citas\aquino_corpusthomisticum_sth3109_IIaIIae_q109-115.html) · contraste del archivo de pasajes: ✔</w:t>
      </w:r>
      <w:r>
        <w:br/>
      </w:r>
      <w:r>
        <w:rPr>
          <w:b/>
        </w:rPr>
        <w:t>Lugar:</w:t>
      </w:r>
      <w:r>
        <w:t xml:space="preserve"> Suma teológica II-II, q. 110, a. 3</w:t>
      </w:r>
      <w:r>
        <w:br/>
      </w:r>
      <w:r>
        <w:rPr>
          <w:b/>
        </w:rPr>
        <w:t>Tal como está en la fuente:</w:t>
      </w:r>
      <w:r>
        <w:t xml:space="preserve"> innaturale est et indebitum quod aliquis voce significet id quod non habet in mente</w:t>
      </w:r>
      <w:r>
        <w:t>.</w:t>
      </w:r>
    </w:p>
    <w:p>
      <w:pPr>
        <w:pStyle w:val="ListBullet2"/>
      </w:pPr>
      <w:r>
        <w:t>Como supone saber lo que hay en la mente de quien lo dice, solo se afirma cuando hay constancia de que se sabía. Si no, va como «Lectura del autor».</w:t>
      </w:r>
    </w:p>
    <w:p>
      <w:r>
        <w:rPr>
          <w:b/>
        </w:rPr>
        <w:t>La presunción, en la ley.</w:t>
      </w:r>
      <w:r>
        <w:t xml:space="preserve"> La ley usa la palabra con más cuidado. Una presunción legal dispensa de probar un hecho, pero solo si el hecho del que parte está probado o admitido: «Tales presunciones sólo serán admisibles cuando la certeza del hecho indicio del que parte la presunción haya quedado establecida mediante admisión o prueba»</w:t>
      </w:r>
      <w:r>
        <w:t xml:space="preserve"> (Ley de Enjuiciamiento Civil, art. 385.1)</w:t>
      </w:r>
      <w:r>
        <w:br/>
      </w:r>
      <w:r>
        <w:rPr>
          <w:b/>
        </w:rPr>
        <w:t>leída en su fuente · Ley de Enjuiciamiento Civil, art. 385.1</w:t>
      </w:r>
      <w:r>
        <w:br/>
      </w:r>
      <w:r>
        <w:rPr>
          <w:b/>
        </w:rPr>
        <w:t>Archivo leído:</w:t>
      </w:r>
      <w:r>
        <w:t xml:space="preserve"> lec_ley1_2000.html (c5\lec_ley1_2000.html) · contraste del archivo de pasajes: ✔</w:t>
      </w:r>
      <w:r>
        <w:br/>
      </w:r>
      <w:r>
        <w:rPr>
          <w:b/>
        </w:rPr>
        <w:t>Lugar:</w:t>
      </w:r>
      <w:r>
        <w:t xml:space="preserve"> Ley de Enjuiciamiento Civil, art. 385.1</w:t>
      </w:r>
      <w:r>
        <w:br/>
      </w:r>
      <w:r>
        <w:rPr>
          <w:b/>
        </w:rPr>
        <w:t>Tal como está en la fuente:</w:t>
      </w:r>
      <w:r>
        <w:t xml:space="preserve"> Tales presunciones sólo serán admisibles cuando la certeza del hecho indicio del que parte la presunción haya quedado establecida mediante admisión o prueba</w:t>
      </w:r>
      <w:r>
        <w:t>. Y el tribunal que presume un hecho necesita otro «admitido o probado», un «enlace preciso y directo» entre los dos, y debe razonarlo en la sentencia</w:t>
      </w:r>
      <w:r>
        <w:t xml:space="preserve"> (Ley de Enjuiciamiento Civil, art. 386.1)</w:t>
      </w:r>
      <w:r>
        <w:t xml:space="preserve">. Esa ley habla de los pleitos civiles; esta obra usa la palabra en su sentido de siempre y toma la regla de la ley como vara, no su aplicación: no dice que toda afirmación del Estado sea una presunción legal. Llama </w:t>
      </w:r>
      <w:r>
        <w:rPr>
          <w:b/>
        </w:rPr>
        <w:t>presunción</w:t>
      </w:r>
      <w:r>
        <w:t xml:space="preserve"> a lo que se da por cierto sin que conste el hecho del que parte, y pregunta por él.</w:t>
      </w:r>
    </w:p>
    <w:p>
      <w:r>
        <w:t>[glosario 3.4 y 3.5; Ley de Enjuiciamiento Civil, arts. 385.1 y 386.1, leídos en el BOE; borrador B1, 9-oct; 04p fila 36]</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r>
        <w:rPr>
          <w:b/>
        </w:rPr>
        <w:t>Por sus frutos los conoceréis.</w:t>
      </w:r>
      <w:r>
        <w:t xml:space="preserve"> La fórmula de esta obra es una cita literal: «Por sus frutos los conoceréis»</w:t>
      </w:r>
      <w:r>
        <w:t xml:space="preserve"> (Mt 7:16)</w:t>
      </w:r>
      <w:r>
        <w:br/>
      </w:r>
      <w:r>
        <w:rPr>
          <w:b/>
        </w:rPr>
        <w:t>leída en su fuente · Mt 7:16</w:t>
      </w:r>
      <w:r>
        <w:br/>
      </w:r>
      <w:r>
        <w:rPr>
          <w:b/>
        </w:rPr>
        <w:t>Archivo leído:</w:t>
      </w:r>
      <w:r>
        <w:t xml:space="preserve"> biblia_c1.html (ant\c1\biblia_c1.html) · contraste del archivo de pasajes: ✔</w:t>
      </w:r>
      <w:r>
        <w:br/>
      </w:r>
      <w:r>
        <w:rPr>
          <w:b/>
        </w:rPr>
        <w:t>Lugar:</w:t>
      </w:r>
      <w:r>
        <w:t xml:space="preserve"> Mt 7:16</w:t>
      </w:r>
      <w:r>
        <w:br/>
      </w:r>
      <w:r>
        <w:rPr>
          <w:b/>
        </w:rPr>
        <w:t>Tal como está en la fuente:</w:t>
      </w:r>
      <w:r>
        <w:t xml:space="preserve"> Por sus frutos los conoceréis</w:t>
      </w:r>
      <w:r>
        <w:t>.</w:t>
      </w:r>
    </w:p>
    <w:p>
      <w:pPr>
        <w:pStyle w:val="ListBullet"/>
      </w:pPr>
      <w:r>
        <w:t>En el griego del Evangelio dice «por sus frutos los reconoceréis»</w:t>
      </w:r>
      <w:r>
        <w:t xml:space="preserve"> [original: «ἀπὸ τῶν καρπῶν αὐτῶν ἐπιγνώσεσθε αὐτούς»]</w:t>
      </w:r>
      <w:r>
        <w:t xml:space="preserve">. El verbo es </w:t>
      </w:r>
      <w:r>
        <w:rPr>
          <w:i/>
        </w:rPr>
        <w:t>epiginóskō</w:t>
      </w:r>
      <w:r>
        <w:t>, «reconocer».</w:t>
      </w:r>
    </w:p>
    <w:p>
      <w:pPr>
        <w:pStyle w:val="ListBullet"/>
      </w:pPr>
      <w:r>
        <w:t>No es el mismo verbo de «No juzguéis, para que no seáis juzgados»</w:t>
      </w:r>
      <w:r>
        <w:t xml:space="preserve"> (Mt 7:1)</w:t>
      </w:r>
      <w:r>
        <w:br/>
      </w:r>
      <w:r>
        <w:rPr>
          <w:b/>
        </w:rPr>
        <w:t>leída en su fuente · Mt 7:1</w:t>
      </w:r>
      <w:r>
        <w:br/>
      </w:r>
      <w:r>
        <w:rPr>
          <w:b/>
        </w:rPr>
        <w:t>Archivo leído:</w:t>
      </w:r>
      <w:r>
        <w:t xml:space="preserve"> mt7.html (ant\canon\mt7.html) · contraste del archivo de pasajes: ✔</w:t>
      </w:r>
      <w:r>
        <w:br/>
      </w:r>
      <w:r>
        <w:rPr>
          <w:b/>
        </w:rPr>
        <w:t>Lugar:</w:t>
      </w:r>
      <w:r>
        <w:t xml:space="preserve"> Mt 7:1</w:t>
      </w:r>
      <w:r>
        <w:br/>
      </w:r>
      <w:r>
        <w:rPr>
          <w:b/>
        </w:rPr>
        <w:t>Tal como está en la fuente:</w:t>
      </w:r>
      <w:r>
        <w:t xml:space="preserve"> No juzguéis, para que no seáis juzgados</w:t>
      </w:r>
      <w:r>
        <w:t xml:space="preserve">, que es </w:t>
      </w:r>
      <w:r>
        <w:rPr>
          <w:i/>
        </w:rPr>
        <w:t>krínō</w:t>
      </w:r>
      <w:r>
        <w:t>, «juzgar». En Lucas, ese «no juzguéis» va con «no condenéis»</w:t>
      </w:r>
      <w:r>
        <w:t xml:space="preserve"> (Lc 6:37)</w:t>
      </w:r>
      <w:r>
        <w:t>.</w:t>
      </w:r>
    </w:p>
    <w:p>
      <w:r>
        <w:t>Son dos cosas distintas:</w:t>
      </w:r>
    </w:p>
    <w:p>
      <w:pPr>
        <w:pStyle w:val="ListBullet"/>
      </w:pPr>
      <w:r>
        <w:t>condenar a alguien por lo que cree o por lo que es, que esta obra no hace;</w:t>
      </w:r>
    </w:p>
    <w:p>
      <w:pPr>
        <w:pStyle w:val="ListBullet"/>
      </w:pPr>
      <w:r>
        <w:t>y reconocer por los actos, comprobables y con fuente, que sí hace.</w:t>
      </w:r>
    </w:p>
    <w:p>
      <w:r>
        <w:t>El mismo Evangelio pide discernir, pero con justicia: «No juzguéis según lo que parece, mas juzgad justo juicio»</w:t>
      </w:r>
      <w:r>
        <w:t xml:space="preserve"> (Jn 7:24)</w:t>
      </w:r>
      <w:r>
        <w:br/>
      </w:r>
      <w:r>
        <w:rPr>
          <w:b/>
        </w:rPr>
        <w:t>leída en su fuente · Jn 7:24</w:t>
      </w:r>
      <w:r>
        <w:br/>
      </w:r>
      <w:r>
        <w:rPr>
          <w:b/>
        </w:rPr>
        <w:t>Archivo leído:</w:t>
      </w:r>
      <w:r>
        <w:t xml:space="preserve"> jn_7_24_rva.html; rvr1960_jn_7_24.html (c9g\jn_7_24_rva.html) · contraste del archivo de pasajes: ✔</w:t>
      </w:r>
      <w:r>
        <w:br/>
      </w:r>
      <w:r>
        <w:rPr>
          <w:b/>
        </w:rPr>
        <w:t>Lugar:</w:t>
      </w:r>
      <w:r>
        <w:t xml:space="preserve"> RVA</w:t>
      </w:r>
      <w:r>
        <w:br/>
      </w:r>
      <w:r>
        <w:rPr>
          <w:b/>
        </w:rPr>
        <w:t>Dirección:</w:t>
      </w:r>
      <w:r>
        <w:t xml:space="preserve"> </w:t>
      </w:r>
      <w:r>
        <w:t>https://www.biblegateway.com/passage/?search=John+7%3A24&amp;version=RVA</w:t>
      </w:r>
      <w:r>
        <w:br/>
      </w:r>
      <w:r>
        <w:rPr>
          <w:b/>
        </w:rPr>
        <w:t>Tal como está en la fuente:</w:t>
      </w:r>
      <w:r>
        <w:t xml:space="preserve"> No juzguéis según lo que parece, mas juzgad justo juicio.</w:t>
      </w:r>
      <w:r>
        <w:t>. Por eso esta obra es un análisis, no un juicio.</w:t>
      </w:r>
    </w:p>
    <w:p>
      <w:r>
        <w:t>[00.00-2.1; 00.0-10.5; glosario 5.3; Mt 7:1, Mt 7:16, Lc 6:37 y Jn 7:24, Reina-Valera Antigua]</w:t>
      </w:r>
    </w:p>
    <w:p>
      <w:r>
        <w:rPr>
          <w:b/>
        </w:rPr>
        <w:t>Lo dicen todas las tradiciones.</w:t>
      </w:r>
      <w:r>
        <w:t xml:space="preserve"> Que a una persona o a una institución se la conoce por sus hechos, y no por sus palabras, lo dicen tradiciones sin contacto documentado entre sí. Algunos ejemplos:</w:t>
      </w:r>
    </w:p>
    <w:p>
      <w:pPr>
        <w:pStyle w:val="ListBullet"/>
      </w:pPr>
      <w:r>
        <w:rPr>
          <w:b/>
        </w:rPr>
        <w:t>Corán:</w:t>
      </w:r>
      <w:r>
        <w:t xml:space="preserve"> «¡Creyentes! ¿Por qué decís lo que no hacéis?»</w:t>
      </w:r>
      <w:r>
        <w:t xml:space="preserve"> (Corán 61:2, traducción de Julio Cortés)</w:t>
      </w:r>
      <w:r>
        <w:br/>
      </w:r>
      <w:r>
        <w:rPr>
          <w:b/>
        </w:rPr>
        <w:t>leída en su fuente · Corán 61:2,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61:2, traducción de Julio Cortés</w:t>
      </w:r>
      <w:r>
        <w:br/>
      </w:r>
      <w:r>
        <w:rPr>
          <w:b/>
        </w:rPr>
        <w:t>Tal como está en la fuente:</w:t>
      </w:r>
      <w:r>
        <w:t xml:space="preserve"> ¡Creyentes! ¿Por qué decís lo que no hacéis?</w:t>
      </w:r>
      <w:r>
        <w:t>.</w:t>
      </w:r>
    </w:p>
    <w:p>
      <w:pPr>
        <w:pStyle w:val="ListBullet"/>
      </w:pPr>
      <w:r>
        <w:rPr>
          <w:b/>
        </w:rPr>
        <w:t>Judaísmo:</w:t>
      </w:r>
      <w:r>
        <w:t xml:space="preserve"> «no es el estudio lo principal, sino la acción»</w:t>
      </w:r>
      <w:r>
        <w:t xml:space="preserve"> [original: «וְלֹא הַמִּדְרָשׁ הוּא הָעִקָּר, אֶלָּא הַמַּעֲשֶׂה»]</w:t>
      </w:r>
      <w:r>
        <w:t xml:space="preserve"> (Pirkei Avot 1:17)</w:t>
      </w:r>
      <w:r>
        <w:br/>
      </w:r>
      <w:r>
        <w:rPr>
          <w:b/>
        </w:rPr>
        <w:t>leída en su fuente · Pirkei Avot 1:17</w:t>
      </w:r>
      <w:r>
        <w:br/>
      </w:r>
      <w:r>
        <w:rPr>
          <w:b/>
        </w:rPr>
        <w:t>Original donde está:</w:t>
      </w:r>
      <w:r>
        <w:t xml:space="preserve"> sefaria_Pirkei_Avot_1.json</w:t>
      </w:r>
      <w:r>
        <w:br/>
      </w:r>
      <w:r>
        <w:t>El pasaje literal no está en el archivo de pasajes con este comienzo; la auditoría lo halló en ese original.</w:t>
      </w:r>
      <w:r>
        <w:t>.</w:t>
      </w:r>
    </w:p>
    <w:p>
      <w:pPr>
        <w:pStyle w:val="ListBullet"/>
      </w:pPr>
      <w:r>
        <w:rPr>
          <w:b/>
        </w:rPr>
        <w:t>Primera carta de Juan:</w:t>
      </w:r>
      <w:r>
        <w:t xml:space="preserve"> «no amemos de palabra ni de lengua, sino de obra y en verdad»</w:t>
      </w:r>
      <w:r>
        <w:t xml:space="preserve"> (1 Jn 3:18)</w:t>
      </w:r>
      <w:r>
        <w:br/>
      </w:r>
      <w:r>
        <w:rPr>
          <w:b/>
        </w:rPr>
        <w:t>leída en su fuente · 1 Jn 3:18</w:t>
      </w:r>
      <w:r>
        <w:br/>
      </w:r>
      <w:r>
        <w:rPr>
          <w:b/>
        </w:rPr>
        <w:t>Archivo leído:</w:t>
      </w:r>
      <w:r>
        <w:t xml:space="preserve"> lv19.html (ant\canon\lv19.html) · contraste del archivo de pasajes: ✔</w:t>
      </w:r>
      <w:r>
        <w:br/>
      </w:r>
      <w:r>
        <w:rPr>
          <w:b/>
        </w:rPr>
        <w:t>Lugar:</w:t>
      </w:r>
      <w:r>
        <w:t xml:space="preserve"> 1 Jn 3:18</w:t>
      </w:r>
      <w:r>
        <w:br/>
      </w:r>
      <w:r>
        <w:rPr>
          <w:b/>
        </w:rPr>
        <w:t>Tal como está en la fuente:</w:t>
      </w:r>
      <w:r>
        <w:t xml:space="preserve"> no amemos de palabra ni de lengua, sino de obra y en verdad</w:t>
      </w:r>
      <w:r>
        <w:t>.</w:t>
      </w:r>
    </w:p>
    <w:p>
      <w:pPr>
        <w:pStyle w:val="ListBullet"/>
      </w:pPr>
      <w:r>
        <w:rPr>
          <w:b/>
        </w:rPr>
        <w:t>Aristóteles:</w:t>
      </w:r>
      <w:r>
        <w:t xml:space="preserve"> «la verdad, en materia de conducta, se juzga por los hechos y por la vida real»</w:t>
      </w:r>
      <w:r>
        <w:t xml:space="preserve"> [original: «truth, in matters of moral action, is judged from facts and from actual life», en la traducción inglesa de Chase]</w:t>
      </w:r>
      <w:r>
        <w:t xml:space="preserve"> (Ética a Nicómaco X, 8)</w:t>
      </w:r>
      <w:r>
        <w:br/>
      </w:r>
      <w:r>
        <w:rPr>
          <w:b/>
        </w:rPr>
        <w:t>leída en su fuente · Ética a Nicómaco X, 8</w:t>
      </w:r>
      <w:r>
        <w:br/>
      </w:r>
      <w:r>
        <w:rPr>
          <w:b/>
        </w:rPr>
        <w:t>Archivo leído:</w:t>
      </w:r>
      <w:r>
        <w:t xml:space="preserve"> aristoteles_etica_nicomaco_chase_gutenberg_8438.txt (reparacion_citas\aristoteles_etica_nicomaco_chase_gutenberg_8438.txt) · contraste del archivo de pasajes: ✔</w:t>
      </w:r>
      <w:r>
        <w:br/>
      </w:r>
      <w:r>
        <w:rPr>
          <w:b/>
        </w:rPr>
        <w:t>Lugar:</w:t>
      </w:r>
      <w:r>
        <w:t xml:space="preserve"> Ética a Nicómaco X, 8</w:t>
      </w:r>
      <w:r>
        <w:br/>
      </w:r>
      <w:r>
        <w:rPr>
          <w:b/>
        </w:rPr>
        <w:t>Tal como está en la fuente:</w:t>
      </w:r>
      <w:r>
        <w:t xml:space="preserve"> truth, in matters of moral action, is judged from facts and from actual life</w:t>
      </w:r>
      <w:r>
        <w:t>.</w:t>
      </w:r>
    </w:p>
    <w:p>
      <w:r>
        <w:t>Y con la misma coincidencia, el criterio de no hacer daño al otro: «amarás á tu prójimo como á ti mismo»</w:t>
      </w:r>
      <w:r>
        <w:t xml:space="preserve"> (Lv 19:18)</w:t>
      </w:r>
      <w:r>
        <w:br/>
      </w:r>
      <w:r>
        <w:rPr>
          <w:b/>
        </w:rPr>
        <w:t>leída en su fuente · Lv 19:18</w:t>
      </w:r>
      <w:r>
        <w:br/>
      </w:r>
      <w:r>
        <w:rPr>
          <w:b/>
        </w:rPr>
        <w:t>Archivo leído:</w:t>
      </w:r>
      <w:r>
        <w:t xml:space="preserve"> ga_5_14_rva.html; ga_6_1_rva.html; ga_6_1_rvr1960.html (c9h\ga_5_14_rva.html) · contraste del archivo de pasajes: ✔</w:t>
      </w:r>
      <w:r>
        <w:br/>
      </w:r>
      <w:r>
        <w:rPr>
          <w:b/>
        </w:rPr>
        <w:t>Lugar:</w:t>
      </w:r>
      <w:r>
        <w:t xml:space="preserve"> 5:14</w:t>
      </w:r>
      <w:r>
        <w:br/>
      </w:r>
      <w:r>
        <w:rPr>
          <w:b/>
        </w:rPr>
        <w:t>Dirección:</w:t>
      </w:r>
      <w:r>
        <w:t xml:space="preserve"> </w:t>
      </w:r>
      <w:r>
        <w:t>https://www.biblegateway.com/passage/?search=Galatians+5%3A14&amp;version=RVA</w:t>
      </w:r>
      <w:r>
        <w:t xml:space="preserve"> ; </w:t>
      </w:r>
      <w:r>
        <w:t>https://www.biblegateway.com/passage/?search=Galatians+6%3A1&amp;version=RVA</w:t>
      </w:r>
      <w:r>
        <w:br/>
      </w:r>
      <w:r>
        <w:rPr>
          <w:b/>
        </w:rPr>
        <w:t>Tal como está en la fuente:</w:t>
      </w:r>
      <w:r>
        <w:t xml:space="preserve"> Porque toda la ley en aquesta sola palabra se cumple: Amarás á tu prójimo como á ti mismo.</w:t>
      </w:r>
      <w:r>
        <w:t>; «La caridad no hace mal al prójimo: así que, el cumplimento de la ley es la caridad»</w:t>
      </w:r>
      <w:r>
        <w:t xml:space="preserve"> (Rm 13:10)</w:t>
      </w:r>
      <w:r>
        <w:br/>
      </w:r>
      <w:r>
        <w:rPr>
          <w:b/>
        </w:rPr>
        <w:t>leída en su fuente · Rm 13:10</w:t>
      </w:r>
      <w:r>
        <w:br/>
      </w:r>
      <w:r>
        <w:rPr>
          <w:b/>
        </w:rPr>
        <w:t>Archivo leído:</w:t>
      </w:r>
      <w:r>
        <w:t xml:space="preserve"> ro_13_10_rva.html; ro_13_10_rvr1960.html (c9h\ro_13_10_rva.html) · contraste del archivo de pasajes: ✔</w:t>
      </w:r>
      <w:r>
        <w:br/>
      </w:r>
      <w:r>
        <w:rPr>
          <w:b/>
        </w:rPr>
        <w:t>Lugar:</w:t>
      </w:r>
      <w:r>
        <w:t xml:space="preserve"> RVA, v. 10</w:t>
      </w:r>
      <w:r>
        <w:br/>
      </w:r>
      <w:r>
        <w:rPr>
          <w:b/>
        </w:rPr>
        <w:t>Dirección:</w:t>
      </w:r>
      <w:r>
        <w:t xml:space="preserve"> </w:t>
      </w:r>
      <w:r>
        <w:t>https://www.biblegateway.com/passage/?search=Romans+13%3A10&amp;version=RVA</w:t>
      </w:r>
      <w:r>
        <w:t xml:space="preserve"> ; </w:t>
      </w:r>
      <w:r>
        <w:t>https://www.biblegateway.com/passage/?search=Romans+13%3A10&amp;version=RVR1960</w:t>
      </w:r>
      <w:r>
        <w:br/>
      </w:r>
      <w:r>
        <w:rPr>
          <w:b/>
        </w:rPr>
        <w:t>Tal como está en la fuente:</w:t>
      </w:r>
      <w:r>
        <w:t xml:space="preserve"> La caridad no hace mal al prójimo: así que, el cumplimento de la ley es la caridad.</w:t>
      </w:r>
      <w:r>
        <w:br/>
      </w:r>
      <w:r>
        <w:rPr>
          <w:b/>
        </w:rPr>
        <w:t>Traducción guardada:</w:t>
      </w:r>
      <w:r>
        <w:t xml:space="preserve"> así, «cumplimento»</w:t>
      </w:r>
      <w:r>
        <w:t>.</w:t>
      </w:r>
    </w:p>
    <w:p>
      <w:r>
        <w:t>[00.00-2.2 a 2.14; glosario 5.3; las citas, comprobadas en su fuente]</w:t>
      </w:r>
    </w:p>
    <w:p>
      <w:r>
        <w:rPr>
          <w:b/>
        </w:rPr>
        <w:t>La regla de oro.</w:t>
      </w:r>
      <w:r>
        <w:t xml:space="preserve"> El criterio de no hacer al otro lo que uno no quiere para sí está escrito, con palabras distintas, en tradiciones de regiones y épocas muy separadas. Algunos ejemplos:</w:t>
      </w:r>
    </w:p>
    <w:p>
      <w:pPr>
        <w:pStyle w:val="ListBullet"/>
      </w:pPr>
      <w:r>
        <w:rPr>
          <w:b/>
        </w:rPr>
        <w:t>Israel:</w:t>
      </w:r>
      <w:r>
        <w:t xml:space="preserve"> «amarás á tu prójimo como á ti mismo»</w:t>
      </w:r>
      <w:r>
        <w:t xml:space="preserve"> (Lv 19:18)</w:t>
      </w:r>
      <w:r>
        <w:br/>
      </w:r>
      <w:r>
        <w:rPr>
          <w:b/>
        </w:rPr>
        <w:t>leída en su fuente · Lv 19:18</w:t>
      </w:r>
      <w:r>
        <w:br/>
      </w:r>
      <w:r>
        <w:rPr>
          <w:b/>
        </w:rPr>
        <w:t>Archivo leído:</w:t>
      </w:r>
      <w:r>
        <w:t xml:space="preserve"> ga_5_14_rva.html; ga_6_1_rva.html; ga_6_1_rvr1960.html (c9h\ga_5_14_rva.html) · contraste del archivo de pasajes: ✔</w:t>
      </w:r>
      <w:r>
        <w:br/>
      </w:r>
      <w:r>
        <w:rPr>
          <w:b/>
        </w:rPr>
        <w:t>Lugar:</w:t>
      </w:r>
      <w:r>
        <w:t xml:space="preserve"> 5:14</w:t>
      </w:r>
      <w:r>
        <w:br/>
      </w:r>
      <w:r>
        <w:rPr>
          <w:b/>
        </w:rPr>
        <w:t>Dirección:</w:t>
      </w:r>
      <w:r>
        <w:t xml:space="preserve"> </w:t>
      </w:r>
      <w:r>
        <w:t>https://www.biblegateway.com/passage/?search=Galatians+5%3A14&amp;version=RVA</w:t>
      </w:r>
      <w:r>
        <w:t xml:space="preserve"> ; </w:t>
      </w:r>
      <w:r>
        <w:t>https://www.biblegateway.com/passage/?search=Galatians+6%3A1&amp;version=RVA</w:t>
      </w:r>
      <w:r>
        <w:br/>
      </w:r>
      <w:r>
        <w:rPr>
          <w:b/>
        </w:rPr>
        <w:t>Tal como está en la fuente:</w:t>
      </w:r>
      <w:r>
        <w:t xml:space="preserve"> Porque toda la ley en aquesta sola palabra se cumple: Amarás á tu prójimo como á ti mismo.</w:t>
      </w:r>
      <w:r>
        <w:t>. Y Hillel, a quien pedían la Torá entera, respondió: «Lo que te es odioso no lo hagas a otro; eso es toda la Torá, y el resto es su explicación»</w:t>
      </w:r>
      <w:r>
        <w:t xml:space="preserve"> [original: «That which is hateful to you do not do to another; that is the entire Torah, and the rest is its interpretation. Go study.», en la traducción inglesa de Sefaria]</w:t>
      </w:r>
      <w:r>
        <w:t xml:space="preserve"> (Talmud de Babilonia, Shabat 31a)</w:t>
      </w:r>
      <w:r>
        <w:br/>
      </w:r>
      <w:r>
        <w:rPr>
          <w:b/>
        </w:rPr>
        <w:t>leída en su fuente · Talmud de Babilonia, Shabat 31a</w:t>
      </w:r>
      <w:r>
        <w:br/>
      </w:r>
      <w:r>
        <w:rPr>
          <w:b/>
        </w:rPr>
        <w:t>Archivo leído:</w:t>
      </w:r>
      <w:r>
        <w:t xml:space="preserve"> sefaria_shabbat_31a_english.json (flecos_9oct\regla_de_oro\sefaria_shabbat_31a_english.json) · contraste del archivo de pasajes: ✔</w:t>
      </w:r>
      <w:r>
        <w:br/>
      </w:r>
      <w:r>
        <w:rPr>
          <w:b/>
        </w:rPr>
        <w:t>Lugar:</w:t>
      </w:r>
      <w:r>
        <w:t xml:space="preserve"> Talmud de Babilonia, Shabat 31a</w:t>
      </w:r>
      <w:r>
        <w:br/>
      </w:r>
      <w:r>
        <w:rPr>
          <w:b/>
        </w:rPr>
        <w:t>Tal como está en la fuente:</w:t>
      </w:r>
      <w:r>
        <w:t xml:space="preserve"> That which is hateful to you do not do to another; that is the entire Torah, and the rest is its interpretation. Go study.</w:t>
      </w:r>
      <w:r>
        <w:t>.</w:t>
      </w:r>
    </w:p>
    <w:p>
      <w:pPr>
        <w:pStyle w:val="ListBullet"/>
      </w:pPr>
      <w:r>
        <w:rPr>
          <w:b/>
        </w:rPr>
        <w:t>El Evangelio:</w:t>
      </w:r>
      <w:r>
        <w:t xml:space="preserve"> «todas las cosas que quisierais que los hombres hiciesen con vosotros, así también haced vosotros con ellos; porque esta es la ley y los profetas»</w:t>
      </w:r>
      <w:r>
        <w:t xml:space="preserve"> (Mt 7:12)</w:t>
      </w:r>
      <w:r>
        <w:br/>
      </w:r>
      <w:r>
        <w:rPr>
          <w:b/>
        </w:rPr>
        <w:t>leída en su fuente · Mt 7:12</w:t>
      </w:r>
      <w:r>
        <w:br/>
      </w:r>
      <w:r>
        <w:rPr>
          <w:b/>
        </w:rPr>
        <w:t>Archivo leído:</w:t>
      </w:r>
      <w:r>
        <w:t xml:space="preserve"> lc_6_31_rva.html; mt_7_12_rva.html; rvr1960_lc_6_31.html; rvr1960_mt_7_12.html (c9g\mt_7_12_rva.html) · contraste del archivo de pasajes: ✔</w:t>
      </w:r>
      <w:r>
        <w:br/>
      </w:r>
      <w:r>
        <w:rPr>
          <w:b/>
        </w:rPr>
        <w:t>Lugar:</w:t>
      </w:r>
      <w:r>
        <w:t xml:space="preserve"> RVA Lc 6:31</w:t>
      </w:r>
      <w:r>
        <w:br/>
      </w:r>
      <w:r>
        <w:rPr>
          <w:b/>
        </w:rPr>
        <w:t>Dirección:</w:t>
      </w:r>
      <w:r>
        <w:t xml:space="preserve"> </w:t>
      </w:r>
      <w:r>
        <w:t>https://www.biblegateway.com/passage/?search=Luke+6%3A31&amp;version=RVA</w:t>
      </w:r>
      <w:r>
        <w:br/>
      </w:r>
      <w:r>
        <w:rPr>
          <w:b/>
        </w:rPr>
        <w:t>Tal como está en la fuente:</w:t>
      </w:r>
      <w:r>
        <w:t xml:space="preserve"> Así que, todas las cosas que quisierais que los hombres hiciesen con vosotros, así también haced vosotros con ellos; porque esta es la ley y los profetas.</w:t>
      </w:r>
      <w:r>
        <w:t>.</w:t>
      </w:r>
    </w:p>
    <w:p>
      <w:pPr>
        <w:pStyle w:val="ListBullet"/>
      </w:pPr>
      <w:r>
        <w:rPr>
          <w:b/>
        </w:rPr>
        <w:t>China:</w:t>
      </w:r>
      <w:r>
        <w:t xml:space="preserve"> Confucio, preguntado si hay una palabra que sirva de regla para toda la vida: «¿No es la reciprocidad? Lo que no quieras que te hagan, no se lo hagas a otros»</w:t>
      </w:r>
      <w:r>
        <w:t xml:space="preserve"> [original: «子曰、其恕乎、己所不欲、勿施於人。»]</w:t>
      </w:r>
      <w:r>
        <w:t xml:space="preserve"> (Analectas 15, 23, en la edición de Legge)</w:t>
      </w:r>
      <w:r>
        <w:br/>
      </w:r>
      <w:r>
        <w:rPr>
          <w:b/>
        </w:rPr>
        <w:t>leída en su fuente · Analectas 15, 23, en la edición de Legge</w:t>
      </w:r>
      <w:r>
        <w:br/>
      </w:r>
      <w:r>
        <w:rPr>
          <w:b/>
        </w:rPr>
        <w:t>Original donde está:</w:t>
      </w:r>
      <w:r>
        <w:t xml:space="preserve"> zhwikisource_Analectas_衛靈公第十五.txt</w:t>
      </w:r>
      <w:r>
        <w:br/>
      </w:r>
      <w:r>
        <w:t>El pasaje literal no está en el archivo de pasajes con este comienzo; la auditoría lo halló en ese original.</w:t>
      </w:r>
      <w:r>
        <w:t>.</w:t>
      </w:r>
    </w:p>
    <w:p>
      <w:pPr>
        <w:pStyle w:val="ListBullet"/>
      </w:pPr>
      <w:r>
        <w:rPr>
          <w:b/>
        </w:rPr>
        <w:t>India:</w:t>
      </w:r>
      <w:r>
        <w:t xml:space="preserve"> «No debe hacerse nunca a otro lo que uno tiene por dañino para sí mismo. Esta es, en breve, la regla de la Rectitud»</w:t>
      </w:r>
      <w:r>
        <w:t xml:space="preserve"> [original: «One should never do that to another which one regards as injurious to one's own self. This, in brief, is the rule of Righteousness.», en la traducción inglesa de Ganguli]</w:t>
      </w:r>
      <w:r>
        <w:t xml:space="preserve"> (Mahabharata, Anushasana Parva, sección 113)</w:t>
      </w:r>
      <w:r>
        <w:br/>
      </w:r>
      <w:r>
        <w:rPr>
          <w:b/>
        </w:rPr>
        <w:t>leída en su fuente · Mahabharata, Anushasana Parva, sección 113</w:t>
      </w:r>
      <w:r>
        <w:br/>
      </w:r>
      <w:r>
        <w:rPr>
          <w:b/>
        </w:rPr>
        <w:t>Archivo leído:</w:t>
      </w:r>
      <w:r>
        <w:t xml:space="preserve"> mbh_15477.txt (ant\india\mbh_15477.txt) · contraste del archivo de pasajes: ✔</w:t>
      </w:r>
      <w:r>
        <w:br/>
      </w:r>
      <w:r>
        <w:rPr>
          <w:b/>
        </w:rPr>
        <w:t>Lugar:</w:t>
      </w:r>
      <w:r>
        <w:t xml:space="preserve"> Mahabharata, Anushasana Parva, sección 113</w:t>
      </w:r>
      <w:r>
        <w:br/>
      </w:r>
      <w:r>
        <w:rPr>
          <w:b/>
        </w:rPr>
        <w:t>Tal como está en la fuente:</w:t>
      </w:r>
      <w:r>
        <w:t xml:space="preserve"> One should never do that to another which one regards as injurious to one's own self. This, in brief, is the rule of Righteousness.</w:t>
      </w:r>
      <w:r>
        <w:t>.</w:t>
      </w:r>
    </w:p>
    <w:p>
      <w:pPr>
        <w:pStyle w:val="ListBullet"/>
      </w:pPr>
      <w:r>
        <w:rPr>
          <w:b/>
        </w:rPr>
        <w:t>El budismo,</w:t>
      </w:r>
      <w:r>
        <w:t xml:space="preserve"> en el </w:t>
      </w:r>
      <w:r>
        <w:rPr>
          <w:i/>
        </w:rPr>
        <w:t>Udanavarga</w:t>
      </w:r>
      <w:r>
        <w:t>: «como lo que es querido para ti lo es también para los otros, no hieras a otros con lo que te duele a ti»</w:t>
      </w:r>
      <w:r>
        <w:t xml:space="preserve"> [original: «as it is the same thing that is dear to you and to others, hurt not others with what pains yourself», en la traducción inglesa de Rockhill]</w:t>
      </w:r>
      <w:r>
        <w:t xml:space="preserve"> (Udanavarga V, 18)</w:t>
      </w:r>
      <w:r>
        <w:br/>
      </w:r>
      <w:r>
        <w:rPr>
          <w:b/>
        </w:rPr>
        <w:t>leída en su fuente · Udanavarga V, 18</w:t>
      </w:r>
      <w:r>
        <w:br/>
      </w:r>
      <w:r>
        <w:rPr>
          <w:b/>
        </w:rPr>
        <w:t>Archivo leído:</w:t>
      </w:r>
      <w:r>
        <w:t xml:space="preserve"> rockhill_udanavarga_1883_archive_dlicsl4729.txt (flecos_9oct\regla_de_oro\rockhill_udanavarga_1883_archive_dlicsl4729.txt) · contraste del archivo de pasajes: ✔</w:t>
      </w:r>
      <w:r>
        <w:br/>
      </w:r>
      <w:r>
        <w:rPr>
          <w:b/>
        </w:rPr>
        <w:t>Lugar:</w:t>
      </w:r>
      <w:r>
        <w:t xml:space="preserve"> Udanavarga V, 18</w:t>
      </w:r>
      <w:r>
        <w:br/>
      </w:r>
      <w:r>
        <w:rPr>
          <w:b/>
        </w:rPr>
        <w:t>Tal como está en la fuente:</w:t>
      </w:r>
      <w:r>
        <w:t xml:space="preserve"> as it is the same thing that is dear to you and to others, hurt not others with what pains yourself</w:t>
      </w:r>
      <w:r>
        <w:t>.</w:t>
      </w:r>
    </w:p>
    <w:p>
      <w:pPr>
        <w:pStyle w:val="ListBullet"/>
      </w:pPr>
      <w:r>
        <w:rPr>
          <w:b/>
        </w:rPr>
        <w:t>El jainismo:</w:t>
      </w:r>
      <w:r>
        <w:t xml:space="preserve"> «tratar a todos los seres del mundo como uno mismo querría ser tratado»</w:t>
      </w:r>
      <w:r>
        <w:t xml:space="preserve"> [original: «treating all creatures in the world so as he himself would be treated», en la traducción inglesa de Jacobi]</w:t>
      </w:r>
      <w:r>
        <w:t xml:space="preserve"> (Sutrakritanga I, 11)</w:t>
      </w:r>
      <w:r>
        <w:br/>
      </w:r>
      <w:r>
        <w:rPr>
          <w:b/>
        </w:rPr>
        <w:t>leída en su fuente · Sutrakritanga I, 11</w:t>
      </w:r>
      <w:r>
        <w:br/>
      </w:r>
      <w:r>
        <w:rPr>
          <w:b/>
        </w:rPr>
        <w:t>Archivo leído:</w:t>
      </w:r>
      <w:r>
        <w:t xml:space="preserve"> jacobi_jaina_sutras_part2_sbe45_archive.txt (flecos_9oct\regla_de_oro\jacobi_jaina_sutras_part2_sbe45_archive.txt) · contraste del archivo de pasajes: ✔</w:t>
      </w:r>
      <w:r>
        <w:br/>
      </w:r>
      <w:r>
        <w:rPr>
          <w:b/>
        </w:rPr>
        <w:t>Lugar:</w:t>
      </w:r>
      <w:r>
        <w:t xml:space="preserve"> Sutrakritanga I, 11</w:t>
      </w:r>
      <w:r>
        <w:br/>
      </w:r>
      <w:r>
        <w:rPr>
          <w:b/>
        </w:rPr>
        <w:t>Tal como está en la fuente:</w:t>
      </w:r>
      <w:r>
        <w:t xml:space="preserve"> treating all creatures in the world so as he himself would be treated</w:t>
      </w:r>
      <w:r>
        <w:t>.</w:t>
      </w:r>
    </w:p>
    <w:p>
      <w:pPr>
        <w:pStyle w:val="ListBullet"/>
      </w:pPr>
      <w:r>
        <w:rPr>
          <w:b/>
        </w:rPr>
        <w:t>Persia (zoroastrismo):</w:t>
      </w:r>
      <w:r>
        <w:t xml:space="preserve"> la naturaleza es buena solo cuando «no hace a otro lo que no es bueno para sí misma»</w:t>
      </w:r>
      <w:r>
        <w:t xml:space="preserve"> [original: «shall not do unto another whatever is not good for its own self», en la traducción inglesa de West]</w:t>
      </w:r>
      <w:r>
        <w:t xml:space="preserve"> (Dadistan-i-Dinik 94, 5)</w:t>
      </w:r>
      <w:r>
        <w:br/>
      </w:r>
      <w:r>
        <w:rPr>
          <w:b/>
        </w:rPr>
        <w:t>leída en su fuente · Dadistan-i-Dinik 94, 5</w:t>
      </w:r>
      <w:r>
        <w:br/>
      </w:r>
      <w:r>
        <w:rPr>
          <w:b/>
        </w:rPr>
        <w:t>Archivo leído:</w:t>
      </w:r>
      <w:r>
        <w:t xml:space="preserve"> west_pahlavi_texts_part2_sbe18_archive.txt (flecos_9oct\regla_de_oro\west_pahlavi_texts_part2_sbe18_archive.txt) · contraste del archivo de pasajes: ✔</w:t>
      </w:r>
      <w:r>
        <w:br/>
      </w:r>
      <w:r>
        <w:rPr>
          <w:b/>
        </w:rPr>
        <w:t>Lugar:</w:t>
      </w:r>
      <w:r>
        <w:t xml:space="preserve"> Dadistan-i-Dinik 94, 5</w:t>
      </w:r>
      <w:r>
        <w:br/>
      </w:r>
      <w:r>
        <w:rPr>
          <w:b/>
        </w:rPr>
        <w:t>Tal como está en la fuente:</w:t>
      </w:r>
      <w:r>
        <w:t xml:space="preserve"> shall not do unto another whatever is not good for its own self</w:t>
      </w:r>
      <w:r>
        <w:t>.</w:t>
      </w:r>
    </w:p>
    <w:p>
      <w:pPr>
        <w:pStyle w:val="ListBullet"/>
      </w:pPr>
      <w:r>
        <w:rPr>
          <w:b/>
        </w:rPr>
        <w:t>Grecia:</w:t>
      </w:r>
      <w:r>
        <w:t xml:space="preserve"> «No hagas a otros lo que te irrita que te hagan a ti»</w:t>
      </w:r>
      <w:r>
        <w:t xml:space="preserve"> [original: «Do not do to others that which angers you when they do it to you.», en la traducción inglesa de Norlin]</w:t>
      </w:r>
      <w:r>
        <w:t xml:space="preserve"> (Isócrates, Nicocles 61)</w:t>
      </w:r>
      <w:r>
        <w:br/>
      </w:r>
      <w:r>
        <w:rPr>
          <w:b/>
        </w:rPr>
        <w:t>leída en su fuente · Isócrates, Nicocles 61</w:t>
      </w:r>
      <w:r>
        <w:br/>
      </w:r>
      <w:r>
        <w:rPr>
          <w:b/>
        </w:rPr>
        <w:t>Archivo leído:</w:t>
      </w:r>
      <w:r>
        <w:t xml:space="preserve"> perseus_isocrates_nicocles_3_61_norlin.txt (flecos_9oct\regla_de_oro\perseus_isocrates_nicocles_3_61_norlin.txt) · contraste del archivo de pasajes: ✔</w:t>
      </w:r>
      <w:r>
        <w:br/>
      </w:r>
      <w:r>
        <w:rPr>
          <w:b/>
        </w:rPr>
        <w:t>Lugar:</w:t>
      </w:r>
      <w:r>
        <w:t xml:space="preserve"> Isócrates, Nicocles 61</w:t>
      </w:r>
      <w:r>
        <w:br/>
      </w:r>
      <w:r>
        <w:rPr>
          <w:b/>
        </w:rPr>
        <w:t>Tal como está en la fuente:</w:t>
      </w:r>
      <w:r>
        <w:t xml:space="preserve"> Do not do to others that which angers you when they do it to you.</w:t>
      </w:r>
      <w:r>
        <w:t>.</w:t>
      </w:r>
    </w:p>
    <w:p>
      <w:pPr>
        <w:pStyle w:val="ListBullet"/>
      </w:pPr>
      <w:r>
        <w:rPr>
          <w:b/>
        </w:rPr>
        <w:t>El islam:</w:t>
      </w:r>
      <w:r>
        <w:t xml:space="preserve"> «Ninguno de vosotros tendrá fe hasta que desee para su hermano lo que desea para sí»</w:t>
      </w:r>
      <w:r>
        <w:t xml:space="preserve"> [original: «None of you will have faith till he wishes for his (Muslim) brother what he likes for himself», en la copia inglesa de la colección de Bujari]</w:t>
      </w:r>
      <w:r>
        <w:t xml:space="preserve"> (Sahih al-Bujari 13)</w:t>
      </w:r>
      <w:r>
        <w:br/>
      </w:r>
      <w:r>
        <w:rPr>
          <w:b/>
        </w:rPr>
        <w:t>leída en su fuente · Sahih al-Bujari 13</w:t>
      </w:r>
      <w:r>
        <w:br/>
      </w:r>
      <w:r>
        <w:rPr>
          <w:b/>
        </w:rPr>
        <w:t>Archivo leído:</w:t>
      </w:r>
      <w:r>
        <w:t xml:space="preserve"> eng-bukhari.json (cierre_B3_B4_9oct\hadices_completos_hadith_api\eng-bukhari.json) · contraste del archivo de pasajes: ✔</w:t>
      </w:r>
      <w:r>
        <w:br/>
      </w:r>
      <w:r>
        <w:rPr>
          <w:b/>
        </w:rPr>
        <w:t>Lugar:</w:t>
      </w:r>
      <w:r>
        <w:t xml:space="preserve"> Sahih al-Bujari 13</w:t>
      </w:r>
      <w:r>
        <w:br/>
      </w:r>
      <w:r>
        <w:rPr>
          <w:b/>
        </w:rPr>
        <w:t>Tal como está en la fuente:</w:t>
      </w:r>
      <w:r>
        <w:t xml:space="preserve"> None of you will have faith till he wishes for his (Muslim) brother what he likes for himself</w:t>
      </w:r>
      <w:r>
        <w:t>.</w:t>
      </w:r>
    </w:p>
    <w:p>
      <w:r>
        <w:rPr>
          <w:b/>
        </w:rPr>
        <w:t>Lo que se puede decir y lo que no.</w:t>
      </w:r>
      <w:r>
        <w:t xml:space="preserve"> Coinciden en lo esencial regiones sin relación comprobada: Israel, China, India, Grecia y Persia. No se prueba que sean independientes entre sí, y Mateo y el hadiz beben de la tradición bíblica. En Egipto no se halló un precepto equivalente, y el que se cita en resúmenes, en el </w:t>
      </w:r>
      <w:r>
        <w:rPr>
          <w:i/>
        </w:rPr>
        <w:t>Campesino elocuente</w:t>
      </w:r>
      <w:r>
        <w:t xml:space="preserve">, no se leyó en su fuente. </w:t>
      </w:r>
      <w:r>
        <w:t>[fuentes del agente de flecos, lote 6 (9-oct-2026); lista 04p, fila 30; 04o, 5]</w:t>
      </w:r>
    </w:p>
    <w:p>
      <w:r>
        <w:rPr>
          <w:b/>
        </w:rPr>
        <w:t>La vara.</w:t>
      </w:r>
      <w:r>
        <w:t xml:space="preserve"> Con eso se hace la vara con que esta obra mide. Mide en dos pasos:</w:t>
      </w:r>
    </w:p>
    <w:p>
      <w:pPr>
        <w:spacing w:after="60"/>
        <w:ind w:left="510" w:hanging="397"/>
      </w:pPr>
      <w:r>
        <w:rPr>
          <w:b w:val="0"/>
        </w:rPr>
        <w:t xml:space="preserve">1. </w:t>
      </w:r>
      <w:r>
        <w:rPr>
          <w:b/>
        </w:rPr>
        <w:t>Primero, la verdad de los hechos:</w:t>
      </w:r>
      <w:r>
        <w:t xml:space="preserve"> si son ciertos, con su fuente.</w:t>
      </w:r>
    </w:p>
    <w:p>
      <w:pPr>
        <w:spacing w:after="60"/>
        <w:ind w:left="510" w:hanging="397"/>
      </w:pPr>
      <w:r>
        <w:rPr>
          <w:b w:val="0"/>
        </w:rPr>
        <w:t xml:space="preserve">2. </w:t>
      </w:r>
      <w:r>
        <w:rPr>
          <w:b/>
        </w:rPr>
        <w:t>Después, sus frutos,</w:t>
      </w:r>
      <w:r>
        <w:t xml:space="preserve"> con un criterio común a esas tradiciones: si dañan al prójimo, si hay reciprocidad, si hubo consentimiento y si hay beneficio mutuo.</w:t>
      </w:r>
    </w:p>
    <w:p>
      <w:r>
        <w:t>De dónde nace un acto (el amor, el egoísmo o la ignorancia) queda como lectura del autor, no como hecho. Cualquiera puede aplicar la vara sin ser jurista. Se aplica pieza a pieza, y no todo lo que mide sale torcido: por eso su conclusión de conjunto es creíble. Y se aplica a los dos lados, también a quien audita.</w:t>
      </w:r>
    </w:p>
    <w:p>
      <w:r>
        <w:t>[00.00-2.15; 00.00-2.20; 00.0-10.2; glosario 5.1]</w:t>
      </w:r>
    </w:p>
    <w:p>
      <w:r>
        <w:rPr>
          <w:b/>
        </w:rPr>
        <w:t>La balanza.</w:t>
      </w:r>
      <w:r>
        <w:t xml:space="preserve"> La vara, la pesa justa, el centro y el dial son un solo instrumento con cuatro nombres. La vara mide la verdad de los hechos y sus frutos; la pesa justa es lo recibido, la medida que las tradiciones guardaron y que no se trampea (</w:t>
      </w:r>
      <w:r>
        <w:t>3.2</w:t>
      </w:r>
      <w:r>
        <w:t xml:space="preserve">; </w:t>
      </w:r>
      <w:r>
        <w:t>anexo F</w:t>
      </w:r>
      <w:r>
        <w:t>); el centro es el bien común, que no lo pone quien mide, sino la ley de Dios y la natural (</w:t>
      </w:r>
      <w:r>
        <w:t>J.2</w:t>
      </w:r>
      <w:r>
        <w:t>); y el dial dice cuánto y hacia qué lado se aparta de ese centro lo medido: por defecto, si no cuida ni cumple, o por exceso, si se sirve a sí mismo (</w:t>
      </w:r>
      <w:r>
        <w:t>J.3</w:t>
      </w:r>
      <w:r>
        <w:t>). Es una sola balanza para todo el libro, y con ella se pesa al final, cosa por cosa, lo que el libro expone (</w:t>
      </w:r>
      <w:r>
        <w:t>J.8</w:t>
      </w:r>
      <w:r>
        <w:t xml:space="preserve">). </w:t>
      </w:r>
      <w:r>
        <w:t>[parlamento de la balanza (08/22), apartados 8 y 11; J.0 a J.4]</w:t>
      </w:r>
    </w:p>
    <w:p>
      <w:r>
        <w:rPr>
          <w:b/>
        </w:rPr>
        <w:t>Lectura del autor: la pesa.</w:t>
      </w:r>
      <w:r>
        <w:t xml:space="preserve"> En palabras del autor, cada cosa «sirve a un propósito más allá de ti, alineado con las leyes divinas, o tiene algún tipo de corrupción y procede de algo que aleja a la humanidad del bien común». Dicho con las palabras de este libro, se pesa en los dos pasos de la vara. Primero, ¿roca o arena?: si lo que se afirma se sostiene en su fuente, como la casa sobre la peña (</w:t>
      </w:r>
      <w:r>
        <w:t>5.4</w:t>
      </w:r>
      <w:r>
        <w:t>), y si no, en qué punto de la escala queda: presunción, falso o mentira (</w:t>
      </w:r>
      <w:r>
        <w:t>0.4</w:t>
      </w:r>
      <w:r>
        <w:t>). Después, por sus frutos: ¿sirve a un propósito más allá de sí, alineado con lo recibido, la ley de Dios y la natural; se sirve a sí mismo; o no cuida ni cumple? Esas dos maneras de apartarse del centro son lo que el autor llama corrupción, en el sentido de este libro y no en el del Código Penal: la ley que no mira a la utilidad común, sino a la codicia o la gloria de quien la hace (</w:t>
      </w:r>
      <w:r>
        <w:t>1.1</w:t>
      </w:r>
      <w:r>
        <w:t xml:space="preserve">; </w:t>
      </w:r>
      <w:r>
        <w:t>1.6</w:t>
      </w:r>
      <w:r>
        <w:t>), y la forma que conserva el nombre y pierde la sustancia (</w:t>
      </w:r>
      <w:r>
        <w:t>7.5</w:t>
      </w:r>
      <w:r>
        <w:t xml:space="preserve">; </w:t>
      </w:r>
      <w:r>
        <w:t>9.2</w:t>
      </w:r>
      <w:r>
        <w:t>). De dónde procede no se pesa: se pesa adónde lleva, por sus frutos (</w:t>
      </w:r>
      <w:r>
        <w:t>J.7</w:t>
      </w:r>
      <w:r>
        <w:t>), y su origen, si se lee, va con la fórmula «apunta hacia» (</w:t>
      </w:r>
      <w:r>
        <w:t>0.3</w:t>
      </w:r>
      <w:r>
        <w:t>). Y la misma pesa vale para quien pesa, también para esta obra (</w:t>
      </w:r>
      <w:r>
        <w:t>2.5</w:t>
      </w:r>
      <w:r>
        <w:t xml:space="preserve">). </w:t>
      </w:r>
      <w:r>
        <w:t>[Kiko, chats de 08.20 y 08.21, 12-oct-2026, 10:0x a 10:5x; parlamento de la balanza (08/22), apartados 10 y 11; lectura del autor, sin dato nuevo]</w:t>
      </w:r>
    </w:p>
    <w:p>
      <w:r>
        <w:rPr>
          <w:b/>
        </w:rPr>
        <w:t>La convergencia.</w:t>
      </w:r>
      <w:r>
        <w:t xml:space="preserve"> ¿Cómo se sabe que las tradiciones dicen de verdad lo mismo, y que no es casualidad? Por la convergencia.</w:t>
      </w:r>
    </w:p>
    <w:p>
      <w:pPr>
        <w:pStyle w:val="ListBullet"/>
      </w:pPr>
      <w:r>
        <w:rPr>
          <w:b/>
        </w:rPr>
        <w:t>La regla:</w:t>
      </w:r>
      <w:r>
        <w:t xml:space="preserve"> una afirmación se tiene por sólida cuando aparece en tres o más fuentes independientes, es decir, tradiciones, épocas o disciplinas sin una línea de transmisión entre ellas. Y solo después de haber buscado la fuente de peso que sostiene lo contrario.</w:t>
      </w:r>
    </w:p>
    <w:p>
      <w:pPr>
        <w:pStyle w:val="ListBullet"/>
      </w:pPr>
      <w:r>
        <w:rPr>
          <w:b/>
        </w:rPr>
        <w:t>La imagen es una mesa:</w:t>
      </w:r>
      <w:r>
        <w:t xml:space="preserve"> </w:t>
      </w:r>
    </w:p>
    <w:p>
      <w:pPr>
        <w:pStyle w:val="ListBullet2"/>
      </w:pPr>
      <w:r>
        <w:t xml:space="preserve">cada fuente independiente es una </w:t>
      </w:r>
      <w:r>
        <w:rPr>
          <w:b/>
        </w:rPr>
        <w:t>pata</w:t>
      </w:r>
      <w:r>
        <w:t>;</w:t>
      </w:r>
    </w:p>
    <w:p>
      <w:pPr>
        <w:pStyle w:val="ListBullet2"/>
      </w:pPr>
      <w:r>
        <w:t xml:space="preserve">la fuente que contradice es la </w:t>
      </w:r>
      <w:r>
        <w:rPr>
          <w:b/>
        </w:rPr>
        <w:t>pata coja</w:t>
      </w:r>
      <w:r>
        <w:t>;</w:t>
      </w:r>
    </w:p>
    <w:p>
      <w:pPr>
        <w:pStyle w:val="ListBullet2"/>
      </w:pPr>
      <w:r>
        <w:t>la prueba consiste en quitar una pata y ver si la mesa sigue en pie.</w:t>
      </w:r>
    </w:p>
    <w:p>
      <w:pPr>
        <w:pStyle w:val="ListBullet"/>
      </w:pPr>
      <w:r>
        <w:rPr>
          <w:b/>
        </w:rPr>
        <w:t>Si no aparece ninguna pata coja,</w:t>
      </w:r>
      <w:r>
        <w:t xml:space="preserve"> el hallazgo es sospechoso, no sólido: alguien tuvo que sostener lo contrario.</w:t>
      </w:r>
    </w:p>
    <w:p>
      <w:pPr>
        <w:pStyle w:val="ListBullet"/>
      </w:pPr>
      <w:r>
        <w:rPr>
          <w:b/>
        </w:rPr>
        <w:t>La condición,</w:t>
      </w:r>
      <w:r>
        <w:t xml:space="preserve"> para que el principio no se pueda tumbar: una práctica muy extendida no es por eso buena. La esclavitud estuvo muy extendida, y no pasa la vara: daña al prójimo y no hay reciprocidad. Tampoco pasan la vara el robo hacia fuera que unos germanos tenían por honroso y la mutilación genital femenina de hoy (</w:t>
      </w:r>
      <w:r>
        <w:t>1.5</w:t>
      </w:r>
      <w:r>
        <w:t>). Lo que converge y además pasa la vara es lo que esta obra tiene por ley por encima de toda ley. Lo que solo se repite puede ser una costumbre torcida.</w:t>
      </w:r>
    </w:p>
    <w:p>
      <w:r>
        <w:t>[01.00-0.1; 00.00-1.5; glosario 5.4]</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ListBullet"/>
      </w:pPr>
      <w:r>
        <w:rPr>
          <w:b/>
        </w:rPr>
        <w:t>1</w:t>
      </w:r>
      <w:r>
        <w:rPr>
          <w:b/>
        </w:rPr>
        <w:t xml:space="preserve"> El orden de las leyes:</w:t>
      </w:r>
      <w:r>
        <w:t xml:space="preserve"> cuáles son las leyes que están por encima de las que escribe el Estado, en qué orden, y quién invirtió ese orden.</w:t>
      </w:r>
    </w:p>
    <w:p>
      <w:pPr>
        <w:pStyle w:val="ListBullet"/>
      </w:pPr>
      <w:r>
        <w:rPr>
          <w:b/>
        </w:rPr>
        <w:t>2</w:t>
      </w:r>
      <w:r>
        <w:rPr>
          <w:b/>
        </w:rPr>
        <w:t xml:space="preserve"> La persona y los derechos que preceden al Estado:</w:t>
      </w:r>
      <w:r>
        <w:t xml:space="preserve"> la persona, su derecho de nacimiento y «soberanos somos todos».</w:t>
      </w:r>
    </w:p>
    <w:p>
      <w:pPr>
        <w:pStyle w:val="ListBullet"/>
      </w:pPr>
      <w:r>
        <w:rPr>
          <w:b/>
        </w:rPr>
        <w:t>3</w:t>
      </w:r>
      <w:r>
        <w:rPr>
          <w:b/>
        </w:rPr>
        <w:t xml:space="preserve"> Lo que todas las tradiciones guardaron: el Arca:</w:t>
      </w:r>
      <w:r>
        <w:t xml:space="preserve"> la ley de Dios, principio por principio, en las tradiciones del mundo, con su pata coja.</w:t>
      </w:r>
    </w:p>
    <w:p>
      <w:pPr>
        <w:pStyle w:val="ListBullet"/>
      </w:pPr>
      <w:r>
        <w:rPr>
          <w:b/>
        </w:rPr>
        <w:t>4</w:t>
      </w:r>
      <w:r>
        <w:rPr>
          <w:b/>
        </w:rPr>
        <w:t xml:space="preserve"> Discernir: el mal sin cuerpo:</w:t>
      </w:r>
      <w:r>
        <w:t xml:space="preserve"> cómo describen las religiones el mal que no tiene cuerpo, y la lucha entre el bien y el mal.</w:t>
      </w:r>
    </w:p>
    <w:p>
      <w:pPr>
        <w:pStyle w:val="ListBullet"/>
      </w:pPr>
      <w:r>
        <w:rPr>
          <w:b/>
        </w:rPr>
        <w:t>5</w:t>
      </w:r>
      <w:r>
        <w:rPr>
          <w:b/>
        </w:rPr>
        <w:t xml:space="preserve"> Lo que se da por supuesto:</w:t>
      </w:r>
      <w:r>
        <w:t xml:space="preserve"> las presunciones en que se sostiene el sistema.</w:t>
      </w:r>
    </w:p>
    <w:p>
      <w:pPr>
        <w:pStyle w:val="ListBullet"/>
      </w:pPr>
      <w:r>
        <w:rPr>
          <w:b/>
        </w:rPr>
        <w:t>6</w:t>
      </w:r>
      <w:r>
        <w:rPr>
          <w:b/>
        </w:rPr>
        <w:t xml:space="preserve"> Cómo se construyó el Estado:</w:t>
      </w:r>
      <w:r>
        <w:t xml:space="preserve"> el contrato que nadie firmó, cómo se autoproclama un Estado, y la propiedad y el poder.</w:t>
      </w:r>
    </w:p>
    <w:p>
      <w:pPr>
        <w:pStyle w:val="ListBullet"/>
      </w:pPr>
      <w:r>
        <w:rPr>
          <w:b/>
        </w:rPr>
        <w:t>7</w:t>
      </w:r>
      <w:r>
        <w:rPr>
          <w:b/>
        </w:rPr>
        <w:t xml:space="preserve"> La auditoría:</w:t>
      </w:r>
      <w:r>
        <w:t xml:space="preserve"> la Constitución frente a los hechos.</w:t>
      </w:r>
    </w:p>
    <w:p>
      <w:pPr>
        <w:pStyle w:val="ListBullet"/>
      </w:pPr>
      <w:r>
        <w:rPr>
          <w:b/>
        </w:rPr>
        <w:t>8</w:t>
      </w:r>
      <w:r>
        <w:rPr>
          <w:b/>
        </w:rPr>
        <w:t xml:space="preserve"> Los frutos:</w:t>
      </w:r>
      <w:r>
        <w:t xml:space="preserve"> el dinero, la deuda, la carga sobre cada persona, la vivienda y la confianza, medidos con datos.</w:t>
      </w:r>
    </w:p>
    <w:p>
      <w:pPr>
        <w:pStyle w:val="ListBullet"/>
      </w:pPr>
      <w:r>
        <w:rPr>
          <w:b/>
        </w:rPr>
        <w:t>9</w:t>
      </w:r>
      <w:r>
        <w:rPr>
          <w:b/>
        </w:rPr>
        <w:t xml:space="preserve"> El dictamen:</w:t>
      </w:r>
      <w:r>
        <w:t xml:space="preserve"> la conclusión de la obra, con sus límites.</w:t>
      </w:r>
    </w:p>
    <w:p>
      <w:pPr>
        <w:pStyle w:val="ListBullet"/>
      </w:pPr>
      <w:r>
        <w:rPr>
          <w:b/>
        </w:rPr>
        <w:t>10</w:t>
      </w:r>
      <w:r>
        <w:rPr>
          <w:b/>
        </w:rPr>
        <w:t xml:space="preserve"> Las puertas:</w:t>
      </w:r>
      <w:r>
        <w:t xml:space="preserve"> lo que se propone y lo que cada persona puede hacer, dentro de la ley.</w:t>
      </w:r>
    </w:p>
    <w:p>
      <w:pPr>
        <w:pStyle w:val="ListBullet"/>
      </w:pPr>
      <w:r>
        <w:rPr>
          <w:b/>
        </w:rPr>
        <w:t>11</w:t>
      </w:r>
      <w:r>
        <w:rPr>
          <w:b/>
        </w:rPr>
        <w:t xml:space="preserve"> El juicio popular de la verdad:</w:t>
      </w:r>
      <w:r>
        <w:t xml:space="preserve"> las objeciones del Estado y lo que la obra le responde; los cargos, cada uno con la defensa del Estado y su última palabra; las preguntas y el llamamiento.</w:t>
      </w:r>
    </w:p>
    <w:p>
      <w:pPr>
        <w:pStyle w:val="ListBullet"/>
      </w:pPr>
      <w:r>
        <w:rPr>
          <w:b/>
        </w:rPr>
        <w:t>Anexos A a J:</w:t>
      </w:r>
      <w:r>
        <w:t xml:space="preserve"> las piezas de consulta, para quien quiera el detalle: </w:t>
      </w:r>
    </w:p>
    <w:p>
      <w:pPr>
        <w:pStyle w:val="ListBullet2"/>
      </w:pPr>
      <w:r>
        <w:t>la Constitución artículo por artículo;</w:t>
      </w:r>
    </w:p>
    <w:p>
      <w:pPr>
        <w:pStyle w:val="ListBullet2"/>
      </w:pPr>
      <w:r>
        <w:t>la carga fiscal y los datos;</w:t>
      </w:r>
    </w:p>
    <w:p>
      <w:pPr>
        <w:pStyle w:val="ListBullet2"/>
      </w:pPr>
      <w:r>
        <w:t>los modelos de escrito;</w:t>
      </w:r>
    </w:p>
    <w:p>
      <w:pPr>
        <w:pStyle w:val="ListBullet2"/>
      </w:pPr>
      <w:r>
        <w:t>lo que se afirma sin documento;</w:t>
      </w:r>
    </w:p>
    <w:p>
      <w:pPr>
        <w:pStyle w:val="ListBullet2"/>
      </w:pPr>
      <w:r>
        <w:t>los textos de cada tradición;</w:t>
      </w:r>
    </w:p>
    <w:p>
      <w:pPr>
        <w:pStyle w:val="ListBullet2"/>
      </w:pPr>
      <w:r>
        <w:t>cómo se hizo esta obra;</w:t>
      </w:r>
    </w:p>
    <w:p>
      <w:pPr>
        <w:pStyle w:val="ListBullet2"/>
      </w:pPr>
      <w:r>
        <w:t>el glosario y las fuentes;</w:t>
      </w:r>
    </w:p>
    <w:p>
      <w:pPr>
        <w:pStyle w:val="ListBullet2"/>
      </w:pPr>
      <w:r>
        <w:t>la balanza equilibrada: el método con que se mide hacia dónde apunta cada cosa, con lo que las tradiciones guardaron como centro.</w:t>
      </w:r>
    </w:p>
    <w:p>
      <w:pPr>
        <w:pStyle w:val="ListBullet"/>
      </w:pPr>
      <w:r>
        <w:rPr>
          <w:b/>
        </w:rPr>
        <w:t>El mapa del árbol:</w:t>
      </w:r>
      <w:r>
        <w:t xml:space="preserve"> la segunda puerta de entrada: la obra dibujada como un solo árbol, con la raíz (lo que se recibe y converge), el tronco, las ramas y los frutos, las tres columnas como dial y lo creado como capa; cada círculo lleva su apartado, su fuente y su nivel. Se abre desde el índice general.</w:t>
      </w:r>
    </w:p>
    <w:p>
      <w:r>
        <w:t>[índice aprobado en la F2; 00.0-8 (mapa de la auditoría del Pórtico), rehecho; el mapa del árbol, M6, 9-oct-2026]</w:t>
      </w:r>
    </w:p>
    <w:p>
      <w:pPr>
        <w:pStyle w:val="Heading2"/>
      </w:pPr>
      <w:r>
        <w:t>Dónde se oye la defensa del Estado</w:t>
      </w:r>
    </w:p>
    <w:p>
      <w:r>
        <w:t xml:space="preserve">La defensa del Estado frente a este capítulo («la obra no es neutral: la vara la pone el autor»), y lo que la obra le responde, se oyen en el juicio: </w:t>
      </w:r>
      <w:r>
        <w:t>11.2</w:t>
      </w:r>
      <w:r>
        <w:t>, las cuestiones previas.</w:t>
      </w:r>
    </w:p>
    <w:p>
      <w:r>
        <w:t>[glosario 8.13; el texto pasa a «11 material - cuestiones previas»]</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0 Propósito, y cómo se lee esta obra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 Propósito, y cómo se lee esta obra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