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spacing w:after="40"/>
      </w:pPr>
      <w:r>
        <w:rPr>
          <w:rFonts w:ascii="Segoe UI" w:hAnsi="Segoe UI" w:eastAsia="Segoe UI" w:cs="Segoe UI"/>
          <w:b/>
          <w:color w:val="6B665E"/>
          <w:sz w:val="19"/>
        </w:rPr>
        <w:t>La obra entera: completo</w:t>
      </w:r>
    </w:p>
    <w:p>
      <w:pPr>
        <w:pStyle w:val="Heading1"/>
      </w:pPr>
      <w:r>
        <w:t>Anexo J. La balanza equilibrada: lo que habría sido de ajustarse a lo recibido</w:t>
      </w:r>
    </w:p>
    <w:p>
      <w:pPr>
        <w:spacing w:after="200"/>
      </w:pPr>
      <w:r>
        <w:rPr>
          <w:rFonts w:ascii="Segoe UI" w:hAnsi="Segoe UI" w:eastAsia="Segoe UI" w:cs="Segoe UI"/>
          <w:color w:val="6B665E"/>
          <w:sz w:val="17"/>
        </w:rPr>
        <w:t>Primera versión: 9 de octubre de 2026 · Última revisión: 12 de octubre de 2026 · Cambios anotados en el capítulo: 8 · Citas leídas en su fuente: 28</w:t>
      </w:r>
    </w:p>
    <w:p>
      <w:pPr>
        <w:keepNext/>
      </w:pPr>
      <w:r>
        <w:rPr>
          <w:rFonts w:ascii="Segoe UI" w:hAnsi="Segoe UI" w:eastAsia="Segoe UI" w:cs="Segoe UI"/>
          <w:b/>
          <w:color w:val="6B665E"/>
          <w:sz w:val="20"/>
        </w:rPr>
        <w:t>Notas de trabajo (estado y trazabilidad)</w:t>
      </w:r>
    </w:p>
    <w:p>
      <w:r>
        <w:t>Cambio del 12-oct-2026, el cierre, dentro del paso 3 (B13: Kiko, chat de 08.18, 06:3x, «si» a la forma «sin contacto documentado entre sí»; orden de 08.29, filas 709 y 710 de 08/01, tras la auditoría de 10.36): la frase en este capítulo con la forma de antes pasa a decir «sin contacto documentado» (07/herramientas/aplicar_contacto_documentado.py). Ninguna otra palabra cambia. Cambio del 12-oct-2026, los flecos del cierre (Kiko, chat de 08.28, 19:4x, a «¿sí a los seis flecos tal cual? Recomendación: sí a los seis», tal cual: «SI»; orden firme de 08.28): en J.3, «En Persia se elige un polo», la traducción del Yasna 30:3 se daba como de L. H. Mills y es la de avesta.org, palabra por palabra, la misma de 4.2: dice «de avesta.org». Quién es su traductor (avesta.org la da como de Bartholomae, por Taraporewala, «basada casi por entero en Moulton»), a 06/05 FLECOS. Ninguna otra palabra cambia. Cambio del 12-oct-2026 (Kiko: el piloto de J.6 sin números, fila 542 de 08/01, 13:4x; los cinco centros, chat de 08.26, 17:2x, tal cual: «A mí me parece que valen perfectamente. Son lógicos coherentes con todo lo que hemos tratado hasta la fecha y son las conclusiones que, a las cuales hemos llegado.»; y el texto, chat de 08.27, 18:3x, tal cual: «SI CONCUERDO»; ADELANTE de 08.27; borrador B21, construido por programa): al final de J.6, sin renumerar, el bloque «El piloto, hecho sin números»: la entrada, con el matiz de Kiko (el centro es el bien, Gn 1:10; el mal, errar ese blanco, 3.2 y F.8); las flechas de las cinco palabras; en el nivel completo, la tabla de los cinco diales, letra a letra la de los centros aprobados, y lo que sostiene cada flecha, solo con lo que la obra ya tiene y su remisión, sin dato ni número nuevos, con dos dimensiones sin flecha y su motivo; y la conclusión de dato, los dos vicios a la vez. Sin «Lectura del autor». La tabla de J.8, sin tocar. Sin palabra nueva. Ninguna otra palabra cambia. Cambio del 12-oct-2026 (Kiko, chat de 08.25, pasado por 08.25 tal cual a «¿entra el B18 así en J.1, con «Tres cosas que esta imagen no dice» y J.8 remitiendo a J.1?»: «SI»; fila 590 de 08/01; parlamento de la balanza, 08/22, 12.4; borrador B18, verificado por 08.25, fila 586): en J.0, la línea de J.1 añade «y el camino de vuelta»; en J.1, una frase al final de «La idea»; detrás de los siete gestos y su línea de fuente, el bloque «El camino de vuelta», en lista y fuera del nivel completo: siete tramos, uno por gesto, cada uno en cuatro pasos (la rama seca, la pesa, lo recibido y la puerta de la ley), con su línea de fuente; «Dos cosas que esta imagen no dice» pasa a «Tres cosas», con la tercera al final del párrafo (no sitúa a nadie, 10.9); y en J.8, una línea detrás de la tabla que remite a J.1. Sin dato ni cita nuevos. Ninguna otra palabra cambia. Cambio del 12-oct-2026 (Kiko, chat de 08.21, 11:0x, pasado por 08.21 tal cual, a «¿Entran así la pesa en 0.5 y la tabla de J.8?»: «si concuerdo»; la pesa calibrada, a las 10:5x: «concuerdo» y «si concuerdo»; parlamento de la balanza, 08/22, apartados 10 y 11): en J.0, una línea más en la lista (la de J.7 acaba ahora en punto y coma); un apartado nuevo, J.8 «La balanza, pesa a pesa», detrás de J.7 y antes de «Límite honesto de la prueba» (la idea con la pesa, la lectura de cómo se lee la tabla y una tabla de diecisiete filas y cuatro columnas, sin número y sin bloque de nivel completo: lo que expone el libro, hacia dónde se aparta la aguja, el fruto que lo muestra y lo que pesa en el otro plato; cada dato, el de su apartado); y un punto al final de «Para recordar» (borrador B17; siete celdas alineadas al aplicar con las palabras de su apartado, 08/22, 11.5). Sin dato ni cita nueva. Ninguna otra palabra cambia. Cambio del 12-oct-2026 (B13, punto 7 en otra forma; decisión de 08.18 sobre la frase que Kiko aprobó en el chat de 08.18, 06:3x: «si»; la vio 10.29): en J.1, «converge en tradiciones que no se leyeron entre sí» pasa a «sin contacto documentado entre sí». Ninguna otra palabra cambia. Cambio del 9-oct-2026 (Kiko: «Sí, ponlo en J.3»; fila 31 de 04p, los polos que faltaban en los diales): en J.3, el defecto de P7 (absolver al culpable, Pr 17:15) y el de P8 (no ejecutar la sentencia a tiempo, Ecl 8:11) con su texto de la Reina-Valera 1909; P3 y P5 siguen sin texto como vicio de quien manda, y la frase de debajo de la tabla dice por qué (seis diales con los dos vicios y dos con uno); la viñeta «Faltan polos» de «Límite honesto» pasa de cuatro principios a dos. Cambio del 9-oct-2026 (Kiko: «Sí a las tres, aplícalo y sigue con A10»; fila A7 de 03b, la obra como espejo del Estado y lo global y lo particular): al final de J.5, antes de J.6, un bloque nuevo como lectura del autor: lo global y lo particular (primero el centro, después el caso con sus variables), con las imágenes de la fuente y los animales y del árbol y sus ramas (palabras de Kiko del 6-oct) y la respuesta de plantilla (10.4). «La idea» de J.5 no cambia. ESTADO: APROBADO por Kiko el 9-oct-2026 («Sí a todo el B3 y el B4, aplícalos» en el chat de la ventana que acompaña, y «SÍ A TODO, LO PARLAMENTADO EN ESTE CONSENSO» en el de la que trabaja); borrador B4, escrito por la ventana que acompaña y aplicado por la que trabaja. Cualquier cambio posterior, con su aprobación. Sale de 04p (filas 19 a 24), 04o (1 a 6), 04g (1, 2 y 5), 04h (3.3), 04m (E) y la libreta 78. Trazabilidad: al final de cada párrafo, entre corchetes. Citas: Ezequiel 34, Mateo 7 y 20 en la Reina-Valera 1909 (10 FUENTES LEIDAS/biblia_rv1909); Daodejing 38 en Legge (10 FUENTES LEIDAS/cierre_B3_B4_9oct/taoismo_legge_sacredtexts); Proverbios 11:1, Levítico 19:36 y Aristóteles, ya en el capítulo 3 y en el anexo del 4.3. Conceptos que ancla: la semilla que se recibe y la que se siembra; el árbol recto y el torcido; los siete gestos; el centro; el dial; la ficha; la evaluación por los frutos; las tres capas; el piloto. Marcas: {fuente: …} niveles 2 y 3; {original: …} nivel 3; [trazabilidad] nivel 3; {completo} solo nivel 3; {breve} solo niveles 1 y 2. Añadido el 9-oct-2026 (Kiko: «la doble polaridad, por coherencia, en el dial» y «Sí a B7 y B8, aplícalos»; borrador B8 de la carpeta 07): en J.3, el bloque «¿Solo Aristóteles?» con la doble polaridad en seis tradiciones (30 pasajes leídos en 11), sus cinco matices («coinciden», no «convergen») y una viñeta del «Límite honesto de la prueba».</w:t>
      </w:r>
    </w:p>
    <w:p>
      <w:pPr>
        <w:pBdr>
          <w:left w:val="single" w:sz="24" w:space="6" w:color="E2DED6"/>
        </w:pBdr>
        <w:shd w:val="clear" w:color="auto" w:fill="F1EEE8"/>
        <w:spacing w:before="80" w:after="160"/>
        <w:ind w:left="142" w:right="142"/>
      </w:pPr>
      <w:r>
        <w:rPr>
          <w:b/>
        </w:rPr>
        <w:t>En pocas palabras:</w:t>
      </w:r>
    </w:p>
    <w:p>
      <w:pPr>
        <w:pStyle w:val="ListBullet"/>
      </w:pPr>
      <w:r>
        <w:t>Este anexo no añade datos: explica el método con que la obra mide hacia dónde apunta cada cosa, y lo deja escrito para que cualquiera lo aplique.</w:t>
      </w:r>
    </w:p>
    <w:p>
      <w:pPr>
        <w:pStyle w:val="ListBullet"/>
      </w:pPr>
      <w:r>
        <w:t>Hay dos semillas: la que se recibe (la ley de Dios y la natural) y la que se siembra (la costumbre y la ley escrita). El árbol se tuerce cuando la segunda se corta de la primera o se pone por encima.</w:t>
      </w:r>
    </w:p>
    <w:p>
      <w:pPr>
        <w:pStyle w:val="ListBullet"/>
      </w:pPr>
      <w:r>
        <w:t>El dial mide una conducta entre dos vicios, uno por defecto y otro por exceso, con la virtud en el centro. El centro no lo pone quien mide: lo ponen las dos leyes de arriba, y se escribe antes de mirar los datos.</w:t>
      </w:r>
    </w:p>
    <w:p>
      <w:pPr>
        <w:pStyle w:val="ListBullet"/>
      </w:pPr>
      <w:r>
        <w:t>La balanza es para lo que se da y se recibe entre el ciudadano y el Estado; el dial, para la conducta de uno solo. La balanza equilibrada es el centro del dial.</w:t>
      </w:r>
    </w:p>
    <w:p>
      <w:pPr>
        <w:pStyle w:val="ListBullet"/>
      </w:pPr>
      <w:r>
        <w:t>Se miden normas, instituciones y situaciones, nunca personas; con números solo donde se cumplen cuatro condiciones, y con la mejor defensa del Estado al lado.</w:t>
      </w:r>
    </w:p>
    <w:p>
      <w:pPr>
        <w:pStyle w:val="Heading2"/>
      </w:pPr>
      <w:r>
        <w:t>J.0 Propósito</w:t>
      </w:r>
    </w:p>
    <w:p>
      <w:pPr>
        <w:pBdr>
          <w:left w:val="single" w:sz="24" w:space="6" w:color="E2DED6"/>
        </w:pBdr>
        <w:shd w:val="clear" w:color="auto" w:fill="F1EEE8"/>
        <w:spacing w:before="80" w:after="160"/>
        <w:ind w:left="142" w:right="142"/>
      </w:pPr>
      <w:r>
        <w:rPr>
          <w:b/>
        </w:rPr>
        <w:t>La idea: el dial no es un método nuevo. Es el segundo paso de la vara, los frutos, hecho visible: a la posición se le añade la dirección.</w:t>
      </w:r>
    </w:p>
    <w:p>
      <w:r>
        <w:t>La obra mide en dos pasos: primero, si los hechos son ciertos, con su fuente; después, sus frutos (</w:t>
      </w:r>
      <w:r>
        <w:t>0.5</w:t>
      </w:r>
      <w:r>
        <w:t>). La auditoría dice de cada artículo si se cumple o no (</w:t>
      </w:r>
      <w:r>
        <w:t>7.1</w:t>
      </w:r>
      <w:r>
        <w:t>), y los frutos se miden con datos (</w:t>
      </w:r>
      <w:r>
        <w:t>8</w:t>
      </w:r>
      <w:r>
        <w:t xml:space="preserve">). Este anexo añade a ese segundo paso dos cosas que ya estaban en los capítulos y no tenían nombre: </w:t>
      </w:r>
      <w:r>
        <w:rPr>
          <w:b/>
        </w:rPr>
        <w:t>la posición</w:t>
      </w:r>
      <w:r>
        <w:t xml:space="preserve"> (si algo se queda corto o se pasa) y </w:t>
      </w:r>
      <w:r>
        <w:rPr>
          <w:b/>
        </w:rPr>
        <w:t>la dirección</w:t>
      </w:r>
      <w:r>
        <w:t xml:space="preserve"> (si se acerca al centro o se aleja). No sustituye al «cumple o incumple»: lo lee desde arriba. A esa mirada la obra la llama </w:t>
      </w:r>
      <w:r>
        <w:rPr>
          <w:b/>
        </w:rPr>
        <w:t>la vista superior</w:t>
      </w:r>
      <w:r>
        <w:t>: mirar desde las leyes superiores, la ley de Dios y la natural, que son las únicas que pueden poner el centro (</w:t>
      </w:r>
      <w:r>
        <w:t>1.9</w:t>
      </w:r>
      <w:r>
        <w:t xml:space="preserve">). </w:t>
      </w:r>
      <w:r>
        <w:t>[04o, puntos 1 y 3; 04p, apartado 4; glosario 5.6]</w:t>
      </w:r>
    </w:p>
    <w:p>
      <w:r>
        <w:rPr>
          <w:b/>
        </w:rPr>
        <w:t>Por qué va en un anexo.</w:t>
      </w:r>
      <w:r>
        <w:t xml:space="preserve"> Porque es método, no dato, y porque el lector ya ha visto todo lo que mide: el Arca (</w:t>
      </w:r>
      <w:r>
        <w:t>3</w:t>
      </w:r>
      <w:r>
        <w:t>), la virtud entre dos vicios (anexo del 4.3), la auditoría (</w:t>
      </w:r>
      <w:r>
        <w:t>7</w:t>
      </w:r>
      <w:r>
        <w:t>) y los frutos (</w:t>
      </w:r>
      <w:r>
        <w:t>8</w:t>
      </w:r>
      <w:r>
        <w:t xml:space="preserve">). Aquí se junta y se ordena. Lo que mide se llama </w:t>
      </w:r>
      <w:r>
        <w:rPr>
          <w:b/>
        </w:rPr>
        <w:t>evaluación por los frutos</w:t>
      </w:r>
      <w:r>
        <w:t>, y se aplica a cosas, nunca a personas (</w:t>
      </w:r>
      <w:r>
        <w:t>0.2</w:t>
      </w:r>
      <w:r>
        <w:t xml:space="preserve">): cada persona, si quiere, se la aplica a sí misma. </w:t>
      </w:r>
      <w:r>
        <w:t>[04c, apartado 4; glosario 5.6]</w:t>
      </w:r>
    </w:p>
    <w:p>
      <w:r>
        <w:t>Este anexo dice:</w:t>
      </w:r>
    </w:p>
    <w:p>
      <w:pPr>
        <w:pStyle w:val="ListBullet"/>
      </w:pPr>
      <w:r>
        <w:rPr>
          <w:b/>
        </w:rPr>
        <w:t>J.1</w:t>
      </w:r>
      <w:r>
        <w:t xml:space="preserve"> las dos semillas y los dos árboles, dónde se tuerce un árbol y el camino de vuelta;</w:t>
      </w:r>
    </w:p>
    <w:p>
      <w:pPr>
        <w:pStyle w:val="ListBullet"/>
      </w:pPr>
      <w:r>
        <w:rPr>
          <w:b/>
        </w:rPr>
        <w:t>J.2</w:t>
      </w:r>
      <w:r>
        <w:t xml:space="preserve"> quién pone el centro, y cómo se escribe antes de medir;</w:t>
      </w:r>
    </w:p>
    <w:p>
      <w:pPr>
        <w:pStyle w:val="ListBullet"/>
      </w:pPr>
      <w:r>
        <w:rPr>
          <w:b/>
        </w:rPr>
        <w:t>J.3</w:t>
      </w:r>
      <w:r>
        <w:t xml:space="preserve"> el dial, con el dial maestro «servir» y los nueve principios del Arca como diales;</w:t>
      </w:r>
    </w:p>
    <w:p>
      <w:pPr>
        <w:pStyle w:val="ListBullet"/>
      </w:pPr>
      <w:r>
        <w:rPr>
          <w:b/>
        </w:rPr>
        <w:t>J.4</w:t>
      </w:r>
      <w:r>
        <w:t xml:space="preserve"> cuándo se usa la balanza y cuándo el dial;</w:t>
      </w:r>
    </w:p>
    <w:p>
      <w:pPr>
        <w:pStyle w:val="ListBullet"/>
      </w:pPr>
      <w:r>
        <w:rPr>
          <w:b/>
        </w:rPr>
        <w:t>J.5</w:t>
      </w:r>
      <w:r>
        <w:t xml:space="preserve"> las tres capas de la medida y la ficha;</w:t>
      </w:r>
    </w:p>
    <w:p>
      <w:pPr>
        <w:pStyle w:val="ListBullet"/>
      </w:pPr>
      <w:r>
        <w:rPr>
          <w:b/>
        </w:rPr>
        <w:t>J.6</w:t>
      </w:r>
      <w:r>
        <w:t xml:space="preserve"> el piloto;</w:t>
      </w:r>
    </w:p>
    <w:p>
      <w:pPr>
        <w:pStyle w:val="ListBullet"/>
      </w:pPr>
      <w:r>
        <w:rPr>
          <w:b/>
        </w:rPr>
        <w:t>J.7</w:t>
      </w:r>
      <w:r>
        <w:t xml:space="preserve"> lo que el dial no mide;</w:t>
      </w:r>
    </w:p>
    <w:p>
      <w:pPr>
        <w:pStyle w:val="ListBullet"/>
      </w:pPr>
      <w:r>
        <w:rPr>
          <w:b/>
        </w:rPr>
        <w:t>J.8</w:t>
      </w:r>
      <w:r>
        <w:t xml:space="preserve"> y la balanza, pesa a pesa: lo que expone el libro, pesado con la misma pesa.</w:t>
      </w:r>
    </w:p>
    <w:p>
      <w:pPr>
        <w:pStyle w:val="Heading2"/>
      </w:pPr>
      <w:r>
        <w:t>J.1 Las dos semillas y los dos árboles</w:t>
      </w:r>
    </w:p>
    <w:p>
      <w:pPr>
        <w:pBdr>
          <w:left w:val="single" w:sz="24" w:space="6" w:color="E2DED6"/>
        </w:pBdr>
        <w:shd w:val="clear" w:color="auto" w:fill="F1EEE8"/>
        <w:spacing w:before="80" w:after="160"/>
        <w:ind w:left="142" w:right="142"/>
      </w:pPr>
      <w:r>
        <w:rPr>
          <w:b/>
        </w:rPr>
        <w:t>La idea: las dos semillas no son el bien y el mal, sino lo que se recibe y lo que se siembra. El árbol se tuerce cuando lo sembrado se corta de lo recibido o se pone por encima. De cada gesto que lo tuerce hay un camino de vuelta a lo recibido, y lo anda cada uno.</w:t>
      </w:r>
    </w:p>
    <w:p>
      <w:r>
        <w:rPr>
          <w:b/>
        </w:rPr>
        <w:t>Las dos semillas.</w:t>
      </w:r>
      <w:r>
        <w:t xml:space="preserve"> La </w:t>
      </w:r>
      <w:r>
        <w:rPr>
          <w:b/>
        </w:rPr>
        <w:t>semilla que se recibe</w:t>
      </w:r>
      <w:r>
        <w:t xml:space="preserve"> es la ley de Dios y la ley natural: no la puso ningún autor humano con interés, y se reconoce porque converge en tradiciones sin contacto documentado entre sí (</w:t>
      </w:r>
      <w:r>
        <w:t>0.5</w:t>
      </w:r>
      <w:r>
        <w:t>). Es la autoridad original (</w:t>
      </w:r>
      <w:r>
        <w:t>1.9</w:t>
      </w:r>
      <w:r>
        <w:t xml:space="preserve">). La </w:t>
      </w:r>
      <w:r>
        <w:rPr>
          <w:b/>
        </w:rPr>
        <w:t>semilla que se siembra</w:t>
      </w:r>
      <w:r>
        <w:t xml:space="preserve"> es la costumbre y la ley escrita: la ponen las personas a partir de los hechos, de la necesidad y del acuerdo. Es la autoridad derivada (</w:t>
      </w:r>
      <w:r>
        <w:t>1.9</w:t>
      </w:r>
      <w:r>
        <w:t xml:space="preserve">), y vale tanto como su unión con la primera. Las dos hacen falta: sin la segunda no hay comunidad que se gobierne; sin la primera, la segunda no tiene de dónde recibir su título. </w:t>
      </w:r>
      <w:r>
        <w:t>[04g, 1.1 y 1.2; glosario 5.7]</w:t>
      </w:r>
    </w:p>
    <w:p>
      <w:r>
        <w:rPr>
          <w:b/>
        </w:rPr>
        <w:t>Los dos árboles.</w:t>
      </w:r>
      <w:r>
        <w:t xml:space="preserve"> No nacen de semillas distintas: nacen de </w:t>
      </w:r>
      <w:r>
        <w:rPr>
          <w:b/>
        </w:rPr>
        <w:t>a qué se une lo sembrado.</w:t>
      </w:r>
      <w:r>
        <w:t xml:space="preserve"> El </w:t>
      </w:r>
      <w:r>
        <w:rPr>
          <w:b/>
        </w:rPr>
        <w:t>árbol recto</w:t>
      </w:r>
      <w:r>
        <w:t xml:space="preserve"> crece de lo recibido, y la costumbre y la ley escrita entran en él como ramas, que valen porque están unidas al tronco. El </w:t>
      </w:r>
      <w:r>
        <w:rPr>
          <w:b/>
        </w:rPr>
        <w:t>árbol torcido</w:t>
      </w:r>
      <w:r>
        <w:t xml:space="preserve"> crece de lo sembrado solo: en el lugar de lo recibido pone una </w:t>
      </w:r>
      <w:r>
        <w:rPr>
          <w:b/>
        </w:rPr>
        <w:t>presunción</w:t>
      </w:r>
      <w:r>
        <w:t>, algo dado por cierto sin prueba (</w:t>
      </w:r>
      <w:r>
        <w:t>0.4</w:t>
      </w:r>
      <w:r>
        <w:t>), y todo lo que se construye encima hereda esa raíz. Las dos cosas se comprueban distinto: la raíz recta, por convergencia; la raíz torcida, buscando el documento que la sostiene, y si no lo hay, es presunción (</w:t>
      </w:r>
      <w:r>
        <w:t>capítulo 5</w:t>
      </w:r>
      <w:r>
        <w:t xml:space="preserve">). </w:t>
      </w:r>
      <w:r>
        <w:t>[04g, 2.1 y 2.2]</w:t>
      </w:r>
    </w:p>
    <w:p>
      <w:r>
        <w:rPr>
          <w:b/>
        </w:rPr>
        <w:t>Las cuatro partes, y dónde están en este libro.</w:t>
      </w:r>
      <w:r>
        <w:t xml:space="preserve"> La raíz: el Arca (</w:t>
      </w:r>
      <w:r>
        <w:t>3</w:t>
      </w:r>
      <w:r>
        <w:t>), o una presunción en su lugar (</w:t>
      </w:r>
      <w:r>
        <w:t>5</w:t>
      </w:r>
      <w:r>
        <w:t>). El tronco: el orden de las leyes y la persona (1, 2 y 4), o cómo se construyó el Estado (</w:t>
      </w:r>
      <w:r>
        <w:t>6</w:t>
      </w:r>
      <w:r>
        <w:t xml:space="preserve">). Las ramas: los artículos que se cumplen y los que no (7 y </w:t>
      </w:r>
      <w:r>
        <w:t>anexo A</w:t>
      </w:r>
      <w:r>
        <w:t>). El follaje y los frutos: lo que se vive y lo que da (8 y 10).</w:t>
      </w:r>
    </w:p>
    <w:tbl>
      <w:tblPr>
        <w:tblStyle w:val="TableGrid"/>
        <w:tblW w:type="auto" w:w="0"/>
        <w:tblLayout w:type="autofit"/>
        <w:tblBorders>
          <w:top w:val="single" w:sz="4" w:space="0" w:color="E2DED6"/>
          <w:left w:val="single" w:sz="4" w:space="0" w:color="E2DED6"/>
          <w:bottom w:val="single" w:sz="4" w:space="0" w:color="E2DED6"/>
          <w:right w:val="single" w:sz="4" w:space="0" w:color="E2DED6"/>
          <w:insideH w:val="single" w:sz="4" w:space="0" w:color="E2DED6"/>
          <w:insideV w:val="single" w:sz="4" w:space="0" w:color="E2DED6"/>
        </w:tblBorders>
        <w:tblLook w:firstColumn="1" w:firstRow="1" w:lastColumn="0" w:lastRow="0" w:noHBand="0" w:noVBand="1" w:val="04A0"/>
      </w:tblPr>
      <w:tblGrid>
        <w:gridCol w:w="2296"/>
        <w:gridCol w:w="2296"/>
        <w:gridCol w:w="2296"/>
        <w:gridCol w:w="2296"/>
      </w:tblGrid>
      <w:tr>
        <w:tc>
          <w:tcPr>
            <w:tcW w:type="dxa" w:w="2296"/>
            <w:shd w:val="clear" w:color="auto" w:fill="F1EEE8"/>
          </w:tcPr>
          <w:p>
            <w:pPr>
              <w:spacing w:after="20" w:line="264" w:lineRule="auto"/>
            </w:pPr>
            <w:r>
              <w:rPr>
                <w:b/>
              </w:rPr>
            </w:r>
          </w:p>
        </w:tc>
        <w:tc>
          <w:tcPr>
            <w:tcW w:type="dxa" w:w="2296"/>
            <w:shd w:val="clear" w:color="auto" w:fill="F1EEE8"/>
          </w:tcPr>
          <w:p>
            <w:pPr>
              <w:spacing w:after="20" w:line="264" w:lineRule="auto"/>
            </w:pPr>
            <w:r>
              <w:rPr>
                <w:b/>
              </w:rPr>
            </w:r>
            <w:r>
              <w:rPr>
                <w:rFonts w:ascii="Segoe UI" w:hAnsi="Segoe UI" w:eastAsia="Segoe UI" w:cs="Segoe UI"/>
                <w:b/>
                <w:color w:val="1F1D1A"/>
                <w:sz w:val="18"/>
              </w:rPr>
              <w:t>El árbol recto</w:t>
            </w:r>
          </w:p>
        </w:tc>
        <w:tc>
          <w:tcPr>
            <w:tcW w:type="dxa" w:w="2296"/>
            <w:shd w:val="clear" w:color="auto" w:fill="F1EEE8"/>
          </w:tcPr>
          <w:p>
            <w:pPr>
              <w:spacing w:after="20" w:line="264" w:lineRule="auto"/>
            </w:pPr>
            <w:r>
              <w:rPr>
                <w:b/>
              </w:rPr>
            </w:r>
            <w:r>
              <w:rPr>
                <w:rFonts w:ascii="Segoe UI" w:hAnsi="Segoe UI" w:eastAsia="Segoe UI" w:cs="Segoe UI"/>
                <w:b/>
                <w:color w:val="1F1D1A"/>
                <w:sz w:val="18"/>
              </w:rPr>
              <w:t>El árbol torcido</w:t>
            </w:r>
          </w:p>
        </w:tc>
        <w:tc>
          <w:tcPr>
            <w:tcW w:type="dxa" w:w="2296"/>
            <w:shd w:val="clear" w:color="auto" w:fill="F1EEE8"/>
          </w:tcPr>
          <w:p>
            <w:pPr>
              <w:spacing w:after="20" w:line="264" w:lineRule="auto"/>
            </w:pPr>
            <w:r>
              <w:rPr>
                <w:b/>
              </w:rPr>
            </w:r>
            <w:r>
              <w:rPr>
                <w:rFonts w:ascii="Segoe UI" w:hAnsi="Segoe UI" w:eastAsia="Segoe UI" w:cs="Segoe UI"/>
                <w:b/>
                <w:color w:val="1F1D1A"/>
                <w:sz w:val="18"/>
              </w:rPr>
              <w:t>Cómo se comprueba</w:t>
            </w:r>
          </w:p>
        </w:tc>
      </w:tr>
      <w:tr>
        <w:tc>
          <w:tcPr>
            <w:tcW w:type="dxa" w:w="2296"/>
          </w:tcPr>
          <w:p>
            <w:pPr>
              <w:spacing w:after="20" w:line="264" w:lineRule="auto"/>
            </w:pPr>
            <w:r/>
            <w:r>
              <w:rPr>
                <w:rFonts w:ascii="Segoe UI" w:hAnsi="Segoe UI" w:eastAsia="Segoe UI" w:cs="Segoe UI"/>
                <w:b/>
                <w:color w:val="1F1D1A"/>
                <w:sz w:val="18"/>
              </w:rPr>
              <w:t>La raíz</w:t>
            </w:r>
          </w:p>
        </w:tc>
        <w:tc>
          <w:tcPr>
            <w:tcW w:type="dxa" w:w="2296"/>
          </w:tcPr>
          <w:p>
            <w:pPr>
              <w:spacing w:after="20" w:line="264" w:lineRule="auto"/>
            </w:pPr>
            <w:r/>
            <w:r>
              <w:rPr>
                <w:rFonts w:ascii="Segoe UI" w:hAnsi="Segoe UI" w:eastAsia="Segoe UI" w:cs="Segoe UI"/>
                <w:color w:val="1F1D1A"/>
                <w:sz w:val="18"/>
              </w:rPr>
              <w:t>La ley de Dios y la ley natural: el Arca (</w:t>
            </w:r>
            <w:r>
              <w:rPr>
                <w:rFonts w:ascii="Segoe UI" w:hAnsi="Segoe UI" w:eastAsia="Segoe UI" w:cs="Segoe UI"/>
                <w:color w:val="1F1D1A"/>
                <w:sz w:val="18"/>
              </w:rPr>
              <w:t>3</w:t>
            </w:r>
            <w:r>
              <w:rPr>
                <w:rFonts w:ascii="Segoe UI" w:hAnsi="Segoe UI" w:eastAsia="Segoe UI" w:cs="Segoe UI"/>
                <w:color w:val="1F1D1A"/>
                <w:sz w:val="18"/>
              </w:rPr>
              <w:t>)</w:t>
            </w:r>
          </w:p>
        </w:tc>
        <w:tc>
          <w:tcPr>
            <w:tcW w:type="dxa" w:w="2296"/>
          </w:tcPr>
          <w:p>
            <w:pPr>
              <w:spacing w:after="20" w:line="264" w:lineRule="auto"/>
            </w:pPr>
            <w:r/>
            <w:r>
              <w:rPr>
                <w:rFonts w:ascii="Segoe UI" w:hAnsi="Segoe UI" w:eastAsia="Segoe UI" w:cs="Segoe UI"/>
                <w:color w:val="1F1D1A"/>
                <w:sz w:val="18"/>
              </w:rPr>
              <w:t>Una presunción en el lugar de lo recibido (</w:t>
            </w:r>
            <w:r>
              <w:rPr>
                <w:rFonts w:ascii="Segoe UI" w:hAnsi="Segoe UI" w:eastAsia="Segoe UI" w:cs="Segoe UI"/>
                <w:color w:val="1F1D1A"/>
                <w:sz w:val="18"/>
              </w:rPr>
              <w:t>5</w:t>
            </w:r>
            <w:r>
              <w:rPr>
                <w:rFonts w:ascii="Segoe UI" w:hAnsi="Segoe UI" w:eastAsia="Segoe UI" w:cs="Segoe UI"/>
                <w:color w:val="1F1D1A"/>
                <w:sz w:val="18"/>
              </w:rPr>
              <w:t>)</w:t>
            </w:r>
          </w:p>
        </w:tc>
        <w:tc>
          <w:tcPr>
            <w:tcW w:type="dxa" w:w="2296"/>
          </w:tcPr>
          <w:p>
            <w:pPr>
              <w:spacing w:after="20" w:line="264" w:lineRule="auto"/>
            </w:pPr>
            <w:r/>
            <w:r>
              <w:rPr>
                <w:rFonts w:ascii="Segoe UI" w:hAnsi="Segoe UI" w:eastAsia="Segoe UI" w:cs="Segoe UI"/>
                <w:color w:val="1F1D1A"/>
                <w:sz w:val="18"/>
              </w:rPr>
              <w:t>Convergencia (</w:t>
            </w:r>
            <w:r>
              <w:rPr>
                <w:rFonts w:ascii="Segoe UI" w:hAnsi="Segoe UI" w:eastAsia="Segoe UI" w:cs="Segoe UI"/>
                <w:color w:val="1F1D1A"/>
                <w:sz w:val="18"/>
              </w:rPr>
              <w:t>0.5</w:t>
            </w:r>
            <w:r>
              <w:rPr>
                <w:rFonts w:ascii="Segoe UI" w:hAnsi="Segoe UI" w:eastAsia="Segoe UI" w:cs="Segoe UI"/>
                <w:color w:val="1F1D1A"/>
                <w:sz w:val="18"/>
              </w:rPr>
              <w:t>); o el documento, y si no lo hay, presunción (</w:t>
            </w:r>
            <w:r>
              <w:rPr>
                <w:rFonts w:ascii="Segoe UI" w:hAnsi="Segoe UI" w:eastAsia="Segoe UI" w:cs="Segoe UI"/>
                <w:color w:val="1F1D1A"/>
                <w:sz w:val="18"/>
              </w:rPr>
              <w:t>0.4</w:t>
            </w:r>
            <w:r>
              <w:rPr>
                <w:rFonts w:ascii="Segoe UI" w:hAnsi="Segoe UI" w:eastAsia="Segoe UI" w:cs="Segoe UI"/>
                <w:color w:val="1F1D1A"/>
                <w:sz w:val="18"/>
              </w:rPr>
              <w:t>)</w:t>
            </w:r>
          </w:p>
        </w:tc>
      </w:tr>
      <w:tr>
        <w:tc>
          <w:tcPr>
            <w:tcW w:type="dxa" w:w="2296"/>
          </w:tcPr>
          <w:p>
            <w:pPr>
              <w:spacing w:after="20" w:line="264" w:lineRule="auto"/>
            </w:pPr>
            <w:r/>
            <w:r>
              <w:rPr>
                <w:rFonts w:ascii="Segoe UI" w:hAnsi="Segoe UI" w:eastAsia="Segoe UI" w:cs="Segoe UI"/>
                <w:b/>
                <w:color w:val="1F1D1A"/>
                <w:sz w:val="18"/>
              </w:rPr>
              <w:t>El tronco</w:t>
            </w:r>
          </w:p>
        </w:tc>
        <w:tc>
          <w:tcPr>
            <w:tcW w:type="dxa" w:w="2296"/>
          </w:tcPr>
          <w:p>
            <w:pPr>
              <w:spacing w:after="20" w:line="264" w:lineRule="auto"/>
            </w:pPr>
            <w:r/>
            <w:r>
              <w:rPr>
                <w:rFonts w:ascii="Segoe UI" w:hAnsi="Segoe UI" w:eastAsia="Segoe UI" w:cs="Segoe UI"/>
                <w:color w:val="1F1D1A"/>
                <w:sz w:val="18"/>
              </w:rPr>
              <w:t>El orden de las leyes y los derechos que preceden al Estado (1 y 2); discernir (</w:t>
            </w:r>
            <w:r>
              <w:rPr>
                <w:rFonts w:ascii="Segoe UI" w:hAnsi="Segoe UI" w:eastAsia="Segoe UI" w:cs="Segoe UI"/>
                <w:color w:val="1F1D1A"/>
                <w:sz w:val="18"/>
              </w:rPr>
              <w:t>4</w:t>
            </w:r>
            <w:r>
              <w:rPr>
                <w:rFonts w:ascii="Segoe UI" w:hAnsi="Segoe UI" w:eastAsia="Segoe UI" w:cs="Segoe UI"/>
                <w:color w:val="1F1D1A"/>
                <w:sz w:val="18"/>
              </w:rPr>
              <w:t>)</w:t>
            </w:r>
          </w:p>
        </w:tc>
        <w:tc>
          <w:tcPr>
            <w:tcW w:type="dxa" w:w="2296"/>
          </w:tcPr>
          <w:p>
            <w:pPr>
              <w:spacing w:after="20" w:line="264" w:lineRule="auto"/>
            </w:pPr>
            <w:r/>
            <w:r>
              <w:rPr>
                <w:rFonts w:ascii="Segoe UI" w:hAnsi="Segoe UI" w:eastAsia="Segoe UI" w:cs="Segoe UI"/>
                <w:color w:val="1F1D1A"/>
                <w:sz w:val="18"/>
              </w:rPr>
              <w:t>Cómo se construyó el Estado (</w:t>
            </w:r>
            <w:r>
              <w:rPr>
                <w:rFonts w:ascii="Segoe UI" w:hAnsi="Segoe UI" w:eastAsia="Segoe UI" w:cs="Segoe UI"/>
                <w:color w:val="1F1D1A"/>
                <w:sz w:val="18"/>
              </w:rPr>
              <w:t>6</w:t>
            </w:r>
            <w:r>
              <w:rPr>
                <w:rFonts w:ascii="Segoe UI" w:hAnsi="Segoe UI" w:eastAsia="Segoe UI" w:cs="Segoe UI"/>
                <w:color w:val="1F1D1A"/>
                <w:sz w:val="18"/>
              </w:rPr>
              <w:t>)</w:t>
            </w:r>
          </w:p>
        </w:tc>
        <w:tc>
          <w:tcPr>
            <w:tcW w:type="dxa" w:w="2296"/>
          </w:tcPr>
          <w:p>
            <w:pPr>
              <w:spacing w:after="20" w:line="264" w:lineRule="auto"/>
            </w:pPr>
            <w:r/>
            <w:r>
              <w:rPr>
                <w:rFonts w:ascii="Segoe UI" w:hAnsi="Segoe UI" w:eastAsia="Segoe UI" w:cs="Segoe UI"/>
                <w:color w:val="1F1D1A"/>
                <w:sz w:val="18"/>
              </w:rPr>
              <w:t>Por lógica: ¿sigue de la raíz?</w:t>
            </w:r>
          </w:p>
        </w:tc>
      </w:tr>
      <w:tr>
        <w:tc>
          <w:tcPr>
            <w:tcW w:type="dxa" w:w="2296"/>
          </w:tcPr>
          <w:p>
            <w:pPr>
              <w:spacing w:after="20" w:line="264" w:lineRule="auto"/>
            </w:pPr>
            <w:r/>
            <w:r>
              <w:rPr>
                <w:rFonts w:ascii="Segoe UI" w:hAnsi="Segoe UI" w:eastAsia="Segoe UI" w:cs="Segoe UI"/>
                <w:b/>
                <w:color w:val="1F1D1A"/>
                <w:sz w:val="18"/>
              </w:rPr>
              <w:t>Las ramas</w:t>
            </w:r>
          </w:p>
        </w:tc>
        <w:tc>
          <w:tcPr>
            <w:tcW w:type="dxa" w:w="2296"/>
          </w:tcPr>
          <w:p>
            <w:pPr>
              <w:spacing w:after="20" w:line="264" w:lineRule="auto"/>
            </w:pPr>
            <w:r/>
            <w:r>
              <w:rPr>
                <w:rFonts w:ascii="Segoe UI" w:hAnsi="Segoe UI" w:eastAsia="Segoe UI" w:cs="Segoe UI"/>
                <w:color w:val="1F1D1A"/>
                <w:sz w:val="18"/>
              </w:rPr>
              <w:t xml:space="preserve">La costumbre y la ley escrita unidas al tronco: los artículos que se cumplen (7, </w:t>
            </w:r>
            <w:r>
              <w:rPr>
                <w:rFonts w:ascii="Segoe UI" w:hAnsi="Segoe UI" w:eastAsia="Segoe UI" w:cs="Segoe UI"/>
                <w:color w:val="1F1D1A"/>
                <w:sz w:val="18"/>
              </w:rPr>
              <w:t>anexo A</w:t>
            </w:r>
            <w:r>
              <w:rPr>
                <w:rFonts w:ascii="Segoe UI" w:hAnsi="Segoe UI" w:eastAsia="Segoe UI" w:cs="Segoe UI"/>
                <w:color w:val="1F1D1A"/>
                <w:sz w:val="18"/>
              </w:rPr>
              <w:t>)</w:t>
            </w:r>
          </w:p>
        </w:tc>
        <w:tc>
          <w:tcPr>
            <w:tcW w:type="dxa" w:w="2296"/>
          </w:tcPr>
          <w:p>
            <w:pPr>
              <w:spacing w:after="20" w:line="264" w:lineRule="auto"/>
            </w:pPr>
            <w:r/>
            <w:r>
              <w:rPr>
                <w:rFonts w:ascii="Segoe UI" w:hAnsi="Segoe UI" w:eastAsia="Segoe UI" w:cs="Segoe UI"/>
                <w:color w:val="1F1D1A"/>
                <w:sz w:val="18"/>
              </w:rPr>
              <w:t xml:space="preserve">Los hechos del presente: los que no se cumplen (7, </w:t>
            </w:r>
            <w:r>
              <w:rPr>
                <w:rFonts w:ascii="Segoe UI" w:hAnsi="Segoe UI" w:eastAsia="Segoe UI" w:cs="Segoe UI"/>
                <w:color w:val="1F1D1A"/>
                <w:sz w:val="18"/>
              </w:rPr>
              <w:t>anexo A</w:t>
            </w:r>
            <w:r>
              <w:rPr>
                <w:rFonts w:ascii="Segoe UI" w:hAnsi="Segoe UI" w:eastAsia="Segoe UI" w:cs="Segoe UI"/>
                <w:color w:val="1F1D1A"/>
                <w:sz w:val="18"/>
              </w:rPr>
              <w:t>)</w:t>
            </w:r>
          </w:p>
        </w:tc>
        <w:tc>
          <w:tcPr>
            <w:tcW w:type="dxa" w:w="2296"/>
          </w:tcPr>
          <w:p>
            <w:pPr>
              <w:spacing w:after="20" w:line="264" w:lineRule="auto"/>
            </w:pPr>
            <w:r/>
            <w:r>
              <w:rPr>
                <w:rFonts w:ascii="Segoe UI" w:hAnsi="Segoe UI" w:eastAsia="Segoe UI" w:cs="Segoe UI"/>
                <w:color w:val="1F1D1A"/>
                <w:sz w:val="18"/>
              </w:rPr>
              <w:t>Por los frutos</w:t>
            </w:r>
          </w:p>
        </w:tc>
      </w:tr>
      <w:tr>
        <w:tc>
          <w:tcPr>
            <w:tcW w:type="dxa" w:w="2296"/>
          </w:tcPr>
          <w:p>
            <w:pPr>
              <w:spacing w:after="20" w:line="264" w:lineRule="auto"/>
            </w:pPr>
            <w:r/>
            <w:r>
              <w:rPr>
                <w:rFonts w:ascii="Segoe UI" w:hAnsi="Segoe UI" w:eastAsia="Segoe UI" w:cs="Segoe UI"/>
                <w:b/>
                <w:color w:val="1F1D1A"/>
                <w:sz w:val="18"/>
              </w:rPr>
              <w:t>El follaje y los frutos</w:t>
            </w:r>
          </w:p>
        </w:tc>
        <w:tc>
          <w:tcPr>
            <w:tcW w:type="dxa" w:w="2296"/>
          </w:tcPr>
          <w:p>
            <w:pPr>
              <w:spacing w:after="20" w:line="264" w:lineRule="auto"/>
            </w:pPr>
            <w:r/>
            <w:r>
              <w:rPr>
                <w:rFonts w:ascii="Segoe UI" w:hAnsi="Segoe UI" w:eastAsia="Segoe UI" w:cs="Segoe UI"/>
                <w:color w:val="1F1D1A"/>
                <w:sz w:val="18"/>
              </w:rPr>
              <w:t>Lo que se ve y se vive, y lo que da</w:t>
            </w:r>
          </w:p>
        </w:tc>
        <w:tc>
          <w:tcPr>
            <w:tcW w:type="dxa" w:w="2296"/>
          </w:tcPr>
          <w:p>
            <w:pPr>
              <w:spacing w:after="20" w:line="264" w:lineRule="auto"/>
            </w:pPr>
            <w:r/>
            <w:r>
              <w:rPr>
                <w:rFonts w:ascii="Segoe UI" w:hAnsi="Segoe UI" w:eastAsia="Segoe UI" w:cs="Segoe UI"/>
                <w:color w:val="1F1D1A"/>
                <w:sz w:val="18"/>
              </w:rPr>
              <w:t>Su propio follaje y sus propios frutos (</w:t>
            </w:r>
            <w:r>
              <w:rPr>
                <w:rFonts w:ascii="Segoe UI" w:hAnsi="Segoe UI" w:eastAsia="Segoe UI" w:cs="Segoe UI"/>
                <w:color w:val="1F1D1A"/>
                <w:sz w:val="18"/>
              </w:rPr>
              <w:t>8</w:t>
            </w:r>
            <w:r>
              <w:rPr>
                <w:rFonts w:ascii="Segoe UI" w:hAnsi="Segoe UI" w:eastAsia="Segoe UI" w:cs="Segoe UI"/>
                <w:color w:val="1F1D1A"/>
                <w:sz w:val="18"/>
              </w:rPr>
              <w:t>)</w:t>
            </w:r>
          </w:p>
        </w:tc>
        <w:tc>
          <w:tcPr>
            <w:tcW w:type="dxa" w:w="2296"/>
          </w:tcPr>
          <w:p>
            <w:pPr>
              <w:spacing w:after="20" w:line="264" w:lineRule="auto"/>
            </w:pPr>
            <w:r/>
            <w:r>
              <w:rPr>
                <w:rFonts w:ascii="Segoe UI" w:hAnsi="Segoe UI" w:eastAsia="Segoe UI" w:cs="Segoe UI"/>
                <w:color w:val="1F1D1A"/>
                <w:sz w:val="18"/>
              </w:rPr>
              <w:t>Los frutos se miden; el follaje se pregunta (</w:t>
            </w:r>
            <w:r>
              <w:rPr>
                <w:rFonts w:ascii="Segoe UI" w:hAnsi="Segoe UI" w:eastAsia="Segoe UI" w:cs="Segoe UI"/>
                <w:color w:val="1F1D1A"/>
                <w:sz w:val="18"/>
              </w:rPr>
              <w:t>10</w:t>
            </w:r>
            <w:r>
              <w:rPr>
                <w:rFonts w:ascii="Segoe UI" w:hAnsi="Segoe UI" w:eastAsia="Segoe UI" w:cs="Segoe UI"/>
                <w:color w:val="1F1D1A"/>
                <w:sz w:val="18"/>
              </w:rPr>
              <w:t>)</w:t>
            </w:r>
          </w:p>
        </w:tc>
      </w:tr>
    </w:tbl>
    <w:p>
      <w:pPr>
        <w:spacing w:after="80"/>
      </w:pPr>
    </w:p>
    <w:p>
      <w:r>
        <w:t>[04g, 2.2; 04h, 3.1]</w:t>
      </w:r>
    </w:p>
    <w:p>
      <w:r>
        <w:rPr>
          <w:b/>
        </w:rPr>
        <w:t>El follaje no es el fruto.</w:t>
      </w:r>
      <w:r>
        <w:t xml:space="preserve"> El Evangelio avisa de que la apariencia engaña y de que la prueba es el fruto: «guardaos de los falsos profetas, que vienen á vosotros con vestidos de ovejas, mas de dentro son lobos rapaces. Por sus frutos los conoceréis»</w:t>
      </w:r>
      <w:r>
        <w:t xml:space="preserve"> (Mt 7:15-16)</w:t>
      </w:r>
      <w:r>
        <w:t>; «todo buen árbol lleva buenos frutos; mas el árbol maleado lleva malos frutos»</w:t>
      </w:r>
      <w:r>
        <w:t xml:space="preserve"> (Mt 7:17)</w:t>
      </w:r>
      <w:r>
        <w:t>. El Daodejing dice lo mismo del hombre grande: «se queda con el fruto y no con la flor»</w:t>
      </w:r>
      <w:r>
        <w:t xml:space="preserve"> [original: «dwells with the fruit and not with the flower», en la traducción inglesa de Legge]</w:t>
      </w:r>
      <w:r>
        <w:t xml:space="preserve"> (Daodejing 38, en la traducción de James Legge, Sacred Books of the East, vol. 39)</w:t>
      </w:r>
      <w:r>
        <w:t>. Por eso los frutos se miden con datos (</w:t>
      </w:r>
      <w:r>
        <w:t>8</w:t>
      </w:r>
      <w:r>
        <w:t xml:space="preserve">) y el follaje, lo que se siente al vivir en un árbol, se pregunta y no se afirma: es la brújula, que se explica al cerrar el </w:t>
      </w:r>
      <w:r>
        <w:t>capítulo 10</w:t>
      </w:r>
      <w:r>
        <w:t xml:space="preserve">. </w:t>
      </w:r>
      <w:r>
        <w:t>[Mt 7:15-18, Reina-Valera Antigua; Daodejing 38, extracto comprobado el 8-oct; 04g, 2.2; fila 16 de 04p]</w:t>
      </w:r>
    </w:p>
    <w:p>
      <w:r>
        <w:rPr>
          <w:b/>
        </w:rPr>
        <w:t>Dónde se tuerce un árbol: siete gestos, en dos familias.</w:t>
      </w:r>
      <w:r>
        <w:t xml:space="preserve"> El conflicto no está en tener leyes, sino en cómo se convence y en qué hace quien manda con el título que consiguió así. Los textos del Génesis y los demás que se leyeron dan siete gestos (los textos, en </w:t>
      </w:r>
      <w:r>
        <w:t>1.9</w:t>
      </w:r>
      <w:r>
        <w:t xml:space="preserve">, </w:t>
      </w:r>
      <w:r>
        <w:t>4.2</w:t>
      </w:r>
      <w:r>
        <w:t xml:space="preserve"> y </w:t>
      </w:r>
      <w:r>
        <w:t>4.3</w:t>
      </w:r>
      <w:r>
        <w:t>; aquí, su lista):</w:t>
      </w:r>
    </w:p>
    <w:p>
      <w:pPr>
        <w:pStyle w:val="ListBullet"/>
      </w:pPr>
      <w:r>
        <w:rPr>
          <w:b/>
        </w:rPr>
        <w:t>Cómo se convence:</w:t>
      </w:r>
      <w:r>
        <w:t xml:space="preserve"> 1. falsear la información: citar mal la orden y negar la consecuencia sin dato (es lo que el </w:t>
      </w:r>
      <w:r>
        <w:t>capítulo 5</w:t>
      </w:r>
      <w:r>
        <w:t xml:space="preserve"> llama presunción); 2. atribuir un motivo a quien ordena, sin poder comprobarlo; 3. prometer lo que no es suyo: «seréis como dioses»</w:t>
      </w:r>
      <w:r>
        <w:t xml:space="preserve"> (Gn 3:5)</w:t>
      </w:r>
      <w:r>
        <w:t>, «Todo esto te daré»</w:t>
      </w:r>
      <w:r>
        <w:t xml:space="preserve"> (Mt 4:9)</w:t>
      </w:r>
      <w:r>
        <w:t xml:space="preserve"> (la prueba de una pregunta, </w:t>
      </w:r>
      <w:r>
        <w:t>1.9</w:t>
      </w:r>
      <w:r>
        <w:t>); 4. mover por el deseo y la apariencia, no por la comprobación.</w:t>
      </w:r>
    </w:p>
    <w:p>
      <w:pPr>
        <w:pStyle w:val="ListBullet"/>
      </w:pPr>
      <w:r>
        <w:rPr>
          <w:b/>
        </w:rPr>
        <w:t>Qué hace quien manda:</w:t>
      </w:r>
      <w:r>
        <w:t xml:space="preserve"> 5. cortarse de lo recibido; 6. ponerse por encima; 7. ser juez en su propia causa: quien legisla gana con lo que manda (</w:t>
      </w:r>
      <w:r>
        <w:t>1.7</w:t>
      </w:r>
      <w:r>
        <w:t>).</w:t>
      </w:r>
    </w:p>
    <w:p>
      <w:r>
        <w:t xml:space="preserve">Los cuatro primeros son el mecanismo por el que se consiente sin información; los tres últimos, lo que hace con el título quien lo obtuvo así. El </w:t>
      </w:r>
      <w:r>
        <w:t>capítulo 5</w:t>
      </w:r>
      <w:r>
        <w:t xml:space="preserve"> (las presunciones) y el 6 (cómo se construyó el Estado) son, en pequeño, los mismos pasos. </w:t>
      </w:r>
      <w:r>
        <w:t>[04g, 2.3; 04h, 3.2; Reina-Valera Antigua]</w:t>
      </w:r>
    </w:p>
    <w:p>
      <w:r>
        <w:rPr>
          <w:b/>
        </w:rPr>
        <w:t>El camino de vuelta.</w:t>
      </w:r>
      <w:r>
        <w:t xml:space="preserve"> Cada gesto que tuerce el árbol tiene su vuelta, y la obra ya la tiene escrita. Cada tramo va en cuatro pasos: </w:t>
      </w:r>
      <w:r>
        <w:rPr>
          <w:b/>
        </w:rPr>
        <w:t>la rama seca</w:t>
      </w:r>
      <w:r>
        <w:t xml:space="preserve">, que es el gesto y lo que los capítulos dicen que hay que podar; </w:t>
      </w:r>
      <w:r>
        <w:rPr>
          <w:b/>
        </w:rPr>
        <w:t>la pesa</w:t>
      </w:r>
      <w:r>
        <w:t xml:space="preserve"> que la mide, la misma de toda la obra: ¿roca o arena?, y, por sus frutos, ¿sirve más allá de sí, se sirve, o no cuida ni cumple? (</w:t>
      </w:r>
      <w:r>
        <w:t>0.5</w:t>
      </w:r>
      <w:r>
        <w:t xml:space="preserve">); </w:t>
      </w:r>
      <w:r>
        <w:rPr>
          <w:b/>
        </w:rPr>
        <w:t>lo recibido</w:t>
      </w:r>
      <w:r>
        <w:t xml:space="preserve"> que la sana: el Arca (</w:t>
      </w:r>
      <w:r>
        <w:t>3</w:t>
      </w:r>
      <w:r>
        <w:t>), con sus textos (F), y lo que se dio, se perdió y por dónde se vuelve (</w:t>
      </w:r>
      <w:r>
        <w:t>3.7</w:t>
      </w:r>
      <w:r>
        <w:t xml:space="preserve"> y </w:t>
      </w:r>
      <w:r>
        <w:t>F.9</w:t>
      </w:r>
      <w:r>
        <w:t xml:space="preserve">); y </w:t>
      </w:r>
      <w:r>
        <w:rPr>
          <w:b/>
        </w:rPr>
        <w:t>la puerta de la ley</w:t>
      </w:r>
      <w:r>
        <w:t xml:space="preserve"> por la que se vuelve (</w:t>
      </w:r>
      <w:r>
        <w:t>10</w:t>
      </w:r>
      <w:r>
        <w:t>). Sin la puerta, volver se oiría como salirse de la ley; con ella, se vuelve por la ley que ya existe. El camino no lo anda nadie por otro (</w:t>
      </w:r>
      <w:r>
        <w:t>3.7</w:t>
      </w:r>
      <w:r>
        <w:t>).</w:t>
      </w:r>
    </w:p>
    <w:p>
      <w:pPr>
        <w:spacing w:after="60"/>
        <w:ind w:left="510" w:hanging="397"/>
      </w:pPr>
      <w:r>
        <w:rPr>
          <w:b w:val="0"/>
        </w:rPr>
        <w:t xml:space="preserve">1. </w:t>
      </w:r>
      <w:r>
        <w:rPr>
          <w:b/>
        </w:rPr>
        <w:t>Falsear la información.</w:t>
      </w:r>
      <w:r>
        <w:t xml:space="preserve"> La rama seca: dar por cierto lo que no tiene documento, la presunción (</w:t>
      </w:r>
      <w:r>
        <w:t>0.4</w:t>
      </w:r>
      <w:r>
        <w:t xml:space="preserve">), y, en el </w:t>
      </w:r>
      <w:r>
        <w:t>capítulo 5</w:t>
      </w:r>
      <w:r>
        <w:t>, la presunción en el lugar del consentimiento. La pesa: ¿roca o arena? Lo recibido: las pesas y medidas justas (</w:t>
      </w:r>
      <w:r>
        <w:t>3.2</w:t>
      </w:r>
      <w:r>
        <w:t>, P4). La puerta: pedir por escrito la norma y la resolución que amparan lo que se exige, y que quede constancia (</w:t>
      </w:r>
      <w:r>
        <w:t>10.4</w:t>
      </w:r>
      <w:r>
        <w:t>).</w:t>
      </w:r>
    </w:p>
    <w:p>
      <w:pPr>
        <w:spacing w:after="60"/>
        <w:ind w:left="510" w:hanging="397"/>
      </w:pPr>
      <w:r>
        <w:rPr>
          <w:b w:val="0"/>
        </w:rPr>
        <w:t xml:space="preserve">2. </w:t>
      </w:r>
      <w:r>
        <w:rPr>
          <w:b/>
        </w:rPr>
        <w:t>Atribuir un motivo a quien ordena, sin poder comprobarlo.</w:t>
      </w:r>
      <w:r>
        <w:t xml:space="preserve"> La rama seca: el gesto mismo, juzgar la intención. La pesa: se pesan cosas, nunca personas ni intenciones (</w:t>
      </w:r>
      <w:r>
        <w:t>J.7</w:t>
      </w:r>
      <w:r>
        <w:t>). Lo recibido: examinar antes de castigar (</w:t>
      </w:r>
      <w:r>
        <w:t>3.2</w:t>
      </w:r>
      <w:r>
        <w:t>, P7). La puerta: la responsabilidad se establece por acto y con fuente, nunca por pertenecer a un colectivo (</w:t>
      </w:r>
      <w:r>
        <w:t>10.3</w:t>
      </w:r>
      <w:r>
        <w:t>).</w:t>
      </w:r>
    </w:p>
    <w:p>
      <w:pPr>
        <w:spacing w:after="60"/>
        <w:ind w:left="510" w:hanging="397"/>
      </w:pPr>
      <w:r>
        <w:rPr>
          <w:b w:val="0"/>
        </w:rPr>
        <w:t xml:space="preserve">3. </w:t>
      </w:r>
      <w:r>
        <w:rPr>
          <w:b/>
        </w:rPr>
        <w:t>Prometer lo que no es suyo.</w:t>
      </w:r>
      <w:r>
        <w:t xml:space="preserve"> La rama seca: el gesto mismo, prometer ser como dioses (Gn 3:5, arriba). La pesa: ¿roca o arena?, con la prueba de una pregunta (</w:t>
      </w:r>
      <w:r>
        <w:t>1.9</w:t>
      </w:r>
      <w:r>
        <w:t>). Lo recibido: devolver lo confiado (</w:t>
      </w:r>
      <w:r>
        <w:t>3.2</w:t>
      </w:r>
      <w:r>
        <w:t>, P5). La puerta: la pregunta por escrito, que deja constancia de lo que se responde y de lo que se calla (</w:t>
      </w:r>
      <w:r>
        <w:t>10.4</w:t>
      </w:r>
      <w:r>
        <w:t>).</w:t>
      </w:r>
    </w:p>
    <w:p>
      <w:pPr>
        <w:spacing w:after="60"/>
        <w:ind w:left="510" w:hanging="397"/>
      </w:pPr>
      <w:r>
        <w:rPr>
          <w:b w:val="0"/>
        </w:rPr>
        <w:t xml:space="preserve">4. </w:t>
      </w:r>
      <w:r>
        <w:rPr>
          <w:b/>
        </w:rPr>
        <w:t>Mover por el deseo y la apariencia.</w:t>
      </w:r>
      <w:r>
        <w:t xml:space="preserve"> La rama seca: lo que el </w:t>
      </w:r>
      <w:r>
        <w:t>capítulo 7</w:t>
      </w:r>
      <w:r>
        <w:t xml:space="preserve"> manda podar, dar por cumplido lo que solo está escrito, la forma que conserva el nombre y pierde la sustancia. La pesa: por sus frutos. Lo recibido: el fruto y no la flor (arriba: Mt 7:16; Daodejing 38). La puerta: el Registro de los frutos (</w:t>
      </w:r>
      <w:r>
        <w:t>10.8</w:t>
      </w:r>
      <w:r>
        <w:t>) y la brújula, que pregunta por el follaje sin darlo por prueba (</w:t>
      </w:r>
      <w:r>
        <w:t>10.9</w:t>
      </w:r>
      <w:r>
        <w:t>).</w:t>
      </w:r>
    </w:p>
    <w:p>
      <w:pPr>
        <w:spacing w:after="60"/>
        <w:ind w:left="510" w:hanging="397"/>
      </w:pPr>
      <w:r>
        <w:rPr>
          <w:b w:val="0"/>
        </w:rPr>
        <w:t xml:space="preserve">5. </w:t>
      </w:r>
      <w:r>
        <w:rPr>
          <w:b/>
        </w:rPr>
        <w:t>Cortarse de lo recibido.</w:t>
      </w:r>
      <w:r>
        <w:t xml:space="preserve"> La rama seca: lo que el </w:t>
      </w:r>
      <w:r>
        <w:t>capítulo 1</w:t>
      </w:r>
      <w:r>
        <w:t xml:space="preserve"> manda podar, el orden invertido, que pone la ley que escriben los hombres en el lugar de la ley de Dios; y lo que el </w:t>
      </w:r>
      <w:r>
        <w:t>capítulo 2</w:t>
      </w:r>
      <w:r>
        <w:t>, la creencia de que los derechos de la persona los da la ley. La pesa: ¿sirve más allá de sí? Lo recibido: volver a lo que se dio, que es el camino de vuelta que nombran diez tradiciones (</w:t>
      </w:r>
      <w:r>
        <w:t>3.7</w:t>
      </w:r>
      <w:r>
        <w:t>). La puerta: la metamorfosis, que el Estado se alinee con la ley que está por encima de la suya (</w:t>
      </w:r>
      <w:r>
        <w:t>10.2</w:t>
      </w:r>
      <w:r>
        <w:t>).</w:t>
      </w:r>
    </w:p>
    <w:p>
      <w:pPr>
        <w:spacing w:after="60"/>
        <w:ind w:left="510" w:hanging="397"/>
      </w:pPr>
      <w:r>
        <w:rPr>
          <w:b w:val="0"/>
        </w:rPr>
        <w:t xml:space="preserve">6. </w:t>
      </w:r>
      <w:r>
        <w:rPr>
          <w:b/>
        </w:rPr>
        <w:t>Ponerse por encima.</w:t>
      </w:r>
      <w:r>
        <w:t xml:space="preserve"> La rama seca: lo que el </w:t>
      </w:r>
      <w:r>
        <w:t>capítulo 6</w:t>
      </w:r>
      <w:r>
        <w:t xml:space="preserve"> manda podar, el poder que se declara el único intérprete del bien y deja de admitir corrección; y lo que el </w:t>
      </w:r>
      <w:r>
        <w:t>capítulo 9</w:t>
      </w:r>
      <w:r>
        <w:t>, la regla que aplica a cualquier empresa y no se aplica a sí mismo. La pesa: ¿sirve, o se sirve? Lo recibido: el gobernante existe para el pueblo (</w:t>
      </w:r>
      <w:r>
        <w:t>3.2</w:t>
      </w:r>
      <w:r>
        <w:t>, P1), con el hilo del Arca, servir (</w:t>
      </w:r>
      <w:r>
        <w:t>3.6</w:t>
      </w:r>
      <w:r>
        <w:t>). La puerta: un Estado que sirva al pueblo (</w:t>
      </w:r>
      <w:r>
        <w:t>10.1</w:t>
      </w:r>
      <w:r>
        <w:t>).</w:t>
      </w:r>
    </w:p>
    <w:p>
      <w:pPr>
        <w:spacing w:after="60"/>
        <w:ind w:left="510" w:hanging="397"/>
      </w:pPr>
      <w:r>
        <w:rPr>
          <w:b w:val="0"/>
        </w:rPr>
        <w:t xml:space="preserve">7. </w:t>
      </w:r>
      <w:r>
        <w:rPr>
          <w:b/>
        </w:rPr>
        <w:t>Ser juez en su propia causa.</w:t>
      </w:r>
      <w:r>
        <w:t xml:space="preserve"> La rama seca: lo que el </w:t>
      </w:r>
      <w:r>
        <w:t>capítulo 1</w:t>
      </w:r>
      <w:r>
        <w:t xml:space="preserve"> manda podar, la autoridad que se ejerce siendo juez en su propia causa: quien legisla gana con lo que manda (</w:t>
      </w:r>
      <w:r>
        <w:t>1.7</w:t>
      </w:r>
      <w:r>
        <w:t>). La pesa: vale también para quien pesa (</w:t>
      </w:r>
      <w:r>
        <w:t>0.5</w:t>
      </w:r>
      <w:r>
        <w:t>). Lo recibido: el castigo no es un negocio, y contra el soborno (</w:t>
      </w:r>
      <w:r>
        <w:t>3.2</w:t>
      </w:r>
      <w:r>
        <w:t>, P8). La puerta: el deslinde, con las dos partes presentes (</w:t>
      </w:r>
      <w:r>
        <w:t>10.7</w:t>
      </w:r>
      <w:r>
        <w:t>), y el jurado, ante el que la institución juzgada también puede recusar (</w:t>
      </w:r>
      <w:r>
        <w:t>11.1</w:t>
      </w:r>
      <w:r>
        <w:t>).</w:t>
      </w:r>
    </w:p>
    <w:p>
      <w:r>
        <w:t>[parlamento de la balanza (08/22), apartados 12.2 y 12.4; parlamento 08/23, apartado 10; borrador B18; sin dato nuevo]</w:t>
      </w:r>
    </w:p>
    <w:p>
      <w:r>
        <w:rPr>
          <w:b/>
        </w:rPr>
        <w:t>Tres cosas que esta imagen no dice.</w:t>
      </w:r>
      <w:r>
        <w:t xml:space="preserve"> No dice que el Estado sea el árbol torcido: de los 169 artículos de la Constitución, 93 se cumplen (</w:t>
      </w:r>
      <w:r>
        <w:t>7.1</w:t>
      </w:r>
      <w:r>
        <w:t>); las ramas de un mismo árbol caen de un lado o de otro, y la propia obra lo dice. Y no dice que quien tuerce lo haga con mala fe: la autoridad que nace de una necesidad real y se paga con una función la cuentan varias tradiciones (</w:t>
      </w:r>
      <w:r>
        <w:t>1.9</w:t>
      </w:r>
      <w:r>
        <w:t>), y la intención de nadie es dato de esta obra (</w:t>
      </w:r>
      <w:r>
        <w:t>0.3</w:t>
      </w:r>
      <w:r>
        <w:t>). Y no sitúa a nadie: enseña el terreno, lo recibido y las puertas, pero dónde está cada uno lo mira cada uno, y la respuesta es suya (</w:t>
      </w:r>
      <w:r>
        <w:t>10.9</w:t>
      </w:r>
      <w:r>
        <w:t xml:space="preserve">). </w:t>
      </w:r>
      <w:r>
        <w:t>[04g, 2.4; 04h, 3.1]</w:t>
      </w:r>
    </w:p>
    <w:p>
      <w:pPr>
        <w:pStyle w:val="Heading2"/>
      </w:pPr>
      <w:r>
        <w:t>J.2 El centro: quién lo pone y cómo se escribe</w:t>
      </w:r>
    </w:p>
    <w:p>
      <w:pPr>
        <w:pBdr>
          <w:left w:val="single" w:sz="24" w:space="6" w:color="E2DED6"/>
        </w:pBdr>
        <w:shd w:val="clear" w:color="auto" w:fill="F1EEE8"/>
        <w:spacing w:before="80" w:after="160"/>
        <w:ind w:left="142" w:right="142"/>
      </w:pPr>
      <w:r>
        <w:rPr>
          <w:b/>
        </w:rPr>
        <w:t>La idea: el centro no lo pone quien mide. Lo ponen la ley de Dios y la ley natural, por convergencia, y se escribe antes de mirar los datos.</w:t>
      </w:r>
    </w:p>
    <w:p>
      <w:r>
        <w:rPr>
          <w:b/>
        </w:rPr>
        <w:t>Quién lo pone.</w:t>
      </w:r>
      <w:r>
        <w:t xml:space="preserve"> Solo las dos leyes de arriba tienen autoridad original (</w:t>
      </w:r>
      <w:r>
        <w:t>1.9</w:t>
      </w:r>
      <w:r>
        <w:t>); por eso solo ellas pueden poner el centro. Lo que lo pone no es la opinión de nadie, sino lo que converge en tradiciones sin contacto documentado y pasa la vara (</w:t>
      </w:r>
      <w:r>
        <w:t>0.5</w:t>
      </w:r>
      <w:r>
        <w:t>). La lista corta de lo que pone el centro ya está escrita: son los nueve principios del Arca (</w:t>
      </w:r>
      <w:r>
        <w:t>3.2</w:t>
      </w:r>
      <w:r>
        <w:t xml:space="preserve">), cada uno con sus patas y su pata coja. </w:t>
      </w:r>
      <w:r>
        <w:t>[04d, matiz 7; 04o, «Matiz 7»; 04h, 3.3]</w:t>
      </w:r>
    </w:p>
    <w:p>
      <w:r>
        <w:rPr>
          <w:b/>
        </w:rPr>
        <w:t>Cómo se escribe.</w:t>
      </w:r>
      <w:r>
        <w:t xml:space="preserve"> Antes de medir, no después. Es la regla de la vara: «la vara va antes de los datos» (</w:t>
      </w:r>
      <w:r>
        <w:t>0.5</w:t>
      </w:r>
      <w:r>
        <w:t xml:space="preserve">). Si el centro se escribiera después de mirar los datos, se movería para que encajara con lo medido, y el dial sería una opinión con forma de cifra. Y cada verdad que pone el centro se escribe con sus condiciones: dónde, cuándo y quién la observa, para que cualquier observador pueda contrastarla. Lo que parece obvio descansa a veces en condiciones no dichas; dichas, deja de ser presunción. </w:t>
      </w:r>
      <w:r>
        <w:t>[04c, apartado 4, «Las capas de la presunción»; libreta 78, condición 2; 04g, 5.1]</w:t>
      </w:r>
    </w:p>
    <w:p>
      <w:r>
        <w:rPr>
          <w:b/>
        </w:rPr>
        <w:t>Lo que no se puede decir.</w:t>
      </w:r>
      <w:r>
        <w:t xml:space="preserve"> Que el centro sea «de Dios» en último término no se comprueba; lo comprobable es que no tiene autor interesado, que converge y que pasa la vara (</w:t>
      </w:r>
      <w:r>
        <w:t>1.9</w:t>
      </w:r>
      <w:r>
        <w:t>). Y «bien común» necesita una definición escrita antes de medir: la obra la toma de la clasificación de la auditoría (</w:t>
      </w:r>
      <w:r>
        <w:t>7.4</w:t>
      </w:r>
      <w:r>
        <w:t xml:space="preserve">), lo que afecta al ciudadano en su vida diaria frente a lo que organiza al poder. </w:t>
      </w:r>
      <w:r>
        <w:t>[04c, apartado 5; libreta 78, condición 2]</w:t>
      </w:r>
    </w:p>
    <w:p>
      <w:pPr>
        <w:pStyle w:val="Heading2"/>
      </w:pPr>
      <w:r>
        <w:t>J.3 El dial</w:t>
      </w:r>
    </w:p>
    <w:p>
      <w:pPr>
        <w:pBdr>
          <w:left w:val="single" w:sz="24" w:space="6" w:color="E2DED6"/>
        </w:pBdr>
        <w:shd w:val="clear" w:color="auto" w:fill="F1EEE8"/>
        <w:spacing w:before="80" w:after="160"/>
        <w:ind w:left="142" w:right="142"/>
      </w:pPr>
      <w:r>
        <w:rPr>
          <w:b/>
        </w:rPr>
        <w:t>La idea: el dial mide una conducta entre dos vicios, uno por defecto y otro por exceso, con la virtud en el centro. El dial maestro del Estado es «servir»: a la izquierda, no cuida ni cumple; a la derecha, se sirve.</w:t>
      </w:r>
    </w:p>
    <w:p>
      <w:r>
        <w:rPr>
          <w:b/>
        </w:rPr>
        <w:t>Dos vicios y un centro.</w:t>
      </w:r>
      <w:r>
        <w:t xml:space="preserve"> Para quien lo midió con más cuidado, la virtud no está entre el bien y el mal, sino entre dos males: «un término medio entre dos vicios: uno por exceso y otro por defecto» (anexo del 4.3, con Aristóteles). El dial es esa idea hecha instrumento: una línea con el </w:t>
      </w:r>
      <w:r>
        <w:rPr>
          <w:b/>
        </w:rPr>
        <w:t>defecto a la izquierda</w:t>
      </w:r>
      <w:r>
        <w:t xml:space="preserve">, el </w:t>
      </w:r>
      <w:r>
        <w:rPr>
          <w:b/>
        </w:rPr>
        <w:t>exceso a la derecha</w:t>
      </w:r>
      <w:r>
        <w:t xml:space="preserve"> y la </w:t>
      </w:r>
      <w:r>
        <w:rPr>
          <w:b/>
        </w:rPr>
        <w:t>medida justa en el centro</w:t>
      </w:r>
      <w:r>
        <w:t>. Y como lo que se hace una y otra vez forma a quien lo hace (</w:t>
      </w:r>
      <w:r>
        <w:t>4.4</w:t>
      </w:r>
      <w:r>
        <w:t xml:space="preserve">), lo que mueve el dial es lo que se repite. </w:t>
      </w:r>
      <w:r>
        <w:t>[anexo del 4.3; 4.4; 04n Q10: Kiko, 8-oct, «sí»; 04o: defecto a la izquierda, exceso a la derecha]</w:t>
      </w:r>
    </w:p>
    <w:p>
      <w:r>
        <w:rPr>
          <w:b/>
        </w:rPr>
        <w:t>¿Solo Aristóteles?</w:t>
      </w:r>
      <w:r>
        <w:t xml:space="preserve"> No. La obra buscó la misma figura, dos excesos y un medio, en otras tradiciones, y la encontró en seis (los pasajes se leyeron en sus archivos):</w:t>
      </w:r>
    </w:p>
    <w:p>
      <w:pPr>
        <w:pStyle w:val="ListBullet"/>
      </w:pPr>
      <w:r>
        <w:rPr>
          <w:b/>
        </w:rPr>
        <w:t>Israel.</w:t>
      </w:r>
      <w:r>
        <w:t xml:space="preserve"> El proverbio de Agur pide: «No me des pobreza ni riquezas; manténme del pan que he menester»</w:t>
      </w:r>
      <w:r>
        <w:t xml:space="preserve"> (Prov 30:8)</w:t>
      </w:r>
      <w:r>
        <w:t>, porque en la abundancia podría negar a Dios y en la pobreza, robar</w:t>
      </w:r>
      <w:r>
        <w:t xml:space="preserve"> (Prov 30:9)</w:t>
      </w:r>
      <w:r>
        <w:t>.</w:t>
      </w:r>
    </w:p>
    <w:p>
      <w:pPr>
        <w:pStyle w:val="ListBullet"/>
      </w:pPr>
      <w:r>
        <w:rPr>
          <w:b/>
        </w:rPr>
        <w:t>El islam.</w:t>
      </w:r>
      <w:r>
        <w:t xml:space="preserve"> Los fieles «cuando gastan, no lo hacen con prodigalidad ni con tacañería, -el término medio es lo justo-»</w:t>
      </w:r>
      <w:r>
        <w:t xml:space="preserve"> [original: «وَٱلَّذِينَ إِذَآ أَنفَقُوا۟ لَمْ يُسْرِفُوا۟ وَلَمْ يَقْتُرُوا۟ وَكَانَ بَيْنَ ذَٰلِكَ قَوَامًۭا»]</w:t>
      </w:r>
      <w:r>
        <w:t xml:space="preserve"> (Corán 25:67, traducción de Julio Cortés; fuente secundaria)</w:t>
      </w:r>
      <w:r>
        <w:t>.</w:t>
      </w:r>
    </w:p>
    <w:p>
      <w:pPr>
        <w:pStyle w:val="ListBullet"/>
      </w:pPr>
      <w:r>
        <w:rPr>
          <w:b/>
        </w:rPr>
        <w:t>La India.</w:t>
      </w:r>
      <w:r>
        <w:t xml:space="preserve"> «La religión no es de quien ayuna demasiado ni de quien come demasiado, ni de quien duerme con la mente ociosa, ni de quien gasta sus fuerzas en vigilias», sino de quien es «moderado al comer, al descansar y en el juego; medido en deseo y en acción»</w:t>
      </w:r>
      <w:r>
        <w:t xml:space="preserve"> [original: «Religion is not his who too much fasts Or too much feasts, nor his who sleeps away An idle mind; nor his who wears to waste His strength in vigils.»; «where one is moderate In eating and in resting, and in sport; Measured in wish and act», en la traducción inglesa de Edwin Arnold]</w:t>
      </w:r>
      <w:r>
        <w:t xml:space="preserve"> (Bhagavad Gita 6:16-17)</w:t>
      </w:r>
      <w:r>
        <w:t>.</w:t>
      </w:r>
    </w:p>
    <w:p>
      <w:pPr>
        <w:pStyle w:val="ListBullet"/>
      </w:pPr>
      <w:r>
        <w:rPr>
          <w:b/>
        </w:rPr>
        <w:t>China.</w:t>
      </w:r>
      <w:r>
        <w:t xml:space="preserve"> El sabio Shun «tomó los dos extremos de ellas [las opiniones], determinó el Medio y lo empleó en su gobierno del pueblo»</w:t>
      </w:r>
      <w:r>
        <w:t xml:space="preserve"> [original: «He took hold of their two extremes, determined the Mean, and employed it in his government of the people.», en la traducción inglesa de James Legge]</w:t>
      </w:r>
      <w:r>
        <w:t xml:space="preserve"> (Zhongyong 6)</w:t>
      </w:r>
      <w:r>
        <w:t>.</w:t>
      </w:r>
    </w:p>
    <w:p>
      <w:pPr>
        <w:pStyle w:val="ListBullet"/>
      </w:pPr>
      <w:r>
        <w:rPr>
          <w:b/>
        </w:rPr>
        <w:t>El budismo.</w:t>
      </w:r>
      <w:r>
        <w:t xml:space="preserve"> «Mendicantes, estos dos extremos no deben ser cultivados por quien ha salido [de la vida de casa]»: la indulgencia en los placeres sensuales y la indulgencia en la automortificación; «evitando estos dos extremos, el Realizado comprendió el camino medio de la práctica»</w:t>
      </w:r>
      <w:r>
        <w:t xml:space="preserve"> [original: «Mendicants, these two extremes should not be cultivated by one gone forth.»; «Avoiding these two extremes, the Realized One understood the middle way of practice», en la traducción inglesa de Sujato]</w:t>
      </w:r>
      <w:r>
        <w:t xml:space="preserve"> (Saṃyutta Nikāya 56.11)</w:t>
      </w:r>
      <w:r>
        <w:t>.</w:t>
      </w:r>
    </w:p>
    <w:p>
      <w:pPr>
        <w:pStyle w:val="ListBullet"/>
      </w:pPr>
      <w:r>
        <w:rPr>
          <w:b/>
        </w:rPr>
        <w:t>Grecia, en Platón.</w:t>
      </w:r>
      <w:r>
        <w:t xml:space="preserve"> «Que sepa elegir el término medio y evitar los extremos de uno y otro lado, en cuanto sea posible, no solo en esta vida sino en todo lo que ha de venir. Pues este es el camino de la felicidad»</w:t>
      </w:r>
      <w:r>
        <w:t xml:space="preserve"> [original: «let him know how to choose the mean and avoid the extremes on either side, as far as possible, not only in this life but in all that which is to come. For this is the way of happiness.», en la traducción inglesa de Jowett]</w:t>
      </w:r>
      <w:r>
        <w:t xml:space="preserve"> (Platón, República X, 619 a-b)</w:t>
      </w:r>
      <w:r>
        <w:t>.</w:t>
      </w:r>
    </w:p>
    <w:p>
      <w:pPr>
        <w:pStyle w:val="ListBullet"/>
      </w:pPr>
      <w:r>
        <w:rPr>
          <w:b/>
        </w:rPr>
        <w:t>Deuteronomio.</w:t>
      </w:r>
      <w:r>
        <w:t xml:space="preserve"> «no os apartéis á diestra ni á siniestra»</w:t>
      </w:r>
      <w:r>
        <w:t xml:space="preserve"> (Dt 5:32)</w:t>
      </w:r>
      <w:r>
        <w:t>: las dos desviaciones de lo mandado.</w:t>
      </w:r>
    </w:p>
    <w:p>
      <w:pPr>
        <w:pStyle w:val="ListBullet"/>
      </w:pPr>
      <w:r>
        <w:rPr>
          <w:b/>
        </w:rPr>
        <w:t>Zhongyong 4.</w:t>
      </w:r>
      <w:r>
        <w:t xml:space="preserve"> «Sé por qué no se anda el camino del Medio: los sabios se pasan de él y los necios no llegan a él»</w:t>
      </w:r>
      <w:r>
        <w:t xml:space="preserve"> [original: «I know how it is that the path of the Mean is not walked in: The knowing go beyond it, and the stupid do not come up to it.», en la traducción inglesa de James Legge]</w:t>
      </w:r>
      <w:r>
        <w:t xml:space="preserve"> (Zhongyong 4)</w:t>
      </w:r>
      <w:r>
        <w:t>.</w:t>
      </w:r>
    </w:p>
    <w:p>
      <w:pPr>
        <w:pStyle w:val="ListBullet"/>
      </w:pPr>
      <w:r>
        <w:rPr>
          <w:b/>
        </w:rPr>
        <w:t>Analectas XI.</w:t>
      </w:r>
      <w:r>
        <w:t xml:space="preserve"> «Pasarse es tan malo como quedarse corto»</w:t>
      </w:r>
      <w:r>
        <w:t xml:space="preserve"> [original: «To go beyond is as wrong as to fall short.», en la traducción inglesa de James Legge]</w:t>
      </w:r>
      <w:r>
        <w:t xml:space="preserve"> (Analectas XI, capítulo XV de Legge)</w:t>
      </w:r>
      <w:r>
        <w:t>.</w:t>
      </w:r>
    </w:p>
    <w:p>
      <w:pPr>
        <w:pStyle w:val="ListBullet"/>
      </w:pPr>
      <w:r>
        <w:rPr>
          <w:b/>
        </w:rPr>
        <w:t>El arpa de Buda.</w:t>
      </w:r>
      <w:r>
        <w:t xml:space="preserve"> «Cuando la energía es demasiado forzada lleva a la inquietud. Cuando la energía es demasiado floja lleva a la pereza»</w:t>
      </w:r>
      <w:r>
        <w:t xml:space="preserve"> [original: «when energy is too forceful it leads to restlessness. When energy is too slack it leads to laziness.», en la traducción inglesa de Sujato]</w:t>
      </w:r>
      <w:r>
        <w:t xml:space="preserve"> (Aṅguttara Nikāya 6.55)</w:t>
      </w:r>
      <w:r>
        <w:t>.</w:t>
      </w:r>
    </w:p>
    <w:p>
      <w:pPr>
        <w:pStyle w:val="ListBullet"/>
      </w:pPr>
      <w:r>
        <w:rPr>
          <w:b/>
        </w:rPr>
        <w:t>Horacio.</w:t>
      </w:r>
      <w:r>
        <w:t xml:space="preserve"> «Quien ama la áurea medianía»: el «áureo término medio» entre la alta mar y la costa peligrosa</w:t>
      </w:r>
      <w:r>
        <w:t xml:space="preserve"> [original: «auream quisquis mediocritatem / diligit»]</w:t>
      </w:r>
      <w:r>
        <w:t xml:space="preserve"> (Horacio, Odas II, 10)</w:t>
      </w:r>
      <w:r>
        <w:t>.</w:t>
      </w:r>
    </w:p>
    <w:p>
      <w:r>
        <w:rPr>
          <w:b/>
        </w:rPr>
        <w:t>Lo que lo matiza.</w:t>
      </w:r>
      <w:r>
        <w:t xml:space="preserve"> No todas dicen lo mismo del medio:</w:t>
      </w:r>
    </w:p>
    <w:p>
      <w:pPr>
        <w:pStyle w:val="ListBullet"/>
      </w:pPr>
      <w:r>
        <w:rPr>
          <w:b/>
        </w:rPr>
        <w:t>El medio no es siempre un punto equidistante.</w:t>
      </w:r>
      <w:r>
        <w:t xml:space="preserve"> En Israel es suficiencia («el pan que he menester», Prov 30:8) y mandato («no os apartéis á diestra ni á siniestra», Dt 5:32); en el budismo, el camino medio es el noble camino óctuple, un programa de ocho factores y no un punto entre dos polos</w:t>
      </w:r>
      <w:r>
        <w:t xml:space="preserve"> (Saṃyutta Nikāya 56.11)</w:t>
      </w:r>
      <w:r>
        <w:t>.</w:t>
      </w:r>
    </w:p>
    <w:p>
      <w:pPr>
        <w:pStyle w:val="ListBullet"/>
      </w:pPr>
      <w:r>
        <w:rPr>
          <w:b/>
        </w:rPr>
        <w:t>Hay un exceso de justicia.</w:t>
      </w:r>
      <w:r>
        <w:t xml:space="preserve"> «No seas demasiado justo, ni seas sabio con exceso»</w:t>
      </w:r>
      <w:r>
        <w:t xml:space="preserve"> (Ecl 7:16)</w:t>
      </w:r>
      <w:r>
        <w:t>: Cohélet avisa contra el exceso de justicia y de sabiduría, y no dice dónde está el medio.</w:t>
      </w:r>
    </w:p>
    <w:p>
      <w:pPr>
        <w:pStyle w:val="ListBullet"/>
      </w:pPr>
      <w:r>
        <w:rPr>
          <w:b/>
        </w:rPr>
        <w:t>El medio sostenido sin sopesar es un solo punto.</w:t>
      </w:r>
      <w:r>
        <w:t xml:space="preserve"> Mencio: «sostenerlo sin dejar sitio a las exigencias de las circunstancias es como su sostener un solo punto»</w:t>
      </w:r>
      <w:r>
        <w:t xml:space="preserve"> [original: «But by holding it without leaving room for the exigency of circumstances, it becomes like their holding their one point.», en la traducción inglesa de James Legge]</w:t>
      </w:r>
      <w:r>
        <w:t xml:space="preserve"> (Mencio 7A26; fuente secundaria)</w:t>
      </w:r>
      <w:r>
        <w:t>.</w:t>
      </w:r>
    </w:p>
    <w:p>
      <w:pPr>
        <w:pStyle w:val="ListBullet"/>
      </w:pPr>
      <w:r>
        <w:rPr>
          <w:b/>
        </w:rPr>
        <w:t>Los extremos valen algo cuando falta quien siga el medio.</w:t>
      </w:r>
      <w:r>
        <w:t xml:space="preserve"> Confucio: «Como no puedo conseguir hombres que sigan el justo medio […], tendré que buscar a los ardientes y a los cautelosamente decididos»</w:t>
      </w:r>
      <w:r>
        <w:t xml:space="preserve"> [original: «Since I cannot get men pursuing the due medium, to whom I might communicate my instructions, I must find the ardent and the cautiously-decided.», en la traducción inglesa de James Legge]</w:t>
      </w:r>
      <w:r>
        <w:t xml:space="preserve"> (Analectas XIII, capítulo XXI de Legge; fuente secundaria)</w:t>
      </w:r>
      <w:r>
        <w:t>.</w:t>
      </w:r>
    </w:p>
    <w:p>
      <w:pPr>
        <w:pStyle w:val="ListBullet"/>
      </w:pPr>
      <w:r>
        <w:rPr>
          <w:b/>
        </w:rPr>
        <w:t>En Persia se elige un polo.</w:t>
      </w:r>
      <w:r>
        <w:t xml:space="preserve"> «Entre estos dos los sabios eligieron bien, no así los necios»</w:t>
      </w:r>
      <w:r>
        <w:t xml:space="preserve"> [original: «And between these two the wise ones chose aright, the foolish not so.», en la traducción inglesa de avesta.org]</w:t>
      </w:r>
      <w:r>
        <w:t xml:space="preserve"> (Yasna 30:3; fuente secundaria)</w:t>
      </w:r>
      <w:r>
        <w:t>: dos espíritus que no se complementan; se elige uno, y no hay medio.</w:t>
      </w:r>
    </w:p>
    <w:p>
      <w:r>
        <w:rPr>
          <w:b/>
        </w:rPr>
        <w:t>Conclusión, lo que arrojan los datos:</w:t>
      </w:r>
      <w:r>
        <w:t xml:space="preserve"> seis tradiciones, Israel, el islam, la India, China, el budismo y Grecia, hablan de dos excesos y un medio, en materias distintas: el dinero, la comida y el sueño, el gobierno, la práctica y la vida elegida. </w:t>
      </w:r>
      <w:r>
        <w:rPr>
          <w:b/>
        </w:rPr>
        <w:t>Coinciden, no convergen:</w:t>
      </w:r>
      <w:r>
        <w:t xml:space="preserve"> casi todas las fechas son aproximadas y no está comprobado que sean independientes entre sí. No dicen lo mismo del medio: en unas es una medida; en otras, una suficiencia, un mandato o un camino; y Persia pide elegir un polo. Y ninguna dice que el centro lo ponga «la ley de Dios y la ley natural»: lo sugiere solo, y de lejos, el mandato de Dt 5:32.</w:t>
      </w:r>
    </w:p>
    <w:p>
      <w:r>
        <w:rPr>
          <w:b/>
        </w:rPr>
        <w:t>Lectura del autor:</w:t>
      </w:r>
      <w:r>
        <w:t xml:space="preserve"> el dial es esa figura hecha instrumento. Lo que las tradiciones coinciden en decir es la forma, dos excesos y un medio; lo que la obra añade es quién pone el centro, la ley de Dios y la ley natural (</w:t>
      </w:r>
      <w:r>
        <w:t>1.9</w:t>
      </w:r>
      <w:r>
        <w:t>), y por eso lo escribe antes de medir. Que el medio sea una medida, una suficiencia, un mandato o un camino no rompe el dial: dice qué clase de centro es cada uno. Y lo de Mencio es la razón de que el centro se escriba antes, pero se mida con las circunstancias a la vista: el dial lleva flecha, no solo un número (</w:t>
      </w:r>
      <w:r>
        <w:t>J.5</w:t>
      </w:r>
      <w:r>
        <w:t>).</w:t>
      </w:r>
    </w:p>
    <w:p>
      <w:r>
        <w:t>[doble polaridad: 30 pasajes de 11 tradiciones leídos en sus archivos el 9-oct-2026; Kiko, 9-oct: «por coherencia en el dial»; borrador B8]</w:t>
      </w:r>
    </w:p>
    <w:p>
      <w:r>
        <w:rPr>
          <w:b/>
        </w:rPr>
        <w:t>Cómo se lee.</w:t>
      </w:r>
      <w:r>
        <w:t xml:space="preserve"> En tres zonas, </w:t>
      </w:r>
      <w:r>
        <w:rPr>
          <w:b/>
        </w:rPr>
        <w:t>defecto</w:t>
      </w:r>
      <w:r>
        <w:t xml:space="preserve">, </w:t>
      </w:r>
      <w:r>
        <w:rPr>
          <w:b/>
        </w:rPr>
        <w:t>centro</w:t>
      </w:r>
      <w:r>
        <w:t xml:space="preserve"> y </w:t>
      </w:r>
      <w:r>
        <w:rPr>
          <w:b/>
        </w:rPr>
        <w:t>exceso</w:t>
      </w:r>
      <w:r>
        <w:t>, con una flecha que dice hacia dónde se mueve. Con números, de −100 a +100 y el 0 en el centro, solo donde se cumplen las cuatro condiciones del piloto (</w:t>
      </w:r>
      <w:r>
        <w:t>J.6</w:t>
      </w:r>
      <w:r>
        <w:t xml:space="preserve">). El número mide la posición, no si algo es bueno o malo. </w:t>
      </w:r>
      <w:r>
        <w:t>[00 PLAN GENERAL de 07, decisión 5; 04g, 5.1]</w:t>
      </w:r>
    </w:p>
    <w:p>
      <w:r>
        <w:rPr>
          <w:b/>
        </w:rPr>
        <w:t>El dial maestro: servir.</w:t>
      </w:r>
      <w:r>
        <w:t xml:space="preserve"> El hilo de los nueve principios del Arca es uno: «¿sirve, o se sirve?» (</w:t>
      </w:r>
      <w:r>
        <w:t>3.6</w:t>
      </w:r>
      <w:r>
        <w:t>). Ese es el dial del Estado:</w:t>
      </w:r>
    </w:p>
    <w:p>
      <w:pPr>
        <w:pStyle w:val="ListBullet"/>
      </w:pPr>
      <w:r>
        <w:rPr>
          <w:b/>
        </w:rPr>
        <w:t>A la izquierda, el defecto:</w:t>
      </w:r>
      <w:r>
        <w:t xml:space="preserve"> no cuida al ciudadano, o lo cuida poco; no cumple lo que prometió. En este libro lo mide el </w:t>
      </w:r>
      <w:r>
        <w:t>capítulo 7</w:t>
      </w:r>
      <w:r>
        <w:t>: lo prometido frente a los hechos.</w:t>
      </w:r>
    </w:p>
    <w:p>
      <w:pPr>
        <w:pStyle w:val="ListBullet"/>
      </w:pPr>
      <w:r>
        <w:rPr>
          <w:b/>
        </w:rPr>
        <w:t>En el centro, la medida justa:</w:t>
      </w:r>
      <w:r>
        <w:t xml:space="preserve"> el que manda sirve. «Sabéis que los príncipes de los Gentiles se enseñorean sobre ellos, y los que son grandes ejercen sobre ellos potestad. Mas entre vosotros no será así; sino el que quisiere entre vosotros hacerse grande, será vuestro servidor»</w:t>
      </w:r>
      <w:r>
        <w:t xml:space="preserve"> (Mt 20:25-26)</w:t>
      </w:r>
      <w:r>
        <w:t>; «Como el Hijo del hombre no vino para ser servido, sino para servir»</w:t>
      </w:r>
      <w:r>
        <w:t xml:space="preserve"> (Mt 20:28)</w:t>
      </w:r>
      <w:r>
        <w:t>.</w:t>
      </w:r>
    </w:p>
    <w:p>
      <w:pPr>
        <w:pStyle w:val="ListBullet"/>
      </w:pPr>
      <w:r>
        <w:rPr>
          <w:b/>
        </w:rPr>
        <w:t>A la derecha, el exceso:</w:t>
      </w:r>
      <w:r>
        <w:t xml:space="preserve"> se sirve del ciudadano: impuestos, presión fiscal, control, leyes de más. En este libro lo mide el </w:t>
      </w:r>
      <w:r>
        <w:t>capítulo 8</w:t>
      </w:r>
      <w:r>
        <w:t>: los frutos.</w:t>
      </w:r>
    </w:p>
    <w:p>
      <w:r>
        <w:t>Un solo texto da los dos polos a la vez. A los pastores que «se apacientan á sí mismos»</w:t>
      </w:r>
      <w:r>
        <w:t xml:space="preserve"> (Ez 34:2)</w:t>
      </w:r>
      <w:r>
        <w:t>, Ezequiel les reprocha primero el defecto: «No corroborasteis las flacas, ni curasteis la enferma: no ligasteis la perniquebrada, ni tornasteis la amontada, ni buscasteis la perdida»; y después el exceso: «sino que os habéis enseñoreado de ellas con dureza y con violencia»</w:t>
      </w:r>
      <w:r>
        <w:t xml:space="preserve"> (Ez 34:4)</w:t>
      </w:r>
      <w:r>
        <w:t>. Y dice el centro: «Yo buscaré la perdida, y tornaré la amontada, y ligaré la perniquebrada, y corroboraré la enferma […]. Yo las apacentaré en juicio»</w:t>
      </w:r>
      <w:r>
        <w:t xml:space="preserve"> (Ez 34:16)</w:t>
      </w:r>
      <w:r>
        <w:t xml:space="preserve">. </w:t>
      </w:r>
      <w:r>
        <w:t>[Kiko, 8-oct (04m, apartado E); 04h, 3.3; Ezequiel 34 y Mateo 20 en la Reina-Valera 1909]</w:t>
      </w:r>
    </w:p>
    <w:p>
      <w:r>
        <w:rPr>
          <w:b/>
        </w:rPr>
        <w:t>Los nueve principios del Arca como diales.</w:t>
      </w:r>
      <w:r>
        <w:t xml:space="preserve"> Cada principio del Arca (</w:t>
      </w:r>
      <w:r>
        <w:t>3.2</w:t>
      </w:r>
      <w:r>
        <w:t xml:space="preserve">) es un dial: su centro es la medida justa que las tradiciones guardaron, y sus extremos, dos vicios. Solo se pone un polo </w:t>
      </w:r>
      <w:r>
        <w:rPr>
          <w:b/>
        </w:rPr>
        <w:t>donde un texto ya leído lo dice</w:t>
      </w:r>
      <w:r>
        <w:t>; donde el Arca no tiene texto, se dice y no se inventa.</w:t>
      </w:r>
    </w:p>
    <w:tbl>
      <w:tblPr>
        <w:tblStyle w:val="TableGrid"/>
        <w:tblW w:type="auto" w:w="0"/>
        <w:tblLayout w:type="autofit"/>
        <w:tblBorders>
          <w:top w:val="single" w:sz="4" w:space="0" w:color="E2DED6"/>
          <w:left w:val="single" w:sz="4" w:space="0" w:color="E2DED6"/>
          <w:bottom w:val="single" w:sz="4" w:space="0" w:color="E2DED6"/>
          <w:right w:val="single" w:sz="4" w:space="0" w:color="E2DED6"/>
          <w:insideH w:val="single" w:sz="4" w:space="0" w:color="E2DED6"/>
          <w:insideV w:val="single" w:sz="4" w:space="0" w:color="E2DED6"/>
        </w:tblBorders>
        <w:tblLook w:firstColumn="1" w:firstRow="1" w:lastColumn="0" w:lastRow="0" w:noHBand="0" w:noVBand="1" w:val="04A0"/>
      </w:tblPr>
      <w:tblGrid>
        <w:gridCol w:w="2296"/>
        <w:gridCol w:w="2296"/>
        <w:gridCol w:w="2296"/>
        <w:gridCol w:w="2296"/>
      </w:tblGrid>
      <w:tr>
        <w:tc>
          <w:tcPr>
            <w:tcW w:type="dxa" w:w="2296"/>
            <w:shd w:val="clear" w:color="auto" w:fill="F1EEE8"/>
          </w:tcPr>
          <w:p>
            <w:pPr>
              <w:spacing w:after="20" w:line="264" w:lineRule="auto"/>
            </w:pPr>
            <w:r>
              <w:rPr>
                <w:b/>
              </w:rPr>
            </w:r>
            <w:r>
              <w:rPr>
                <w:rFonts w:ascii="Segoe UI" w:hAnsi="Segoe UI" w:eastAsia="Segoe UI" w:cs="Segoe UI"/>
                <w:b/>
                <w:color w:val="1F1D1A"/>
                <w:sz w:val="18"/>
              </w:rPr>
              <w:t>Principio (</w:t>
            </w:r>
            <w:r>
              <w:rPr>
                <w:rFonts w:ascii="Segoe UI" w:hAnsi="Segoe UI" w:eastAsia="Segoe UI" w:cs="Segoe UI"/>
                <w:b/>
                <w:color w:val="1F1D1A"/>
                <w:sz w:val="18"/>
              </w:rPr>
              <w:t>3.2</w:t>
            </w:r>
            <w:r>
              <w:rPr>
                <w:rFonts w:ascii="Segoe UI" w:hAnsi="Segoe UI" w:eastAsia="Segoe UI" w:cs="Segoe UI"/>
                <w:b/>
                <w:color w:val="1F1D1A"/>
                <w:sz w:val="18"/>
              </w:rPr>
              <w:t>)</w:t>
            </w:r>
          </w:p>
        </w:tc>
        <w:tc>
          <w:tcPr>
            <w:tcW w:type="dxa" w:w="2296"/>
            <w:shd w:val="clear" w:color="auto" w:fill="F1EEE8"/>
          </w:tcPr>
          <w:p>
            <w:pPr>
              <w:spacing w:after="20" w:line="264" w:lineRule="auto"/>
            </w:pPr>
            <w:r>
              <w:rPr>
                <w:b/>
              </w:rPr>
            </w:r>
            <w:r>
              <w:rPr>
                <w:rFonts w:ascii="Segoe UI" w:hAnsi="Segoe UI" w:eastAsia="Segoe UI" w:cs="Segoe UI"/>
                <w:b/>
                <w:color w:val="1F1D1A"/>
                <w:sz w:val="18"/>
              </w:rPr>
              <w:t>Defecto (izquierda)</w:t>
            </w:r>
          </w:p>
        </w:tc>
        <w:tc>
          <w:tcPr>
            <w:tcW w:type="dxa" w:w="2296"/>
            <w:shd w:val="clear" w:color="auto" w:fill="F1EEE8"/>
          </w:tcPr>
          <w:p>
            <w:pPr>
              <w:spacing w:after="20" w:line="264" w:lineRule="auto"/>
            </w:pPr>
            <w:r>
              <w:rPr>
                <w:b/>
              </w:rPr>
            </w:r>
            <w:r>
              <w:rPr>
                <w:rFonts w:ascii="Segoe UI" w:hAnsi="Segoe UI" w:eastAsia="Segoe UI" w:cs="Segoe UI"/>
                <w:b/>
                <w:color w:val="1F1D1A"/>
                <w:sz w:val="18"/>
              </w:rPr>
              <w:t>Centro</w:t>
            </w:r>
          </w:p>
        </w:tc>
        <w:tc>
          <w:tcPr>
            <w:tcW w:type="dxa" w:w="2296"/>
            <w:shd w:val="clear" w:color="auto" w:fill="F1EEE8"/>
          </w:tcPr>
          <w:p>
            <w:pPr>
              <w:spacing w:after="20" w:line="264" w:lineRule="auto"/>
            </w:pPr>
            <w:r>
              <w:rPr>
                <w:b/>
              </w:rPr>
            </w:r>
            <w:r>
              <w:rPr>
                <w:rFonts w:ascii="Segoe UI" w:hAnsi="Segoe UI" w:eastAsia="Segoe UI" w:cs="Segoe UI"/>
                <w:b/>
                <w:color w:val="1F1D1A"/>
                <w:sz w:val="18"/>
              </w:rPr>
              <w:t>Exceso (derecha)</w:t>
            </w:r>
          </w:p>
        </w:tc>
      </w:tr>
      <w:tr>
        <w:tc>
          <w:tcPr>
            <w:tcW w:type="dxa" w:w="2296"/>
          </w:tcPr>
          <w:p>
            <w:pPr>
              <w:spacing w:after="20" w:line="264" w:lineRule="auto"/>
            </w:pPr>
            <w:r/>
            <w:r>
              <w:rPr>
                <w:rFonts w:ascii="Segoe UI" w:hAnsi="Segoe UI" w:eastAsia="Segoe UI" w:cs="Segoe UI"/>
                <w:b/>
                <w:color w:val="1F1D1A"/>
                <w:sz w:val="18"/>
              </w:rPr>
              <w:t>P1. El gobernante existe para el pueblo</w:t>
            </w:r>
          </w:p>
        </w:tc>
        <w:tc>
          <w:tcPr>
            <w:tcW w:type="dxa" w:w="2296"/>
          </w:tcPr>
          <w:p>
            <w:pPr>
              <w:spacing w:after="20" w:line="264" w:lineRule="auto"/>
            </w:pPr>
            <w:r/>
            <w:r>
              <w:rPr>
                <w:rFonts w:ascii="Segoe UI" w:hAnsi="Segoe UI" w:eastAsia="Segoe UI" w:cs="Segoe UI"/>
                <w:color w:val="1F1D1A"/>
                <w:sz w:val="18"/>
              </w:rPr>
              <w:t>No cuida ni cumple (el dial maestro)</w:t>
            </w:r>
          </w:p>
        </w:tc>
        <w:tc>
          <w:tcPr>
            <w:tcW w:type="dxa" w:w="2296"/>
          </w:tcPr>
          <w:p>
            <w:pPr>
              <w:spacing w:after="20" w:line="264" w:lineRule="auto"/>
            </w:pPr>
            <w:r/>
            <w:r>
              <w:rPr>
                <w:rFonts w:ascii="Segoe UI" w:hAnsi="Segoe UI" w:eastAsia="Segoe UI" w:cs="Segoe UI"/>
                <w:color w:val="1F1D1A"/>
                <w:sz w:val="18"/>
              </w:rPr>
              <w:t>Servir: el que manda es el servidor</w:t>
            </w:r>
          </w:p>
        </w:tc>
        <w:tc>
          <w:tcPr>
            <w:tcW w:type="dxa" w:w="2296"/>
          </w:tcPr>
          <w:p>
            <w:pPr>
              <w:spacing w:after="20" w:line="264" w:lineRule="auto"/>
            </w:pPr>
            <w:r/>
            <w:r>
              <w:rPr>
                <w:rFonts w:ascii="Segoe UI" w:hAnsi="Segoe UI" w:eastAsia="Segoe UI" w:cs="Segoe UI"/>
                <w:color w:val="1F1D1A"/>
                <w:sz w:val="18"/>
              </w:rPr>
              <w:t>Se sirve: el pueblo débil para que el Estado sea fuerte; el rey tenido por deidad</w:t>
            </w:r>
          </w:p>
        </w:tc>
      </w:tr>
      <w:tr>
        <w:tc>
          <w:tcPr>
            <w:tcW w:type="dxa" w:w="2296"/>
          </w:tcPr>
          <w:p>
            <w:pPr>
              <w:spacing w:after="20" w:line="264" w:lineRule="auto"/>
            </w:pPr>
            <w:r/>
            <w:r>
              <w:rPr>
                <w:rFonts w:ascii="Segoe UI" w:hAnsi="Segoe UI" w:eastAsia="Segoe UI" w:cs="Segoe UI"/>
                <w:b/>
                <w:color w:val="1F1D1A"/>
                <w:sz w:val="18"/>
              </w:rPr>
              <w:t>P2. Impuestos moderados</w:t>
            </w:r>
          </w:p>
        </w:tc>
        <w:tc>
          <w:tcPr>
            <w:tcW w:type="dxa" w:w="2296"/>
          </w:tcPr>
          <w:p>
            <w:pPr>
              <w:spacing w:after="20" w:line="264" w:lineRule="auto"/>
            </w:pPr>
            <w:r/>
            <w:r>
              <w:rPr>
                <w:rFonts w:ascii="Segoe UI" w:hAnsi="Segoe UI" w:eastAsia="Segoe UI" w:cs="Segoe UI"/>
                <w:color w:val="1F1D1A"/>
                <w:sz w:val="18"/>
              </w:rPr>
              <w:t>El impuesto tan bajo que no sostiene lo común (Mencio lo rechaza también)</w:t>
            </w:r>
          </w:p>
        </w:tc>
        <w:tc>
          <w:tcPr>
            <w:tcW w:type="dxa" w:w="2296"/>
          </w:tcPr>
          <w:p>
            <w:pPr>
              <w:spacing w:after="20" w:line="264" w:lineRule="auto"/>
            </w:pPr>
            <w:r/>
            <w:r>
              <w:rPr>
                <w:rFonts w:ascii="Segoe UI" w:hAnsi="Segoe UI" w:eastAsia="Segoe UI" w:cs="Segoe UI"/>
                <w:color w:val="1F1D1A"/>
                <w:sz w:val="18"/>
              </w:rPr>
              <w:t>La medida justa</w:t>
            </w:r>
          </w:p>
        </w:tc>
        <w:tc>
          <w:tcPr>
            <w:tcW w:type="dxa" w:w="2296"/>
          </w:tcPr>
          <w:p>
            <w:pPr>
              <w:spacing w:after="20" w:line="264" w:lineRule="auto"/>
            </w:pPr>
            <w:r/>
            <w:r>
              <w:rPr>
                <w:rFonts w:ascii="Segoe UI" w:hAnsi="Segoe UI" w:eastAsia="Segoe UI" w:cs="Segoe UI"/>
                <w:color w:val="1F1D1A"/>
                <w:sz w:val="18"/>
              </w:rPr>
              <w:t>El pueblo pasa hambre porque los de arriba consumen demasiados impuestos</w:t>
            </w:r>
          </w:p>
        </w:tc>
      </w:tr>
      <w:tr>
        <w:tc>
          <w:tcPr>
            <w:tcW w:type="dxa" w:w="2296"/>
          </w:tcPr>
          <w:p>
            <w:pPr>
              <w:spacing w:after="20" w:line="264" w:lineRule="auto"/>
            </w:pPr>
            <w:r/>
            <w:r>
              <w:rPr>
                <w:rFonts w:ascii="Segoe UI" w:hAnsi="Segoe UI" w:eastAsia="Segoe UI" w:cs="Segoe UI"/>
                <w:b/>
                <w:color w:val="1F1D1A"/>
                <w:sz w:val="18"/>
              </w:rPr>
              <w:t>P3. No quitar al pueblo su tiempo</w:t>
            </w:r>
          </w:p>
        </w:tc>
        <w:tc>
          <w:tcPr>
            <w:tcW w:type="dxa" w:w="2296"/>
          </w:tcPr>
          <w:p>
            <w:pPr>
              <w:spacing w:after="20" w:line="264" w:lineRule="auto"/>
            </w:pPr>
            <w:r/>
            <w:r>
              <w:rPr>
                <w:rFonts w:ascii="Segoe UI" w:hAnsi="Segoe UI" w:eastAsia="Segoe UI" w:cs="Segoe UI"/>
                <w:i/>
                <w:color w:val="1F1D1A"/>
                <w:sz w:val="18"/>
              </w:rPr>
              <w:t>Sin texto en el Arca</w:t>
            </w:r>
          </w:p>
        </w:tc>
        <w:tc>
          <w:tcPr>
            <w:tcW w:type="dxa" w:w="2296"/>
          </w:tcPr>
          <w:p>
            <w:pPr>
              <w:spacing w:after="20" w:line="264" w:lineRule="auto"/>
            </w:pPr>
            <w:r/>
            <w:r>
              <w:rPr>
                <w:rFonts w:ascii="Segoe UI" w:hAnsi="Segoe UI" w:eastAsia="Segoe UI" w:cs="Segoe UI"/>
                <w:color w:val="1F1D1A"/>
                <w:sz w:val="18"/>
              </w:rPr>
              <w:t>El reposo y el tiempo propio</w:t>
            </w:r>
          </w:p>
        </w:tc>
        <w:tc>
          <w:tcPr>
            <w:tcW w:type="dxa" w:w="2296"/>
          </w:tcPr>
          <w:p>
            <w:pPr>
              <w:spacing w:after="20" w:line="264" w:lineRule="auto"/>
            </w:pPr>
            <w:r/>
            <w:r>
              <w:rPr>
                <w:rFonts w:ascii="Segoe UI" w:hAnsi="Segoe UI" w:eastAsia="Segoe UI" w:cs="Segoe UI"/>
                <w:color w:val="1F1D1A"/>
                <w:sz w:val="18"/>
              </w:rPr>
              <w:t>Todos edifican y labran para los señores</w:t>
            </w:r>
          </w:p>
        </w:tc>
      </w:tr>
      <w:tr>
        <w:tc>
          <w:tcPr>
            <w:tcW w:type="dxa" w:w="2296"/>
          </w:tcPr>
          <w:p>
            <w:pPr>
              <w:spacing w:after="20" w:line="264" w:lineRule="auto"/>
            </w:pPr>
            <w:r/>
            <w:r>
              <w:rPr>
                <w:rFonts w:ascii="Segoe UI" w:hAnsi="Segoe UI" w:eastAsia="Segoe UI" w:cs="Segoe UI"/>
                <w:b/>
                <w:color w:val="1F1D1A"/>
                <w:sz w:val="18"/>
              </w:rPr>
              <w:t>P4. Pesas y medidas justas</w:t>
            </w:r>
          </w:p>
        </w:tc>
        <w:tc>
          <w:tcPr>
            <w:tcW w:type="dxa" w:w="2296"/>
          </w:tcPr>
          <w:p>
            <w:pPr>
              <w:spacing w:after="20" w:line="264" w:lineRule="auto"/>
            </w:pPr>
            <w:r/>
            <w:r>
              <w:rPr>
                <w:rFonts w:ascii="Segoe UI" w:hAnsi="Segoe UI" w:eastAsia="Segoe UI" w:cs="Segoe UI"/>
                <w:color w:val="1F1D1A"/>
                <w:sz w:val="18"/>
              </w:rPr>
              <w:t>Disminuir la medida</w:t>
            </w:r>
          </w:p>
        </w:tc>
        <w:tc>
          <w:tcPr>
            <w:tcW w:type="dxa" w:w="2296"/>
          </w:tcPr>
          <w:p>
            <w:pPr>
              <w:spacing w:after="20" w:line="264" w:lineRule="auto"/>
            </w:pPr>
            <w:r/>
            <w:r>
              <w:rPr>
                <w:rFonts w:ascii="Segoe UI" w:hAnsi="Segoe UI" w:eastAsia="Segoe UI" w:cs="Segoe UI"/>
                <w:color w:val="1F1D1A"/>
                <w:sz w:val="18"/>
              </w:rPr>
              <w:t>«Balanzas justas, pesas justas»</w:t>
            </w:r>
            <w:r>
              <w:rPr>
                <w:rFonts w:ascii="Segoe UI" w:hAnsi="Segoe UI" w:eastAsia="Segoe UI" w:cs="Segoe UI"/>
                <w:color w:val="1F1D1A"/>
                <w:sz w:val="18"/>
              </w:rPr>
              <w:t xml:space="preserve"> (Lv 19:36)</w:t>
            </w:r>
            <w:r>
              <w:rPr>
                <w:rFonts w:ascii="Segoe UI" w:hAnsi="Segoe UI" w:eastAsia="Segoe UI" w:cs="Segoe UI"/>
                <w:color w:val="1F1D1A"/>
                <w:sz w:val="18"/>
              </w:rPr>
              <w:t>; «la pesa cabal le agrada»</w:t>
            </w:r>
            <w:r>
              <w:rPr>
                <w:rFonts w:ascii="Segoe UI" w:hAnsi="Segoe UI" w:eastAsia="Segoe UI" w:cs="Segoe UI"/>
                <w:color w:val="1F1D1A"/>
                <w:sz w:val="18"/>
              </w:rPr>
              <w:t xml:space="preserve"> (Pr 11:1)</w:t>
            </w:r>
          </w:p>
        </w:tc>
        <w:tc>
          <w:tcPr>
            <w:tcW w:type="dxa" w:w="2296"/>
          </w:tcPr>
          <w:p>
            <w:pPr>
              <w:spacing w:after="20" w:line="264" w:lineRule="auto"/>
            </w:pPr>
            <w:r/>
            <w:r>
              <w:rPr>
                <w:rFonts w:ascii="Segoe UI" w:hAnsi="Segoe UI" w:eastAsia="Segoe UI" w:cs="Segoe UI"/>
                <w:color w:val="1F1D1A"/>
                <w:sz w:val="18"/>
              </w:rPr>
              <w:t>Añadir pesos a la balanza</w:t>
            </w:r>
          </w:p>
        </w:tc>
      </w:tr>
      <w:tr>
        <w:tc>
          <w:tcPr>
            <w:tcW w:type="dxa" w:w="2296"/>
          </w:tcPr>
          <w:p>
            <w:pPr>
              <w:spacing w:after="20" w:line="264" w:lineRule="auto"/>
            </w:pPr>
            <w:r/>
            <w:r>
              <w:rPr>
                <w:rFonts w:ascii="Segoe UI" w:hAnsi="Segoe UI" w:eastAsia="Segoe UI" w:cs="Segoe UI"/>
                <w:b/>
                <w:color w:val="1F1D1A"/>
                <w:sz w:val="18"/>
              </w:rPr>
              <w:t>P5. Devolver lo confiado</w:t>
            </w:r>
          </w:p>
        </w:tc>
        <w:tc>
          <w:tcPr>
            <w:tcW w:type="dxa" w:w="2296"/>
          </w:tcPr>
          <w:p>
            <w:pPr>
              <w:spacing w:after="20" w:line="264" w:lineRule="auto"/>
            </w:pPr>
            <w:r/>
            <w:r>
              <w:rPr>
                <w:rFonts w:ascii="Segoe UI" w:hAnsi="Segoe UI" w:eastAsia="Segoe UI" w:cs="Segoe UI"/>
                <w:i/>
                <w:color w:val="1F1D1A"/>
                <w:sz w:val="18"/>
              </w:rPr>
              <w:t>Sin texto en el Arca</w:t>
            </w:r>
          </w:p>
        </w:tc>
        <w:tc>
          <w:tcPr>
            <w:tcW w:type="dxa" w:w="2296"/>
          </w:tcPr>
          <w:p>
            <w:pPr>
              <w:spacing w:after="20" w:line="264" w:lineRule="auto"/>
            </w:pPr>
            <w:r/>
            <w:r>
              <w:rPr>
                <w:rFonts w:ascii="Segoe UI" w:hAnsi="Segoe UI" w:eastAsia="Segoe UI" w:cs="Segoe UI"/>
                <w:color w:val="1F1D1A"/>
                <w:sz w:val="18"/>
              </w:rPr>
              <w:t>Devolver íntegro</w:t>
            </w:r>
          </w:p>
        </w:tc>
        <w:tc>
          <w:tcPr>
            <w:tcW w:type="dxa" w:w="2296"/>
          </w:tcPr>
          <w:p>
            <w:pPr>
              <w:spacing w:after="20" w:line="264" w:lineRule="auto"/>
            </w:pPr>
            <w:r/>
            <w:r>
              <w:rPr>
                <w:rFonts w:ascii="Segoe UI" w:hAnsi="Segoe UI" w:eastAsia="Segoe UI" w:cs="Segoe UI"/>
                <w:color w:val="1F1D1A"/>
                <w:sz w:val="18"/>
              </w:rPr>
              <w:t>No devolver; hacerse robar la suma</w:t>
            </w:r>
          </w:p>
        </w:tc>
      </w:tr>
      <w:tr>
        <w:tc>
          <w:tcPr>
            <w:tcW w:type="dxa" w:w="2296"/>
          </w:tcPr>
          <w:p>
            <w:pPr>
              <w:spacing w:after="20" w:line="264" w:lineRule="auto"/>
            </w:pPr>
            <w:r/>
            <w:r>
              <w:rPr>
                <w:rFonts w:ascii="Segoe UI" w:hAnsi="Segoe UI" w:eastAsia="Segoe UI" w:cs="Segoe UI"/>
                <w:b/>
                <w:color w:val="1F1D1A"/>
                <w:sz w:val="18"/>
              </w:rPr>
              <w:t>P6. Contra la usura; perdonar las deudas</w:t>
            </w:r>
          </w:p>
        </w:tc>
        <w:tc>
          <w:tcPr>
            <w:tcW w:type="dxa" w:w="2296"/>
          </w:tcPr>
          <w:p>
            <w:pPr>
              <w:spacing w:after="20" w:line="264" w:lineRule="auto"/>
            </w:pPr>
            <w:r/>
            <w:r>
              <w:rPr>
                <w:rFonts w:ascii="Segoe UI" w:hAnsi="Segoe UI" w:eastAsia="Segoe UI" w:cs="Segoe UI"/>
                <w:i/>
                <w:color w:val="1F1D1A"/>
                <w:sz w:val="18"/>
              </w:rPr>
              <w:t xml:space="preserve">Se trata aparte, en </w:t>
            </w:r>
            <w:r>
              <w:rPr>
                <w:rFonts w:ascii="Segoe UI" w:hAnsi="Segoe UI" w:eastAsia="Segoe UI" w:cs="Segoe UI"/>
                <w:i/>
                <w:color w:val="1F1D1A"/>
                <w:sz w:val="18"/>
              </w:rPr>
              <w:t>3.3</w:t>
            </w:r>
          </w:p>
        </w:tc>
        <w:tc>
          <w:tcPr>
            <w:tcW w:type="dxa" w:w="2296"/>
          </w:tcPr>
          <w:p>
            <w:pPr>
              <w:spacing w:after="20" w:line="264" w:lineRule="auto"/>
            </w:pPr>
            <w:r/>
          </w:p>
        </w:tc>
        <w:tc>
          <w:tcPr>
            <w:tcW w:type="dxa" w:w="2296"/>
          </w:tcPr>
          <w:p>
            <w:pPr>
              <w:spacing w:after="20" w:line="264" w:lineRule="auto"/>
            </w:pPr>
            <w:r/>
          </w:p>
        </w:tc>
      </w:tr>
      <w:tr>
        <w:tc>
          <w:tcPr>
            <w:tcW w:type="dxa" w:w="2296"/>
          </w:tcPr>
          <w:p>
            <w:pPr>
              <w:spacing w:after="20" w:line="264" w:lineRule="auto"/>
            </w:pPr>
            <w:r/>
            <w:r>
              <w:rPr>
                <w:rFonts w:ascii="Segoe UI" w:hAnsi="Segoe UI" w:eastAsia="Segoe UI" w:cs="Segoe UI"/>
                <w:b/>
                <w:color w:val="1F1D1A"/>
                <w:sz w:val="18"/>
              </w:rPr>
              <w:t>P7. Cada uno responde de lo suyo</w:t>
            </w:r>
          </w:p>
        </w:tc>
        <w:tc>
          <w:tcPr>
            <w:tcW w:type="dxa" w:w="2296"/>
          </w:tcPr>
          <w:p>
            <w:pPr>
              <w:spacing w:after="20" w:line="264" w:lineRule="auto"/>
            </w:pPr>
            <w:r/>
            <w:r>
              <w:rPr>
                <w:rFonts w:ascii="Segoe UI" w:hAnsi="Segoe UI" w:eastAsia="Segoe UI" w:cs="Segoe UI"/>
                <w:color w:val="1F1D1A"/>
                <w:sz w:val="18"/>
              </w:rPr>
              <w:t>Absolver al culpable: justificar al impío</w:t>
            </w:r>
            <w:r>
              <w:rPr>
                <w:rFonts w:ascii="Segoe UI" w:hAnsi="Segoe UI" w:eastAsia="Segoe UI" w:cs="Segoe UI"/>
                <w:color w:val="1F1D1A"/>
                <w:sz w:val="18"/>
              </w:rPr>
              <w:t xml:space="preserve"> (Pr 17:15)</w:t>
            </w:r>
          </w:p>
        </w:tc>
        <w:tc>
          <w:tcPr>
            <w:tcW w:type="dxa" w:w="2296"/>
          </w:tcPr>
          <w:p>
            <w:pPr>
              <w:spacing w:after="20" w:line="264" w:lineRule="auto"/>
            </w:pPr>
            <w:r/>
            <w:r>
              <w:rPr>
                <w:rFonts w:ascii="Segoe UI" w:hAnsi="Segoe UI" w:eastAsia="Segoe UI" w:cs="Segoe UI"/>
                <w:color w:val="1F1D1A"/>
                <w:sz w:val="18"/>
              </w:rPr>
              <w:t>Cada uno por su propio pecado; examinar antes de castigar</w:t>
            </w:r>
          </w:p>
        </w:tc>
        <w:tc>
          <w:tcPr>
            <w:tcW w:type="dxa" w:w="2296"/>
          </w:tcPr>
          <w:p>
            <w:pPr>
              <w:spacing w:after="20" w:line="264" w:lineRule="auto"/>
            </w:pPr>
            <w:r/>
            <w:r>
              <w:rPr>
                <w:rFonts w:ascii="Segoe UI" w:hAnsi="Segoe UI" w:eastAsia="Segoe UI" w:cs="Segoe UI"/>
                <w:color w:val="1F1D1A"/>
                <w:sz w:val="18"/>
              </w:rPr>
              <w:t>La culpa compartida: castigar al hijo por el padre</w:t>
            </w:r>
          </w:p>
        </w:tc>
      </w:tr>
      <w:tr>
        <w:tc>
          <w:tcPr>
            <w:tcW w:type="dxa" w:w="2296"/>
          </w:tcPr>
          <w:p>
            <w:pPr>
              <w:spacing w:after="20" w:line="264" w:lineRule="auto"/>
            </w:pPr>
            <w:r/>
            <w:r>
              <w:rPr>
                <w:rFonts w:ascii="Segoe UI" w:hAnsi="Segoe UI" w:eastAsia="Segoe UI" w:cs="Segoe UI"/>
                <w:b/>
                <w:color w:val="1F1D1A"/>
                <w:sz w:val="18"/>
              </w:rPr>
              <w:t>P8. El castigo no es un negocio</w:t>
            </w:r>
          </w:p>
        </w:tc>
        <w:tc>
          <w:tcPr>
            <w:tcW w:type="dxa" w:w="2296"/>
          </w:tcPr>
          <w:p>
            <w:pPr>
              <w:spacing w:after="20" w:line="264" w:lineRule="auto"/>
            </w:pPr>
            <w:r/>
            <w:r>
              <w:rPr>
                <w:rFonts w:ascii="Segoe UI" w:hAnsi="Segoe UI" w:eastAsia="Segoe UI" w:cs="Segoe UI"/>
                <w:color w:val="1F1D1A"/>
                <w:sz w:val="18"/>
              </w:rPr>
              <w:t>No ejecutar la sentencia a tiempo</w:t>
            </w:r>
            <w:r>
              <w:rPr>
                <w:rFonts w:ascii="Segoe UI" w:hAnsi="Segoe UI" w:eastAsia="Segoe UI" w:cs="Segoe UI"/>
                <w:color w:val="1F1D1A"/>
                <w:sz w:val="18"/>
              </w:rPr>
              <w:t xml:space="preserve"> (Ecl 8:11)</w:t>
            </w:r>
          </w:p>
        </w:tc>
        <w:tc>
          <w:tcPr>
            <w:tcW w:type="dxa" w:w="2296"/>
          </w:tcPr>
          <w:p>
            <w:pPr>
              <w:spacing w:after="20" w:line="264" w:lineRule="auto"/>
            </w:pPr>
            <w:r/>
            <w:r>
              <w:rPr>
                <w:rFonts w:ascii="Segoe UI" w:hAnsi="Segoe UI" w:eastAsia="Segoe UI" w:cs="Segoe UI"/>
                <w:color w:val="1F1D1A"/>
                <w:sz w:val="18"/>
              </w:rPr>
              <w:t>Castigar para quitar el mal, no la hacienda</w:t>
            </w:r>
          </w:p>
        </w:tc>
        <w:tc>
          <w:tcPr>
            <w:tcW w:type="dxa" w:w="2296"/>
          </w:tcPr>
          <w:p>
            <w:pPr>
              <w:spacing w:after="20" w:line="264" w:lineRule="auto"/>
            </w:pPr>
            <w:r/>
            <w:r>
              <w:rPr>
                <w:rFonts w:ascii="Segoe UI" w:hAnsi="Segoe UI" w:eastAsia="Segoe UI" w:cs="Segoe UI"/>
                <w:color w:val="1F1D1A"/>
                <w:sz w:val="18"/>
              </w:rPr>
              <w:t>Las multas como ingreso</w:t>
            </w:r>
          </w:p>
        </w:tc>
      </w:tr>
      <w:tr>
        <w:tc>
          <w:tcPr>
            <w:tcW w:type="dxa" w:w="2296"/>
          </w:tcPr>
          <w:p>
            <w:pPr>
              <w:spacing w:after="20" w:line="264" w:lineRule="auto"/>
            </w:pPr>
            <w:r/>
            <w:r>
              <w:rPr>
                <w:rFonts w:ascii="Segoe UI" w:hAnsi="Segoe UI" w:eastAsia="Segoe UI" w:cs="Segoe UI"/>
                <w:b/>
                <w:color w:val="1F1D1A"/>
                <w:sz w:val="18"/>
              </w:rPr>
              <w:t>P9. Más leyes, más pobreza</w:t>
            </w:r>
          </w:p>
        </w:tc>
        <w:tc>
          <w:tcPr>
            <w:tcW w:type="dxa" w:w="2296"/>
          </w:tcPr>
          <w:p>
            <w:pPr>
              <w:spacing w:after="20" w:line="264" w:lineRule="auto"/>
            </w:pPr>
            <w:r/>
            <w:r>
              <w:rPr>
                <w:rFonts w:ascii="Segoe UI" w:hAnsi="Segoe UI" w:eastAsia="Segoe UI" w:cs="Segoe UI"/>
                <w:color w:val="1F1D1A"/>
                <w:sz w:val="18"/>
              </w:rPr>
              <w:t>Sin leyes: todo según la voluntad o el capricho del rey</w:t>
            </w:r>
          </w:p>
        </w:tc>
        <w:tc>
          <w:tcPr>
            <w:tcW w:type="dxa" w:w="2296"/>
          </w:tcPr>
          <w:p>
            <w:pPr>
              <w:spacing w:after="20" w:line="264" w:lineRule="auto"/>
            </w:pPr>
            <w:r/>
            <w:r>
              <w:rPr>
                <w:rFonts w:ascii="Segoe UI" w:hAnsi="Segoe UI" w:eastAsia="Segoe UI" w:cs="Segoe UI"/>
                <w:color w:val="1F1D1A"/>
                <w:sz w:val="18"/>
              </w:rPr>
              <w:t>La medida justa de leyes</w:t>
            </w:r>
          </w:p>
        </w:tc>
        <w:tc>
          <w:tcPr>
            <w:tcW w:type="dxa" w:w="2296"/>
          </w:tcPr>
          <w:p>
            <w:pPr>
              <w:spacing w:after="20" w:line="264" w:lineRule="auto"/>
            </w:pPr>
            <w:r/>
            <w:r>
              <w:rPr>
                <w:rFonts w:ascii="Segoe UI" w:hAnsi="Segoe UI" w:eastAsia="Segoe UI" w:cs="Segoe UI"/>
                <w:color w:val="1F1D1A"/>
                <w:sz w:val="18"/>
              </w:rPr>
              <w:t>Cuantas más prohibiciones, más pobre el pueblo</w:t>
            </w:r>
          </w:p>
        </w:tc>
      </w:tr>
    </w:tbl>
    <w:p>
      <w:pPr>
        <w:spacing w:after="80"/>
      </w:pPr>
    </w:p>
    <w:p>
      <w:r>
        <w:t>Los dos vicios están escritos en seis de los nueve (P1, P2, P4, P7, P8 y P9); en dos más hay uno solo (P3 y P5); la usura tiene su apartado. Un solo verso da a la vez dos polos de P7: «El que justifica al impío, y el que condena al justo, ambos á dos son abominación á Jehová»</w:t>
      </w:r>
      <w:r>
        <w:t xml:space="preserve"> (Pr 17:15)</w:t>
      </w:r>
      <w:r>
        <w:t>. Y el de P8 lo dice el Eclesiastés: «Porque no se ejecuta luego sentencia sobre la mala obra, el corazón de los hijos de los hombres está en ellos lleno para hacer mal»</w:t>
      </w:r>
      <w:r>
        <w:t xml:space="preserve"> (Ecl 8:11)</w:t>
      </w:r>
      <w:r>
        <w:t>. El defecto de P3 y el de P5 se buscaron en las fuentes ya leídas y no se rellenan: la pereza del perezoso</w:t>
      </w:r>
      <w:r>
        <w:t xml:space="preserve"> (Pr 6:9-11)</w:t>
      </w:r>
      <w:r>
        <w:t xml:space="preserve"> es de quien trabaja, no de quien manda, y el caso del arma que no se devuelve a quien ha perdido la razón</w:t>
      </w:r>
      <w:r>
        <w:t xml:space="preserve"> (Platón, República I, 331c)</w:t>
      </w:r>
      <w:r>
        <w:t xml:space="preserve"> es una excepción a la regla de devolver, no un vicio. </w:t>
      </w:r>
      <w:r>
        <w:t>[04h, 3.3; 04p, fila 31]</w:t>
      </w:r>
    </w:p>
    <w:p>
      <w:pPr>
        <w:pStyle w:val="Heading2"/>
      </w:pPr>
      <w:r>
        <w:t>J.4 La balanza y el dial</w:t>
      </w:r>
    </w:p>
    <w:p>
      <w:pPr>
        <w:pBdr>
          <w:left w:val="single" w:sz="24" w:space="6" w:color="E2DED6"/>
        </w:pBdr>
        <w:shd w:val="clear" w:color="auto" w:fill="F1EEE8"/>
        <w:spacing w:before="80" w:after="160"/>
        <w:ind w:left="142" w:right="142"/>
      </w:pPr>
      <w:r>
        <w:rPr>
          <w:b/>
        </w:rPr>
        <w:t>La idea: la balanza es para lo que se da y se recibe entre dos; el dial, para la conducta de uno. La balanza equilibrada es el centro del dial.</w:t>
      </w:r>
    </w:p>
    <w:p>
      <w:r>
        <w:t>El Arca ya tiene la balanza (</w:t>
      </w:r>
      <w:r>
        <w:t>3.2</w:t>
      </w:r>
      <w:r>
        <w:t xml:space="preserve">, P4): la pesa cabal, en Egipto, Israel, la India, el judaísmo, el islam y China. Mide la </w:t>
      </w:r>
      <w:r>
        <w:rPr>
          <w:b/>
        </w:rPr>
        <w:t>reciprocidad entre dos partes</w:t>
      </w:r>
      <w:r>
        <w:t xml:space="preserve">: lo que el ciudadano da y lo que recibe; lo que el Estado promete y lo que cumple. Los dos platillos. El dial, en cambio, mide </w:t>
      </w:r>
      <w:r>
        <w:rPr>
          <w:b/>
        </w:rPr>
        <w:t>la conducta de uno solo</w:t>
      </w:r>
      <w:r>
        <w:t xml:space="preserve">: dónde cae, entre dos vicios, lo que hace una norma o una institución. Las dos medidas se unen en el título de este anexo: </w:t>
      </w:r>
      <w:r>
        <w:rPr>
          <w:b/>
        </w:rPr>
        <w:t>la balanza equilibrada</w:t>
      </w:r>
      <w:r>
        <w:t xml:space="preserve">, la que tiene los platillos iguales, </w:t>
      </w:r>
      <w:r>
        <w:rPr>
          <w:b/>
        </w:rPr>
        <w:t>es el centro del dial.</w:t>
      </w:r>
      <w:r>
        <w:t xml:space="preserve"> Cuando el Estado sirve, lo que da y lo que recibe se equilibran; cuando se sirve, un platillo baja. Por eso la obra habla de </w:t>
      </w:r>
      <w:r>
        <w:rPr>
          <w:b/>
        </w:rPr>
        <w:t>«lo que habría sido de ajustarse a lo recibido»</w:t>
      </w:r>
      <w:r>
        <w:t xml:space="preserve">: no es una opinión sobre cómo debería ser el Estado, sino la medida de la distancia entre lo creado y el centro que ya estaba escrito. </w:t>
      </w:r>
      <w:r>
        <w:t>[04o, puntos 1 y 4; 3.2, P4; 04g, 5.1]</w:t>
      </w:r>
    </w:p>
    <w:p>
      <w:pPr>
        <w:pStyle w:val="Heading2"/>
      </w:pPr>
      <w:r>
        <w:t>J.5 Las tres capas y la ficha</w:t>
      </w:r>
    </w:p>
    <w:p>
      <w:pPr>
        <w:pBdr>
          <w:left w:val="single" w:sz="24" w:space="6" w:color="E2DED6"/>
        </w:pBdr>
        <w:shd w:val="clear" w:color="auto" w:fill="F1EEE8"/>
        <w:spacing w:before="80" w:after="160"/>
        <w:ind w:left="142" w:right="142"/>
      </w:pPr>
      <w:r>
        <w:rPr>
          <w:b/>
        </w:rPr>
        <w:t>La idea: primero se dibuja el equilibrio; encima, lo creado; y después se mide la distancia y hacia dónde va. Cada cosa evaluada lleva una ficha de tres medidas.</w:t>
      </w:r>
    </w:p>
    <w:p>
      <w:r>
        <w:rPr>
          <w:b/>
        </w:rPr>
        <w:t>Las tres capas</w:t>
      </w:r>
      <w:r>
        <w:t>, en este orden:</w:t>
      </w:r>
    </w:p>
    <w:p>
      <w:pPr>
        <w:spacing w:after="60"/>
        <w:ind w:left="510" w:hanging="397"/>
      </w:pPr>
      <w:r>
        <w:rPr>
          <w:b w:val="0"/>
        </w:rPr>
        <w:t xml:space="preserve">1. </w:t>
      </w:r>
      <w:r>
        <w:rPr>
          <w:b/>
        </w:rPr>
        <w:t>El equilibrio.</w:t>
      </w:r>
      <w:r>
        <w:t xml:space="preserve"> El árbol recto con el centro de cada dial, tal como sale de lo recibido. Se dibuja </w:t>
      </w:r>
      <w:r>
        <w:rPr>
          <w:b/>
        </w:rPr>
        <w:t>primero</w:t>
      </w:r>
      <w:r>
        <w:t>, para que el centro no se pueda mover después.</w:t>
      </w:r>
    </w:p>
    <w:p>
      <w:pPr>
        <w:spacing w:after="60"/>
        <w:ind w:left="510" w:hanging="397"/>
      </w:pPr>
      <w:r>
        <w:rPr>
          <w:b w:val="0"/>
        </w:rPr>
        <w:t xml:space="preserve">2. </w:t>
      </w:r>
      <w:r>
        <w:rPr>
          <w:b/>
        </w:rPr>
        <w:t>Lo creado.</w:t>
      </w:r>
      <w:r>
        <w:t xml:space="preserve"> Sobre esa misma plantilla, dónde cae hoy cada cosa: cada norma, cada institución, cada situación. Con su mejor defensa al lado, como en todo el libro (</w:t>
      </w:r>
      <w:r>
        <w:t>0.3</w:t>
      </w:r>
      <w:r>
        <w:t>).</w:t>
      </w:r>
    </w:p>
    <w:p>
      <w:pPr>
        <w:spacing w:after="60"/>
        <w:ind w:left="510" w:hanging="397"/>
      </w:pPr>
      <w:r>
        <w:rPr>
          <w:b w:val="0"/>
        </w:rPr>
        <w:t xml:space="preserve">3. </w:t>
      </w:r>
      <w:r>
        <w:rPr>
          <w:b/>
        </w:rPr>
        <w:t>La distancia.</w:t>
      </w:r>
      <w:r>
        <w:t xml:space="preserve"> Lo que habría sido de ajustarse a lo recibido frente a lo creado, y hacia dónde se mueve: si se acerca al centro o se aleja. Es la «dirección de los hechos» de </w:t>
      </w:r>
      <w:r>
        <w:t>0.3</w:t>
      </w:r>
      <w:r>
        <w:t>, hecha visible.</w:t>
      </w:r>
    </w:p>
    <w:p>
      <w:r>
        <w:t>[04g, 5.1; Kiko, 8-oct]</w:t>
      </w:r>
    </w:p>
    <w:p>
      <w:r>
        <w:rPr>
          <w:b/>
        </w:rPr>
        <w:t>La ficha.</w:t>
      </w:r>
      <w:r>
        <w:t xml:space="preserve"> Cada cosa que se evalúa lleva tres medidas:</w:t>
      </w:r>
    </w:p>
    <w:p>
      <w:pPr>
        <w:spacing w:after="60"/>
        <w:ind w:left="510" w:hanging="397"/>
      </w:pPr>
      <w:r>
        <w:rPr>
          <w:b w:val="0"/>
        </w:rPr>
        <w:t xml:space="preserve">1. </w:t>
      </w:r>
      <w:r>
        <w:rPr>
          <w:b/>
        </w:rPr>
        <w:t>Dónde caen sus diales:</w:t>
      </w:r>
      <w:r>
        <w:t xml:space="preserve"> por defecto o por exceso; con número solo en el piloto, con zona y flecha en lo demás.</w:t>
      </w:r>
    </w:p>
    <w:p>
      <w:pPr>
        <w:spacing w:after="60"/>
        <w:ind w:left="510" w:hanging="397"/>
      </w:pPr>
      <w:r>
        <w:rPr>
          <w:b w:val="0"/>
        </w:rPr>
        <w:t xml:space="preserve">2. </w:t>
      </w:r>
      <w:r>
        <w:rPr>
          <w:b/>
        </w:rPr>
        <w:t>Cuánta verdad comprobada hay detrás:</w:t>
      </w:r>
      <w:r>
        <w:t xml:space="preserve"> los niveles A, B y C de cada dato que la sostiene (</w:t>
      </w:r>
      <w:r>
        <w:t>0.3</w:t>
      </w:r>
      <w:r>
        <w:t>), y qué parte sigue siendo presunción (</w:t>
      </w:r>
      <w:r>
        <w:t>0.4</w:t>
      </w:r>
      <w:r>
        <w:t>).</w:t>
      </w:r>
    </w:p>
    <w:p>
      <w:pPr>
        <w:spacing w:after="60"/>
        <w:ind w:left="510" w:hanging="397"/>
      </w:pPr>
      <w:r>
        <w:rPr>
          <w:b w:val="0"/>
        </w:rPr>
        <w:t xml:space="preserve">3. </w:t>
      </w:r>
      <w:r>
        <w:rPr>
          <w:b/>
        </w:rPr>
        <w:t>Hacia dónde evoluciona:</w:t>
      </w:r>
      <w:r>
        <w:t xml:space="preserve"> si se acerca o se aleja del centro, con los hechos en orden de fechas.</w:t>
      </w:r>
    </w:p>
    <w:p>
      <w:r>
        <w:t>Ninguna de las tres dice la intención de nadie: un patrón no prueba una intención (</w:t>
      </w:r>
      <w:r>
        <w:t>0.3</w:t>
      </w:r>
      <w:r>
        <w:t xml:space="preserve">). </w:t>
      </w:r>
      <w:r>
        <w:t>[04c, apartado 4, «Tres medidas»; Kiko, 8-oct: «sí a las dos»]</w:t>
      </w:r>
    </w:p>
    <w:p>
      <w:r>
        <w:rPr>
          <w:b/>
        </w:rPr>
        <w:t>Lectura del autor, lo global y lo particular</w:t>
      </w:r>
      <w:r>
        <w:t xml:space="preserve"> (palabras del autor, 6-oct-2026; las imágenes son suyas, para explicar la idea, no datos): primero se mira lo global y después lo particular. Una misma fuente da de beber a animales distintos según su caudal: con poco caudal no vive un pez, y una vaca sí puede beber. Y un solo árbol tiene muchas ramas: la que nace al sur recibe más sol que la del norte y tendrá más hojas, y cuenta también el agua que reciben las raíces. Con la obra pasa lo mismo: la Constitución, bajada de una fuente oficial, es la verdad de su texto, pero cada artículo marca una dirección distinta y no se aplica el mismo a todos los casos. Por eso el centro de cada dial se escribe una vez, para todos (</w:t>
      </w:r>
      <w:r>
        <w:t>J.2</w:t>
      </w:r>
      <w:r>
        <w:t>), y cada cosa que se evalúa lleva su ficha, con sus variables (</w:t>
      </w:r>
      <w:r>
        <w:t>J.5</w:t>
      </w:r>
      <w:r>
        <w:t>). Mirar solo lo global tiene un riesgo: la respuesta de plantilla, que trata todos los casos como iguales aunque cada uno traiga su información. La propia ley pide lo contrario: motivar el acto, y una motivación de plantilla no cumple ese deber (</w:t>
      </w:r>
      <w:r>
        <w:t>10.4</w:t>
      </w:r>
      <w:r>
        <w:t>).</w:t>
      </w:r>
    </w:p>
    <w:p>
      <w:r>
        <w:t>[palabras de Kiko, 6-oct-2026 (libreta de flecos, sección 6: «Lo global y lo particular»); 03b, A7; Ley 39/2015, art. 35, ya en 10.4]</w:t>
      </w:r>
    </w:p>
    <w:p>
      <w:pPr>
        <w:pStyle w:val="Heading2"/>
      </w:pPr>
      <w:r>
        <w:t>J.6 El piloto</w:t>
      </w:r>
    </w:p>
    <w:p>
      <w:pPr>
        <w:pBdr>
          <w:left w:val="single" w:sz="24" w:space="6" w:color="E2DED6"/>
        </w:pBdr>
        <w:shd w:val="clear" w:color="auto" w:fill="F1EEE8"/>
        <w:spacing w:before="80" w:after="160"/>
        <w:ind w:left="142" w:right="142"/>
      </w:pPr>
      <w:r>
        <w:rPr>
          <w:b/>
        </w:rPr>
        <w:t>La idea: el dial se prueba primero en pequeño, con las palabras del artículo 1.1 de la Constitución y con la dignidad, y solo lleva números si cumple cuatro condiciones.</w:t>
      </w:r>
    </w:p>
    <w:p>
      <w:r>
        <w:rPr>
          <w:b/>
        </w:rPr>
        <w:t>Las cuatro condiciones</w:t>
      </w:r>
      <w:r>
        <w:t xml:space="preserve"> para que un dial lleve número, fijadas antes de medir:</w:t>
      </w:r>
    </w:p>
    <w:p>
      <w:pPr>
        <w:spacing w:after="60"/>
        <w:ind w:left="510" w:hanging="397"/>
      </w:pPr>
      <w:r>
        <w:rPr>
          <w:b w:val="0"/>
        </w:rPr>
        <w:t xml:space="preserve">1. </w:t>
      </w:r>
      <w:r>
        <w:rPr>
          <w:b/>
        </w:rPr>
        <w:t>Los polos son dos vicios</w:t>
      </w:r>
      <w:r>
        <w:t>, no el bien y el mal (anexo del 4.3). Si un dial pone «bien» a un lado y «mal» al otro, falla.</w:t>
      </w:r>
    </w:p>
    <w:p>
      <w:pPr>
        <w:spacing w:after="60"/>
        <w:ind w:left="510" w:hanging="397"/>
      </w:pPr>
      <w:r>
        <w:rPr>
          <w:b w:val="0"/>
        </w:rPr>
        <w:t xml:space="preserve">2. </w:t>
      </w:r>
      <w:r>
        <w:rPr>
          <w:b/>
        </w:rPr>
        <w:t>El centro se escribe antes de mirar los datos</w:t>
      </w:r>
      <w:r>
        <w:t>, con la definición del bien común (</w:t>
      </w:r>
      <w:r>
        <w:t>J.2</w:t>
      </w:r>
      <w:r>
        <w:t xml:space="preserve"> y 7.4).</w:t>
      </w:r>
    </w:p>
    <w:p>
      <w:pPr>
        <w:spacing w:after="60"/>
        <w:ind w:left="510" w:hanging="397"/>
      </w:pPr>
      <w:r>
        <w:rPr>
          <w:b w:val="0"/>
        </w:rPr>
        <w:t xml:space="preserve">3. </w:t>
      </w:r>
      <w:r>
        <w:rPr>
          <w:b/>
        </w:rPr>
        <w:t>Se miden frutos observables</w:t>
      </w:r>
      <w:r>
        <w:t>, no propósitos ni intenciones; y se miden diseños e instituciones, nunca personas.</w:t>
      </w:r>
    </w:p>
    <w:p>
      <w:pPr>
        <w:spacing w:after="60"/>
        <w:ind w:left="510" w:hanging="397"/>
      </w:pPr>
      <w:r>
        <w:rPr>
          <w:b w:val="0"/>
        </w:rPr>
        <w:t xml:space="preserve">4. </w:t>
      </w:r>
      <w:r>
        <w:rPr>
          <w:b/>
        </w:rPr>
        <w:t>Un perfil, no un porcentaje único:</w:t>
      </w:r>
      <w:r>
        <w:t xml:space="preserve"> una media global esconde lo que importa; se da cada dimensión a la vista, y un porcentaje por dimensión solo si tiene umbral escrito de antemano, dato de nivel A y cálculo que cualquiera pueda repetir.</w:t>
      </w:r>
    </w:p>
    <w:p>
      <w:r>
        <w:t>[libreta 78, apartado 3; 04g, 5.1; Kiko, 8-oct: «sí»]</w:t>
      </w:r>
    </w:p>
    <w:p>
      <w:r>
        <w:rPr>
          <w:b/>
        </w:rPr>
        <w:t>El diseño del piloto.</w:t>
      </w:r>
      <w:r>
        <w:t xml:space="preserve"> Las palabras que la Constitución promete en su artículo 1.1, «la libertad, la justicia, la igualdad y el pluralismo político»</w:t>
      </w:r>
      <w:r>
        <w:t xml:space="preserve"> (Constitución, art. 1.1)</w:t>
      </w:r>
      <w:r>
        <w:t>, y la dignidad del artículo 10.1 (</w:t>
      </w:r>
      <w:r>
        <w:t>1.4</w:t>
      </w:r>
      <w:r>
        <w:t xml:space="preserve">). Para cada palabra, tres o cuatro dimensiones elegidas entre los datos de nivel A que la obra ya tiene, sin buscar ninguno nuevo; para cada dimensión, el defecto, el centro y el exceso, con el umbral escrito antes del dato; y el resultado en tres palabras: «cerca», «se aleja por defecto» o «se aleja por exceso». Las dimensiones candidatas, por comprobar una a una con el conjunto delante: para la justicia, los plazos y las condenas de los tribunales (7 y </w:t>
      </w:r>
      <w:r>
        <w:t>anexo A</w:t>
      </w:r>
      <w:r>
        <w:t xml:space="preserve">); para la igualdad, los aforamientos, la pobreza infantil y la diferencia entre lo público y lo privado; para la libertad, las sanciones administrativas y el silencio administrativo; para el pluralismo, el umbral de entrada y las subvenciones a quien ya tiene escaños. Antes de publicar un número, la regla se prueba con una muestra juzgada aparte. </w:t>
      </w:r>
      <w:r>
        <w:t>[libreta 78, apartado 4; Constitución leída en el BOE]</w:t>
      </w:r>
    </w:p>
    <w:p>
      <w:r>
        <w:rPr>
          <w:b/>
        </w:rPr>
        <w:t>Lo que el piloto es y lo que no.</w:t>
      </w:r>
      <w:r>
        <w:t xml:space="preserve"> Es la prueba de que el método se puede aplicar sin trampa; no es el veredicto sobre el Estado, que ya está dicho en el dictamen (</w:t>
      </w:r>
      <w:r>
        <w:t>9</w:t>
      </w:r>
      <w:r>
        <w:t xml:space="preserve">). Si una dimensión no cumple las cuatro condiciones, se queda sin número y va como lectura del autor. </w:t>
      </w:r>
      <w:r>
        <w:t>[libreta 78, apartados 3 y 7]</w:t>
      </w:r>
    </w:p>
    <w:p>
      <w:r>
        <w:rPr>
          <w:b/>
        </w:rPr>
        <w:t>El piloto, hecho sin números.</w:t>
      </w:r>
      <w:r>
        <w:t xml:space="preserve"> Un dial por palabra: el centro, escrito antes de mirar ningún dato; a la izquierda, el vicio de no cuidar, y a la derecha, el de servirse, como en el dial maestro (</w:t>
      </w:r>
      <w:r>
        <w:t>J.3</w:t>
      </w:r>
      <w:r>
        <w:t>); y en cada dimensión, la flecha en tres palabras, solo con lo que la obra ya tiene y su remisión. El centro es el bien: de lo que hizo, «vió Dios que era bueno»</w:t>
      </w:r>
      <w:r>
        <w:t xml:space="preserve"> (Gn 1:10)</w:t>
      </w:r>
      <w:r>
        <w:t>. Y el mal es errar ese blanco, como lo nombran el griego y el hebreo de la Biblia (</w:t>
      </w:r>
      <w:r>
        <w:t>3.2</w:t>
      </w:r>
      <w:r>
        <w:t>) y el sánscrito (</w:t>
      </w:r>
      <w:r>
        <w:t>F.8</w:t>
      </w:r>
      <w:r>
        <w:t>).</w:t>
      </w:r>
    </w:p>
    <w:p>
      <w:pPr>
        <w:pStyle w:val="ListBullet"/>
      </w:pPr>
      <w:r>
        <w:rPr>
          <w:b/>
        </w:rPr>
        <w:t>Libertad:</w:t>
      </w:r>
      <w:r>
        <w:t xml:space="preserve"> se aleja por exceso en la presunción en lo sancionador; está cerca en el silencio que da la razón a quien pide para sí; y se aleja por defecto en el silencio que no contesta a quien pregunta o pide información.</w:t>
      </w:r>
    </w:p>
    <w:p>
      <w:pPr>
        <w:pStyle w:val="ListBullet"/>
      </w:pPr>
      <w:r>
        <w:rPr>
          <w:b/>
        </w:rPr>
        <w:t>Justicia:</w:t>
      </w:r>
      <w:r>
        <w:t xml:space="preserve"> se aleja por defecto en los plazos, en la justicia gratuita, en la reparación del error judicial y en el órgano de gobierno de los jueces, que no se renovó a su tiempo.</w:t>
      </w:r>
    </w:p>
    <w:p>
      <w:pPr>
        <w:pStyle w:val="ListBullet"/>
      </w:pPr>
      <w:r>
        <w:rPr>
          <w:b/>
        </w:rPr>
        <w:t>Igualdad:</w:t>
      </w:r>
      <w:r>
        <w:t xml:space="preserve"> se aleja por exceso en los aforados y por defecto en la pobreza infantil; lo público frente a lo privado se queda sin flecha.</w:t>
      </w:r>
    </w:p>
    <w:p>
      <w:pPr>
        <w:pStyle w:val="ListBullet"/>
      </w:pPr>
      <w:r>
        <w:rPr>
          <w:b/>
        </w:rPr>
        <w:t>Pluralismo político:</w:t>
      </w:r>
      <w:r>
        <w:t xml:space="preserve"> se aleja por exceso en el umbral de entrada, en las firmas que se piden al partido nuevo y en el dinero.</w:t>
      </w:r>
    </w:p>
    <w:p>
      <w:pPr>
        <w:pStyle w:val="ListBullet"/>
      </w:pPr>
      <w:r>
        <w:rPr>
          <w:b/>
        </w:rPr>
        <w:t>Dignidad:</w:t>
      </w:r>
      <w:r>
        <w:t xml:space="preserve"> se aleja por defecto en la persona como trámite; la persona como medio se queda sin flecha.</w:t>
      </w:r>
    </w:p>
    <w:tbl>
      <w:tblPr>
        <w:tblStyle w:val="TableGrid"/>
        <w:tblW w:type="auto" w:w="0"/>
        <w:tblLayout w:type="autofit"/>
        <w:tblBorders>
          <w:top w:val="single" w:sz="4" w:space="0" w:color="E2DED6"/>
          <w:left w:val="single" w:sz="4" w:space="0" w:color="E2DED6"/>
          <w:bottom w:val="single" w:sz="4" w:space="0" w:color="E2DED6"/>
          <w:right w:val="single" w:sz="4" w:space="0" w:color="E2DED6"/>
          <w:insideH w:val="single" w:sz="4" w:space="0" w:color="E2DED6"/>
          <w:insideV w:val="single" w:sz="4" w:space="0" w:color="E2DED6"/>
        </w:tblBorders>
        <w:tblLook w:firstColumn="1" w:firstRow="1" w:lastColumn="0" w:lastRow="0" w:noHBand="0" w:noVBand="1" w:val="04A0"/>
      </w:tblPr>
      <w:tblGrid>
        <w:gridCol w:w="2296"/>
        <w:gridCol w:w="2296"/>
        <w:gridCol w:w="2296"/>
        <w:gridCol w:w="2296"/>
      </w:tblGrid>
      <w:tr>
        <w:tc>
          <w:tcPr>
            <w:tcW w:type="dxa" w:w="2296"/>
            <w:shd w:val="clear" w:color="auto" w:fill="F1EEE8"/>
          </w:tcPr>
          <w:p>
            <w:pPr>
              <w:spacing w:after="20" w:line="264" w:lineRule="auto"/>
            </w:pPr>
            <w:r>
              <w:rPr>
                <w:b/>
              </w:rPr>
            </w:r>
            <w:r>
              <w:rPr>
                <w:rFonts w:ascii="Segoe UI" w:hAnsi="Segoe UI" w:eastAsia="Segoe UI" w:cs="Segoe UI"/>
                <w:b/>
                <w:color w:val="1F1D1A"/>
                <w:sz w:val="18"/>
              </w:rPr>
              <w:t>Palabra</w:t>
            </w:r>
          </w:p>
        </w:tc>
        <w:tc>
          <w:tcPr>
            <w:tcW w:type="dxa" w:w="2296"/>
            <w:shd w:val="clear" w:color="auto" w:fill="F1EEE8"/>
          </w:tcPr>
          <w:p>
            <w:pPr>
              <w:spacing w:after="20" w:line="264" w:lineRule="auto"/>
            </w:pPr>
            <w:r>
              <w:rPr>
                <w:b/>
              </w:rPr>
            </w:r>
            <w:r>
              <w:rPr>
                <w:rFonts w:ascii="Segoe UI" w:hAnsi="Segoe UI" w:eastAsia="Segoe UI" w:cs="Segoe UI"/>
                <w:b/>
                <w:color w:val="1F1D1A"/>
                <w:sz w:val="18"/>
              </w:rPr>
              <w:t>Izquierda: no cuida</w:t>
            </w:r>
          </w:p>
        </w:tc>
        <w:tc>
          <w:tcPr>
            <w:tcW w:type="dxa" w:w="2296"/>
            <w:shd w:val="clear" w:color="auto" w:fill="F1EEE8"/>
          </w:tcPr>
          <w:p>
            <w:pPr>
              <w:spacing w:after="20" w:line="264" w:lineRule="auto"/>
            </w:pPr>
            <w:r>
              <w:rPr>
                <w:b/>
              </w:rPr>
            </w:r>
            <w:r>
              <w:rPr>
                <w:rFonts w:ascii="Segoe UI" w:hAnsi="Segoe UI" w:eastAsia="Segoe UI" w:cs="Segoe UI"/>
                <w:b/>
                <w:color w:val="1F1D1A"/>
                <w:sz w:val="18"/>
              </w:rPr>
              <w:t>Centro</w:t>
            </w:r>
          </w:p>
        </w:tc>
        <w:tc>
          <w:tcPr>
            <w:tcW w:type="dxa" w:w="2296"/>
            <w:shd w:val="clear" w:color="auto" w:fill="F1EEE8"/>
          </w:tcPr>
          <w:p>
            <w:pPr>
              <w:spacing w:after="20" w:line="264" w:lineRule="auto"/>
            </w:pPr>
            <w:r>
              <w:rPr>
                <w:b/>
              </w:rPr>
            </w:r>
            <w:r>
              <w:rPr>
                <w:rFonts w:ascii="Segoe UI" w:hAnsi="Segoe UI" w:eastAsia="Segoe UI" w:cs="Segoe UI"/>
                <w:b/>
                <w:color w:val="1F1D1A"/>
                <w:sz w:val="18"/>
              </w:rPr>
              <w:t>Derecha: se sirve</w:t>
            </w:r>
          </w:p>
        </w:tc>
      </w:tr>
      <w:tr>
        <w:tc>
          <w:tcPr>
            <w:tcW w:type="dxa" w:w="2296"/>
          </w:tcPr>
          <w:p>
            <w:pPr>
              <w:spacing w:after="20" w:line="264" w:lineRule="auto"/>
            </w:pPr>
            <w:r/>
            <w:r>
              <w:rPr>
                <w:rFonts w:ascii="Segoe UI" w:hAnsi="Segoe UI" w:eastAsia="Segoe UI" w:cs="Segoe UI"/>
                <w:color w:val="1F1D1A"/>
                <w:sz w:val="18"/>
              </w:rPr>
              <w:t>Libertad</w:t>
            </w:r>
          </w:p>
        </w:tc>
        <w:tc>
          <w:tcPr>
            <w:tcW w:type="dxa" w:w="2296"/>
          </w:tcPr>
          <w:p>
            <w:pPr>
              <w:spacing w:after="20" w:line="264" w:lineRule="auto"/>
            </w:pPr>
            <w:r/>
            <w:r>
              <w:rPr>
                <w:rFonts w:ascii="Segoe UI" w:hAnsi="Segoe UI" w:eastAsia="Segoe UI" w:cs="Segoe UI"/>
                <w:color w:val="1F1D1A"/>
                <w:sz w:val="18"/>
              </w:rPr>
              <w:t>El fuerte hace lo que quiere y el débil no tiene a quién acudir</w:t>
            </w:r>
          </w:p>
        </w:tc>
        <w:tc>
          <w:tcPr>
            <w:tcW w:type="dxa" w:w="2296"/>
          </w:tcPr>
          <w:p>
            <w:pPr>
              <w:spacing w:after="20" w:line="264" w:lineRule="auto"/>
            </w:pPr>
            <w:r/>
            <w:r>
              <w:rPr>
                <w:rFonts w:ascii="Segoe UI" w:hAnsi="Segoe UI" w:eastAsia="Segoe UI" w:cs="Segoe UI"/>
                <w:color w:val="1F1D1A"/>
                <w:sz w:val="18"/>
              </w:rPr>
              <w:t>El poder la garantiza y solo pone el límite que protege a los demás</w:t>
            </w:r>
          </w:p>
        </w:tc>
        <w:tc>
          <w:tcPr>
            <w:tcW w:type="dxa" w:w="2296"/>
          </w:tcPr>
          <w:p>
            <w:pPr>
              <w:spacing w:after="20" w:line="264" w:lineRule="auto"/>
            </w:pPr>
            <w:r/>
            <w:r>
              <w:rPr>
                <w:rFonts w:ascii="Segoe UI" w:hAnsi="Segoe UI" w:eastAsia="Segoe UI" w:cs="Segoe UI"/>
                <w:color w:val="1F1D1A"/>
                <w:sz w:val="18"/>
              </w:rPr>
              <w:t>La tutela, el poder decide por el ciudadano, pide permiso para todo y castiga sin juez</w:t>
            </w:r>
          </w:p>
        </w:tc>
      </w:tr>
      <w:tr>
        <w:tc>
          <w:tcPr>
            <w:tcW w:type="dxa" w:w="2296"/>
          </w:tcPr>
          <w:p>
            <w:pPr>
              <w:spacing w:after="20" w:line="264" w:lineRule="auto"/>
            </w:pPr>
            <w:r/>
            <w:r>
              <w:rPr>
                <w:rFonts w:ascii="Segoe UI" w:hAnsi="Segoe UI" w:eastAsia="Segoe UI" w:cs="Segoe UI"/>
                <w:color w:val="1F1D1A"/>
                <w:sz w:val="18"/>
              </w:rPr>
              <w:t>Justicia</w:t>
            </w:r>
          </w:p>
        </w:tc>
        <w:tc>
          <w:tcPr>
            <w:tcW w:type="dxa" w:w="2296"/>
          </w:tcPr>
          <w:p>
            <w:pPr>
              <w:spacing w:after="20" w:line="264" w:lineRule="auto"/>
            </w:pPr>
            <w:r/>
            <w:r>
              <w:rPr>
                <w:rFonts w:ascii="Segoe UI" w:hAnsi="Segoe UI" w:eastAsia="Segoe UI" w:cs="Segoe UI"/>
                <w:color w:val="1F1D1A"/>
                <w:sz w:val="18"/>
              </w:rPr>
              <w:t>La justicia que no llega, plazos que la vacían, condenas que no se cumplen, el poder que no se corrige</w:t>
            </w:r>
          </w:p>
        </w:tc>
        <w:tc>
          <w:tcPr>
            <w:tcW w:type="dxa" w:w="2296"/>
          </w:tcPr>
          <w:p>
            <w:pPr>
              <w:spacing w:after="20" w:line="264" w:lineRule="auto"/>
            </w:pPr>
            <w:r/>
            <w:r>
              <w:rPr>
                <w:rFonts w:ascii="Segoe UI" w:hAnsi="Segoe UI" w:eastAsia="Segoe UI" w:cs="Segoe UI"/>
                <w:color w:val="1F1D1A"/>
                <w:sz w:val="18"/>
              </w:rPr>
              <w:t>A cada uno lo suyo, a tiempo y con la misma ley</w:t>
            </w:r>
          </w:p>
        </w:tc>
        <w:tc>
          <w:tcPr>
            <w:tcW w:type="dxa" w:w="2296"/>
          </w:tcPr>
          <w:p>
            <w:pPr>
              <w:spacing w:after="20" w:line="264" w:lineRule="auto"/>
            </w:pPr>
            <w:r/>
            <w:r>
              <w:rPr>
                <w:rFonts w:ascii="Segoe UI" w:hAnsi="Segoe UI" w:eastAsia="Segoe UI" w:cs="Segoe UI"/>
                <w:color w:val="1F1D1A"/>
                <w:sz w:val="18"/>
              </w:rPr>
              <w:t>La justicia como instrumento, se persigue al incómodo y se perdona al propio</w:t>
            </w:r>
          </w:p>
        </w:tc>
      </w:tr>
      <w:tr>
        <w:tc>
          <w:tcPr>
            <w:tcW w:type="dxa" w:w="2296"/>
          </w:tcPr>
          <w:p>
            <w:pPr>
              <w:spacing w:after="20" w:line="264" w:lineRule="auto"/>
            </w:pPr>
            <w:r/>
            <w:r>
              <w:rPr>
                <w:rFonts w:ascii="Segoe UI" w:hAnsi="Segoe UI" w:eastAsia="Segoe UI" w:cs="Segoe UI"/>
                <w:color w:val="1F1D1A"/>
                <w:sz w:val="18"/>
              </w:rPr>
              <w:t>Igualdad</w:t>
            </w:r>
          </w:p>
        </w:tc>
        <w:tc>
          <w:tcPr>
            <w:tcW w:type="dxa" w:w="2296"/>
          </w:tcPr>
          <w:p>
            <w:pPr>
              <w:spacing w:after="20" w:line="264" w:lineRule="auto"/>
            </w:pPr>
            <w:r/>
            <w:r>
              <w:rPr>
                <w:rFonts w:ascii="Segoe UI" w:hAnsi="Segoe UI" w:eastAsia="Segoe UI" w:cs="Segoe UI"/>
                <w:color w:val="1F1D1A"/>
                <w:sz w:val="18"/>
              </w:rPr>
              <w:t>El abandono, el que menos tiene queda fuera</w:t>
            </w:r>
          </w:p>
        </w:tc>
        <w:tc>
          <w:tcPr>
            <w:tcW w:type="dxa" w:w="2296"/>
          </w:tcPr>
          <w:p>
            <w:pPr>
              <w:spacing w:after="20" w:line="264" w:lineRule="auto"/>
            </w:pPr>
            <w:r/>
            <w:r>
              <w:rPr>
                <w:rFonts w:ascii="Segoe UI" w:hAnsi="Segoe UI" w:eastAsia="Segoe UI" w:cs="Segoe UI"/>
                <w:color w:val="1F1D1A"/>
                <w:sz w:val="18"/>
              </w:rPr>
              <w:t>La misma ley para todos, sin privilegio y sin abandono</w:t>
            </w:r>
          </w:p>
        </w:tc>
        <w:tc>
          <w:tcPr>
            <w:tcW w:type="dxa" w:w="2296"/>
          </w:tcPr>
          <w:p>
            <w:pPr>
              <w:spacing w:after="20" w:line="264" w:lineRule="auto"/>
            </w:pPr>
            <w:r/>
            <w:r>
              <w:rPr>
                <w:rFonts w:ascii="Segoe UI" w:hAnsi="Segoe UI" w:eastAsia="Segoe UI" w:cs="Segoe UI"/>
                <w:color w:val="1F1D1A"/>
                <w:sz w:val="18"/>
              </w:rPr>
              <w:t>El privilegio, el poder se exime de la ley común y reparte según quién</w:t>
            </w:r>
          </w:p>
        </w:tc>
      </w:tr>
      <w:tr>
        <w:tc>
          <w:tcPr>
            <w:tcW w:type="dxa" w:w="2296"/>
          </w:tcPr>
          <w:p>
            <w:pPr>
              <w:spacing w:after="20" w:line="264" w:lineRule="auto"/>
            </w:pPr>
            <w:r/>
            <w:r>
              <w:rPr>
                <w:rFonts w:ascii="Segoe UI" w:hAnsi="Segoe UI" w:eastAsia="Segoe UI" w:cs="Segoe UI"/>
                <w:color w:val="1F1D1A"/>
                <w:sz w:val="18"/>
              </w:rPr>
              <w:t>Pluralismo político</w:t>
            </w:r>
          </w:p>
        </w:tc>
        <w:tc>
          <w:tcPr>
            <w:tcW w:type="dxa" w:w="2296"/>
          </w:tcPr>
          <w:p>
            <w:pPr>
              <w:spacing w:after="20" w:line="264" w:lineRule="auto"/>
            </w:pPr>
            <w:r/>
            <w:r>
              <w:rPr>
                <w:rFonts w:ascii="Segoe UI" w:hAnsi="Segoe UI" w:eastAsia="Segoe UI" w:cs="Segoe UI"/>
                <w:color w:val="1F1D1A"/>
                <w:sz w:val="18"/>
              </w:rPr>
              <w:t>La voz sin cauce, nadie recoge lo que el ciudadano dice</w:t>
            </w:r>
          </w:p>
        </w:tc>
        <w:tc>
          <w:tcPr>
            <w:tcW w:type="dxa" w:w="2296"/>
          </w:tcPr>
          <w:p>
            <w:pPr>
              <w:spacing w:after="20" w:line="264" w:lineRule="auto"/>
            </w:pPr>
            <w:r/>
            <w:r>
              <w:rPr>
                <w:rFonts w:ascii="Segoe UI" w:hAnsi="Segoe UI" w:eastAsia="Segoe UI" w:cs="Segoe UI"/>
                <w:color w:val="1F1D1A"/>
                <w:sz w:val="18"/>
              </w:rPr>
              <w:t>Todas las voces con las mismas reglas, y decide quien tiene el mandato</w:t>
            </w:r>
          </w:p>
        </w:tc>
        <w:tc>
          <w:tcPr>
            <w:tcW w:type="dxa" w:w="2296"/>
          </w:tcPr>
          <w:p>
            <w:pPr>
              <w:spacing w:after="20" w:line="264" w:lineRule="auto"/>
            </w:pPr>
            <w:r/>
            <w:r>
              <w:rPr>
                <w:rFonts w:ascii="Segoe UI" w:hAnsi="Segoe UI" w:eastAsia="Segoe UI" w:cs="Segoe UI"/>
                <w:color w:val="1F1D1A"/>
                <w:sz w:val="18"/>
              </w:rPr>
              <w:t>El cierre, las reglas protegen a quien ya está dentro</w:t>
            </w:r>
          </w:p>
        </w:tc>
      </w:tr>
      <w:tr>
        <w:tc>
          <w:tcPr>
            <w:tcW w:type="dxa" w:w="2296"/>
          </w:tcPr>
          <w:p>
            <w:pPr>
              <w:spacing w:after="20" w:line="264" w:lineRule="auto"/>
            </w:pPr>
            <w:r/>
            <w:r>
              <w:rPr>
                <w:rFonts w:ascii="Segoe UI" w:hAnsi="Segoe UI" w:eastAsia="Segoe UI" w:cs="Segoe UI"/>
                <w:color w:val="1F1D1A"/>
                <w:sz w:val="18"/>
              </w:rPr>
              <w:t>Dignidad</w:t>
            </w:r>
          </w:p>
        </w:tc>
        <w:tc>
          <w:tcPr>
            <w:tcW w:type="dxa" w:w="2296"/>
          </w:tcPr>
          <w:p>
            <w:pPr>
              <w:spacing w:after="20" w:line="264" w:lineRule="auto"/>
            </w:pPr>
            <w:r/>
            <w:r>
              <w:rPr>
                <w:rFonts w:ascii="Segoe UI" w:hAnsi="Segoe UI" w:eastAsia="Segoe UI" w:cs="Segoe UI"/>
                <w:color w:val="1F1D1A"/>
                <w:sz w:val="18"/>
              </w:rPr>
              <w:t>La persona como número o trámite</w:t>
            </w:r>
          </w:p>
        </w:tc>
        <w:tc>
          <w:tcPr>
            <w:tcW w:type="dxa" w:w="2296"/>
          </w:tcPr>
          <w:p>
            <w:pPr>
              <w:spacing w:after="20" w:line="264" w:lineRule="auto"/>
            </w:pPr>
            <w:r/>
            <w:r>
              <w:rPr>
                <w:rFonts w:ascii="Segoe UI" w:hAnsi="Segoe UI" w:eastAsia="Segoe UI" w:cs="Segoe UI"/>
                <w:color w:val="1F1D1A"/>
                <w:sz w:val="18"/>
              </w:rPr>
              <w:t>Cada persona vale por ser persona, antes del Estado, y se la trata como fin</w:t>
            </w:r>
          </w:p>
        </w:tc>
        <w:tc>
          <w:tcPr>
            <w:tcW w:type="dxa" w:w="2296"/>
          </w:tcPr>
          <w:p>
            <w:pPr>
              <w:spacing w:after="20" w:line="264" w:lineRule="auto"/>
            </w:pPr>
            <w:r/>
            <w:r>
              <w:rPr>
                <w:rFonts w:ascii="Segoe UI" w:hAnsi="Segoe UI" w:eastAsia="Segoe UI" w:cs="Segoe UI"/>
                <w:color w:val="1F1D1A"/>
                <w:sz w:val="18"/>
              </w:rPr>
              <w:t>La persona como medio del aparato</w:t>
            </w:r>
          </w:p>
        </w:tc>
      </w:tr>
    </w:tbl>
    <w:p>
      <w:pPr>
        <w:spacing w:after="80"/>
      </w:pPr>
    </w:p>
    <w:p>
      <w:r>
        <w:rPr>
          <w:b/>
        </w:rPr>
        <w:t>Lo que sostiene cada flecha</w:t>
      </w:r>
      <w:r>
        <w:t xml:space="preserve"> (solo lo que la obra ya tiene; cada dato, completo, en su apartado):</w:t>
      </w:r>
    </w:p>
    <w:p>
      <w:pPr>
        <w:pStyle w:val="ListBullet"/>
      </w:pPr>
      <w:r>
        <w:rPr>
          <w:b/>
        </w:rPr>
        <w:t>Libertad, la presunción en lo sancionador: se aleja por exceso.</w:t>
      </w:r>
      <w:r>
        <w:t xml:space="preserve"> La ley la reconoce, pero donde la práctica invierte la carga de la prueba hay que reclamarla caso por caso (</w:t>
      </w:r>
      <w:r>
        <w:t>7.5</w:t>
      </w:r>
      <w:r>
        <w:t>, caso 3); y la palabra de la autoridad hace prueba (</w:t>
      </w:r>
      <w:r>
        <w:t>D.13</w:t>
      </w:r>
      <w:r>
        <w:t>, n.º 3).</w:t>
      </w:r>
    </w:p>
    <w:p>
      <w:pPr>
        <w:pStyle w:val="ListBullet"/>
      </w:pPr>
      <w:r>
        <w:rPr>
          <w:b/>
        </w:rPr>
        <w:t>Libertad, el silencio cuando el ciudadano pide para sí: cerca.</w:t>
      </w:r>
      <w:r>
        <w:t xml:space="preserve"> Si vence el plazo sin resolución, la regla general es que el silencio le da la razón (</w:t>
      </w:r>
      <w:r>
        <w:t>D.13</w:t>
      </w:r>
      <w:r>
        <w:t>).</w:t>
      </w:r>
    </w:p>
    <w:p>
      <w:pPr>
        <w:pStyle w:val="ListBullet"/>
      </w:pPr>
      <w:r>
        <w:rPr>
          <w:b/>
        </w:rPr>
        <w:t>Libertad, el silencio cuando el ciudadano pregunta: se aleja por defecto.</w:t>
      </w:r>
      <w:r>
        <w:t xml:space="preserve"> En la petición y en el acceso a la información, el silencio dice no (</w:t>
      </w:r>
      <w:r>
        <w:t>10.4</w:t>
      </w:r>
      <w:r>
        <w:t xml:space="preserve">; </w:t>
      </w:r>
      <w:r>
        <w:t>D.13</w:t>
      </w:r>
      <w:r>
        <w:t>, n.º 7), y las reclamaciones de transparencia porque la Administración no contestó en plazo van a más cada año (</w:t>
      </w:r>
      <w:r>
        <w:t>A.5</w:t>
      </w:r>
      <w:r>
        <w:t>, art. 105.b).</w:t>
      </w:r>
    </w:p>
    <w:p>
      <w:pPr>
        <w:pStyle w:val="ListBullet"/>
      </w:pPr>
      <w:r>
        <w:rPr>
          <w:b/>
        </w:rPr>
        <w:t>Justicia, los plazos: se aleja por defecto.</w:t>
      </w:r>
      <w:r>
        <w:t xml:space="preserve"> Crecen los asuntos penales pendientes, el órgano de gobierno de los jueces no tiene datos de lo que dura de verdad un proceso, y el Tribunal Europeo de Derechos Humanos condenó a España por la lentitud del Constitucional (</w:t>
      </w:r>
      <w:r>
        <w:t>A.7</w:t>
      </w:r>
      <w:r>
        <w:t>, art. 120.3).</w:t>
      </w:r>
    </w:p>
    <w:p>
      <w:pPr>
        <w:pStyle w:val="ListBullet"/>
      </w:pPr>
      <w:r>
        <w:rPr>
          <w:b/>
        </w:rPr>
        <w:t>Justicia, la justicia gratuita: se aleja por defecto.</w:t>
      </w:r>
      <w:r>
        <w:t xml:space="preserve"> El turno de oficio está en huelga indefinida, sin resolver, y una comunidad tardó diecisiete años en actualizar lo que le paga (</w:t>
      </w:r>
      <w:r>
        <w:t>A.7</w:t>
      </w:r>
      <w:r>
        <w:t>, art. 119).</w:t>
      </w:r>
    </w:p>
    <w:p>
      <w:pPr>
        <w:pStyle w:val="ListBullet"/>
      </w:pPr>
      <w:r>
        <w:rPr>
          <w:b/>
        </w:rPr>
        <w:t>Justicia, la reparación del error judicial: se aleja por defecto.</w:t>
      </w:r>
      <w:r>
        <w:t xml:space="preserve"> Se pide un error evidente, en un plazo corto y con riesgo de pagar las costas, y no se publica cuántas veces se concede (</w:t>
      </w:r>
      <w:r>
        <w:t>A.7</w:t>
      </w:r>
      <w:r>
        <w:t>, art. 121).</w:t>
      </w:r>
    </w:p>
    <w:p>
      <w:pPr>
        <w:pStyle w:val="ListBullet"/>
      </w:pPr>
      <w:r>
        <w:rPr>
          <w:b/>
        </w:rPr>
        <w:t>Justicia, el gobierno de los jueces: se aleja por defecto.</w:t>
      </w:r>
      <w:r>
        <w:t xml:space="preserve"> Su órgano de gobierno estuvo cinco años y medio con el mandato caducado: el poder que no se corrige (</w:t>
      </w:r>
      <w:r>
        <w:t>A.7</w:t>
      </w:r>
      <w:r>
        <w:t xml:space="preserve">, art. 122; </w:t>
      </w:r>
      <w:r>
        <w:t>7.4</w:t>
      </w:r>
      <w:r>
        <w:t>).</w:t>
      </w:r>
    </w:p>
    <w:p>
      <w:pPr>
        <w:pStyle w:val="ListBullet"/>
      </w:pPr>
      <w:r>
        <w:rPr>
          <w:b/>
        </w:rPr>
        <w:t>Igualdad, los aforados: se aleja por exceso.</w:t>
      </w:r>
      <w:r>
        <w:t xml:space="preserve"> A los aforados, en su mayoría de las fuerzas de seguridad, los juzga un tribunal distinto del de los demás, y la única cifra oficial se dio de palabra en el Congreso (</w:t>
      </w:r>
      <w:r>
        <w:t>8.5</w:t>
      </w:r>
      <w:r>
        <w:t xml:space="preserve">, n.º 8; </w:t>
      </w:r>
      <w:r>
        <w:t>C.1</w:t>
      </w:r>
      <w:r>
        <w:t>).</w:t>
      </w:r>
    </w:p>
    <w:p>
      <w:pPr>
        <w:pStyle w:val="ListBullet"/>
      </w:pPr>
      <w:r>
        <w:rPr>
          <w:b/>
        </w:rPr>
        <w:t>Igualdad, la pobreza infantil: se aleja por defecto.</w:t>
      </w:r>
      <w:r>
        <w:t xml:space="preserve"> Los menores están más en riesgo de pobreza o exclusión que el conjunto, y España es el país de la Unión que menos la reduce con transferencias (</w:t>
      </w:r>
      <w:r>
        <w:t>7.5</w:t>
      </w:r>
      <w:r>
        <w:t xml:space="preserve">, caso 5; </w:t>
      </w:r>
      <w:r>
        <w:t>A.2</w:t>
      </w:r>
      <w:r>
        <w:t>, art. 39).</w:t>
      </w:r>
    </w:p>
    <w:p>
      <w:pPr>
        <w:pStyle w:val="ListBullet"/>
      </w:pPr>
      <w:r>
        <w:rPr>
          <w:b/>
        </w:rPr>
        <w:t>Igualdad, lo público frente a lo privado: sin flecha.</w:t>
      </w:r>
      <w:r>
        <w:t xml:space="preserve"> Las comparaciones de la obra son en bruto, sin ajustar por la cualificación ni la antigüedad (</w:t>
      </w:r>
      <w:r>
        <w:t>8.6</w:t>
      </w:r>
      <w:r>
        <w:t>), y no aíslan lo que se mide.</w:t>
      </w:r>
    </w:p>
    <w:p>
      <w:pPr>
        <w:pStyle w:val="ListBullet"/>
      </w:pPr>
      <w:r>
        <w:rPr>
          <w:b/>
        </w:rPr>
        <w:t>Pluralismo político, el umbral de entrada: se aleja por exceso.</w:t>
      </w:r>
      <w:r>
        <w:t xml:space="preserve"> El reparto y el umbral nacieron para corregir la fragmentación, y el Consejo de Estado escribió que la fórmula beneficia a los partidos grandes y perjudica a los pequeños (</w:t>
      </w:r>
      <w:r>
        <w:t>6.4</w:t>
      </w:r>
      <w:r>
        <w:t>). La otra cara: las barreras son legales, y las han avalado el Constitucional y el Tribunal Europeo de Derechos Humanos (</w:t>
      </w:r>
      <w:r>
        <w:t>capítulo 6</w:t>
      </w:r>
      <w:r>
        <w:t>, «Límite honesto de la prueba»).</w:t>
      </w:r>
    </w:p>
    <w:p>
      <w:pPr>
        <w:pStyle w:val="ListBullet"/>
      </w:pPr>
      <w:r>
        <w:rPr>
          <w:b/>
        </w:rPr>
        <w:t>Pluralismo político, las firmas: se aleja por exceso.</w:t>
      </w:r>
      <w:r>
        <w:t xml:space="preserve"> El partido que ya tuvo representación no presenta firmas, y el nuevo sí (</w:t>
      </w:r>
      <w:r>
        <w:t>6.4</w:t>
      </w:r>
      <w:r>
        <w:t>). La otra cara: el Tribunal Europeo de Derechos Humanos vio esa exigencia considerablemente por debajo del máximo que indica la Comisión de Venecia (</w:t>
      </w:r>
      <w:r>
        <w:t>6.4</w:t>
      </w:r>
      <w:r>
        <w:t>).</w:t>
      </w:r>
    </w:p>
    <w:p>
      <w:pPr>
        <w:pStyle w:val="ListBullet"/>
      </w:pPr>
      <w:r>
        <w:rPr>
          <w:b/>
        </w:rPr>
        <w:t>Pluralismo político, el dinero: se aleja por exceso.</w:t>
      </w:r>
      <w:r>
        <w:t xml:space="preserve"> Las subvenciones van a quien ya tiene escaños, y los adelantos, solo a quien ya las cobró: un partido nuevo parte de cero (</w:t>
      </w:r>
      <w:r>
        <w:t>6.4</w:t>
      </w:r>
      <w:r>
        <w:t>).</w:t>
      </w:r>
    </w:p>
    <w:p>
      <w:pPr>
        <w:pStyle w:val="ListBullet"/>
      </w:pPr>
      <w:r>
        <w:rPr>
          <w:b/>
        </w:rPr>
        <w:t>Dignidad, la persona como trámite: se aleja por defecto.</w:t>
      </w:r>
      <w:r>
        <w:t xml:space="preserve"> La ley deja elegir cómo tratar con la Administración, pero la cita previa obligatoria funciona como barrera, y el Defensor del Pueblo recomendó admitir escritos sin ella; y el tiempo de los trámites no entra en ninguna cifra oficial (</w:t>
      </w:r>
      <w:r>
        <w:t>8.4</w:t>
      </w:r>
      <w:r>
        <w:t>).</w:t>
      </w:r>
    </w:p>
    <w:p>
      <w:pPr>
        <w:pStyle w:val="ListBullet"/>
      </w:pPr>
      <w:r>
        <w:rPr>
          <w:b/>
        </w:rPr>
        <w:t>Dignidad, la persona como medio: sin flecha.</w:t>
      </w:r>
      <w:r>
        <w:t xml:space="preserve"> Lo que la obra mide es la carga (</w:t>
      </w:r>
      <w:r>
        <w:t>8.4</w:t>
      </w:r>
      <w:r>
        <w:t>); llamarla «medio» sería lectura, no dato.</w:t>
      </w:r>
    </w:p>
    <w:p>
      <w:r>
        <w:t>[fila 542 de 08/01: Kiko, 12-oct-2026, 13:4x, el piloto sin números; fila 619: los cinco centros aprobados, chat de 08.26, 17:2x; cada flecha, con lo que la obra ya tiene y su remisión]</w:t>
      </w:r>
    </w:p>
    <w:p>
      <w:r>
        <w:rPr>
          <w:b/>
        </w:rPr>
        <w:t>Conclusión, lo que arrojan los datos: los dos vicios a la vez.</w:t>
      </w:r>
      <w:r>
        <w:t xml:space="preserve"> Las flechas no van a un solo lado. Se alejan por defecto, el Estado no cuida, en lo que toca la vida diaria del ciudadano (</w:t>
      </w:r>
      <w:r>
        <w:t>7.4</w:t>
      </w:r>
      <w:r>
        <w:t>): la infancia, los plazos y la justicia gratuita, la reparación del error judicial, la respuesta a quien pregunta y los trámites; y también en el órgano de gobierno de los jueces, que no se renovó. Se alejan por exceso, el Estado se sirve, en lo que toca al acceso y al trato del propio poder: el tribunal de los aforados, la entrada de partidos nuevos y su dinero; y también en la presunción en lo sancionador. Una sola dimensión está cerca: el silencio que da la razón a quien pide para sí. Son los dos vicios del dial maestro, a los dos lados de servir (</w:t>
      </w:r>
      <w:r>
        <w:t>J.3</w:t>
      </w:r>
      <w:r>
        <w:t xml:space="preserve">). </w:t>
      </w:r>
      <w:r>
        <w:t>[filas 542 y 619 de 08/01, 12-oct-2026; las flechas, arriba, cada una con su remisión]</w:t>
      </w:r>
    </w:p>
    <w:p>
      <w:pPr>
        <w:pStyle w:val="Heading2"/>
      </w:pPr>
      <w:r>
        <w:t>J.7 Lo que el dial no mide</w:t>
      </w:r>
    </w:p>
    <w:p>
      <w:pPr>
        <w:pBdr>
          <w:left w:val="single" w:sz="24" w:space="6" w:color="E2DED6"/>
        </w:pBdr>
        <w:shd w:val="clear" w:color="auto" w:fill="F1EEE8"/>
        <w:spacing w:before="80" w:after="160"/>
        <w:ind w:left="142" w:right="142"/>
      </w:pPr>
      <w:r>
        <w:rPr>
          <w:b/>
        </w:rPr>
        <w:t>La idea: el dial no mide intenciones ni personas, no sustituye a la auditoría y no dice que el Estado sea ilegítimo.</w:t>
      </w:r>
    </w:p>
    <w:p>
      <w:pPr>
        <w:pStyle w:val="ListBullet"/>
      </w:pPr>
      <w:r>
        <w:rPr>
          <w:b/>
        </w:rPr>
        <w:t>No mide la intención.</w:t>
      </w:r>
      <w:r>
        <w:t xml:space="preserve"> Mide la posición y la dirección de lo que se hace; de dónde nace un acto queda como lectura del autor (</w:t>
      </w:r>
      <w:r>
        <w:t>0.5</w:t>
      </w:r>
      <w:r>
        <w:t>).</w:t>
      </w:r>
    </w:p>
    <w:p>
      <w:pPr>
        <w:pStyle w:val="ListBullet"/>
      </w:pPr>
      <w:r>
        <w:rPr>
          <w:b/>
        </w:rPr>
        <w:t>No mide a personas.</w:t>
      </w:r>
      <w:r>
        <w:t xml:space="preserve"> Mide normas, instituciones y situaciones (</w:t>
      </w:r>
      <w:r>
        <w:t>0.2</w:t>
      </w:r>
      <w:r>
        <w:t>). Cada persona puede aplicarse la vara a sí misma, y eso es cosa suya.</w:t>
      </w:r>
    </w:p>
    <w:p>
      <w:pPr>
        <w:pStyle w:val="ListBullet"/>
      </w:pPr>
      <w:r>
        <w:rPr>
          <w:b/>
        </w:rPr>
        <w:t>No sustituye al «cumple o incumple».</w:t>
      </w:r>
      <w:r>
        <w:t xml:space="preserve"> La auditoría y sus recuentos no cambian (</w:t>
      </w:r>
      <w:r>
        <w:t>7.1</w:t>
      </w:r>
      <w:r>
        <w:t xml:space="preserve">, </w:t>
      </w:r>
      <w:r>
        <w:t>anexo A</w:t>
      </w:r>
      <w:r>
        <w:t>): el dial los lee desde arriba.</w:t>
      </w:r>
    </w:p>
    <w:p>
      <w:pPr>
        <w:pStyle w:val="ListBullet"/>
      </w:pPr>
      <w:r>
        <w:rPr>
          <w:b/>
        </w:rPr>
        <w:t>No dice que el Estado sea ilegítimo</w:t>
      </w:r>
      <w:r>
        <w:t xml:space="preserve"> por haberse fundado a sí mismo (6, «Lo que este capítulo no hace»), ni que sea el árbol torcido entero (</w:t>
      </w:r>
      <w:r>
        <w:t>J.1</w:t>
      </w:r>
      <w:r>
        <w:t>).</w:t>
      </w:r>
    </w:p>
    <w:p>
      <w:pPr>
        <w:pStyle w:val="ListBullet"/>
      </w:pPr>
      <w:r>
        <w:rPr>
          <w:b/>
        </w:rPr>
        <w:t>No afirma que los diales «emanen siempre de la virtud»:</w:t>
      </w:r>
      <w:r>
        <w:t xml:space="preserve"> eso está leído en Aristóteles; en las demás tradiciones se leyó la figura de dos excesos y un medio (</w:t>
      </w:r>
      <w:r>
        <w:t>J.3</w:t>
      </w:r>
      <w:r>
        <w:t>), pero no que el medio nazca de la virtud: eso falta leerlo.</w:t>
      </w:r>
    </w:p>
    <w:p>
      <w:pPr>
        <w:pStyle w:val="ListBullet"/>
      </w:pPr>
      <w:r>
        <w:rPr>
          <w:b/>
        </w:rPr>
        <w:t>No convierte en principio del Arca</w:t>
      </w:r>
      <w:r>
        <w:t xml:space="preserve"> la prueba «¿es suyo lo que ofrece?» (</w:t>
      </w:r>
      <w:r>
        <w:t>1.9</w:t>
      </w:r>
      <w:r>
        <w:t>): le falta la pata coja que el método exige (</w:t>
      </w:r>
      <w:r>
        <w:t>0.5</w:t>
      </w:r>
      <w:r>
        <w:t>), y mientras tanto es una prueba, no un principio.</w:t>
      </w:r>
    </w:p>
    <w:p>
      <w:r>
        <w:t>[04p, apartado 4; 04h, 3.3; 04n Q9; 04c, apartado 5]</w:t>
      </w:r>
    </w:p>
    <w:p>
      <w:r>
        <w:rPr>
          <w:b/>
        </w:rPr>
        <w:t>Lectura del autor</w:t>
      </w:r>
      <w:r>
        <w:t xml:space="preserve"> (palabras del autor, 8-oct-2026; es lectura, no dato): cada palabra que promete la Constitución tiene varias caras, como una persona tiene varios papeles; cada cara es un dial entre dos extremos, y «su palabra tiene un centro»: la dirección es el bien común del pueblo. Lo que el autor ve en el conjunto es lo que este anexo mide: un Estado que, en lo que promete al ciudadano, se queda corto, y en lo que se toma de él, se pasa (</w:t>
      </w:r>
      <w:r>
        <w:t>7.4</w:t>
      </w:r>
      <w:r>
        <w:t xml:space="preserve"> y 8). Que esa doble polaridad sea también la línea de la virtud de cada uno, y que el centro de la persona y el del Estado sean el mismo, es su lectura, y no lleva números: la vara se aplica a los dos lados (</w:t>
      </w:r>
      <w:r>
        <w:t>0.5</w:t>
      </w:r>
      <w:r>
        <w:t>), y el autor se la aplica primero a sí mismo (</w:t>
      </w:r>
      <w:r>
        <w:t>anexo G</w:t>
      </w:r>
      <w:r>
        <w:t xml:space="preserve">). </w:t>
      </w:r>
      <w:r>
        <w:t>[libreta 78, apartado 1; anexo del 4.3; 04p, fila 23: dentro del J, como lectura del autor y sin números]</w:t>
      </w:r>
    </w:p>
    <w:p>
      <w:pPr>
        <w:pStyle w:val="Heading2"/>
      </w:pPr>
      <w:r>
        <w:t>J.8 La balanza, pesa a pesa</w:t>
      </w:r>
    </w:p>
    <w:p>
      <w:pPr>
        <w:pBdr>
          <w:left w:val="single" w:sz="24" w:space="6" w:color="E2DED6"/>
        </w:pBdr>
        <w:shd w:val="clear" w:color="auto" w:fill="F1EEE8"/>
        <w:spacing w:before="80" w:after="160"/>
        <w:ind w:left="142" w:right="142"/>
      </w:pPr>
      <w:r>
        <w:rPr>
          <w:b/>
        </w:rPr>
        <w:t>La idea: una sola pesa para todo, también para quien pesa: primero, ¿roca o arena?; después, por sus frutos, ¿sirve más allá de sí, se sirve, o no cuida ni cumple? Con ella se pesa aquí lo que expone el libro (lectura del autor).</w:t>
      </w:r>
    </w:p>
    <w:p>
      <w:r>
        <w:rPr>
          <w:b/>
        </w:rPr>
        <w:t>Lectura del autor: cómo se lee la tabla.</w:t>
      </w:r>
      <w:r>
        <w:t xml:space="preserve"> Es la ficha de </w:t>
      </w:r>
      <w:r>
        <w:t>J.5</w:t>
      </w:r>
      <w:r>
        <w:t xml:space="preserve"> aplicada a lo que expone el libro, sin instrumento nuevo. El primer paso de la pesa, roca o arena, ya está dado en cada apartado: cada dato de la tabla está allí con su fuente y su nivel, y la remisión lleva a él. Aquí va el segundo paso. La segunda columna dice hacia dónde se aparta la aguja del centro: por defecto (no cuida ni cumple), por exceso (se sirve) o cerca del centro; con la flecha solo donde la obra tiene los hechos en orden de fechas, y sin número, porque ninguna fila cumple todavía las cuatro condiciones del piloto (</w:t>
      </w:r>
      <w:r>
        <w:t>J.6</w:t>
      </w:r>
      <w:r>
        <w:t>). La tercera columna es el fruto que lo muestra. Y la cuarta es lo que pesa en el otro plato: lo que se cumple, la mejor defensa del Estado o el dato que no encaja, porque la vara se aplica a los dos lados (</w:t>
      </w:r>
      <w:r>
        <w:t>0.5</w:t>
      </w:r>
      <w:r>
        <w:t>). Se pesan cosas, nunca personas ni intenciones (</w:t>
      </w:r>
      <w:r>
        <w:t>J.7</w:t>
      </w:r>
      <w:r>
        <w:t xml:space="preserve">). Lo que la obra mide sin afirmar su causa (la vivienda y los hijos, la confianza, la salud y la familia: </w:t>
      </w:r>
      <w:r>
        <w:t>8.8</w:t>
      </w:r>
      <w:r>
        <w:t xml:space="preserve"> a 8.10) no está en la tabla: sin causa, no se puede decir de qué lado se aparta. </w:t>
      </w:r>
      <w:r>
        <w:t>[parlamento de la balanza (08/22), apartados 8, 10 y 11; J.5 a J.7]</w:t>
      </w:r>
    </w:p>
    <w:tbl>
      <w:tblPr>
        <w:tblStyle w:val="TableGrid"/>
        <w:tblW w:type="auto" w:w="0"/>
        <w:tblLayout w:type="autofit"/>
        <w:tblBorders>
          <w:top w:val="single" w:sz="4" w:space="0" w:color="E2DED6"/>
          <w:left w:val="single" w:sz="4" w:space="0" w:color="E2DED6"/>
          <w:bottom w:val="single" w:sz="4" w:space="0" w:color="E2DED6"/>
          <w:right w:val="single" w:sz="4" w:space="0" w:color="E2DED6"/>
          <w:insideH w:val="single" w:sz="4" w:space="0" w:color="E2DED6"/>
          <w:insideV w:val="single" w:sz="4" w:space="0" w:color="E2DED6"/>
        </w:tblBorders>
        <w:tblLook w:firstColumn="1" w:firstRow="1" w:lastColumn="0" w:lastRow="0" w:noHBand="0" w:noVBand="1" w:val="04A0"/>
      </w:tblPr>
      <w:tblGrid>
        <w:gridCol w:w="2296"/>
        <w:gridCol w:w="2296"/>
        <w:gridCol w:w="2296"/>
        <w:gridCol w:w="2296"/>
      </w:tblGrid>
      <w:tr>
        <w:tc>
          <w:tcPr>
            <w:tcW w:type="dxa" w:w="2296"/>
            <w:shd w:val="clear" w:color="auto" w:fill="F1EEE8"/>
          </w:tcPr>
          <w:p>
            <w:pPr>
              <w:spacing w:after="20" w:line="264" w:lineRule="auto"/>
            </w:pPr>
            <w:r>
              <w:rPr>
                <w:b/>
              </w:rPr>
            </w:r>
            <w:r>
              <w:rPr>
                <w:rFonts w:ascii="Segoe UI" w:hAnsi="Segoe UI" w:eastAsia="Segoe UI" w:cs="Segoe UI"/>
                <w:b/>
                <w:color w:val="1F1D1A"/>
                <w:sz w:val="18"/>
              </w:rPr>
              <w:t>Lo que se expone</w:t>
            </w:r>
          </w:p>
        </w:tc>
        <w:tc>
          <w:tcPr>
            <w:tcW w:type="dxa" w:w="2296"/>
            <w:shd w:val="clear" w:color="auto" w:fill="F1EEE8"/>
          </w:tcPr>
          <w:p>
            <w:pPr>
              <w:spacing w:after="20" w:line="264" w:lineRule="auto"/>
            </w:pPr>
            <w:r>
              <w:rPr>
                <w:b/>
              </w:rPr>
            </w:r>
            <w:r>
              <w:rPr>
                <w:rFonts w:ascii="Segoe UI" w:hAnsi="Segoe UI" w:eastAsia="Segoe UI" w:cs="Segoe UI"/>
                <w:b/>
                <w:color w:val="1F1D1A"/>
                <w:sz w:val="18"/>
              </w:rPr>
              <w:t>Hacia dónde se aparta la aguja</w:t>
            </w:r>
          </w:p>
        </w:tc>
        <w:tc>
          <w:tcPr>
            <w:tcW w:type="dxa" w:w="2296"/>
            <w:shd w:val="clear" w:color="auto" w:fill="F1EEE8"/>
          </w:tcPr>
          <w:p>
            <w:pPr>
              <w:spacing w:after="20" w:line="264" w:lineRule="auto"/>
            </w:pPr>
            <w:r>
              <w:rPr>
                <w:b/>
              </w:rPr>
            </w:r>
            <w:r>
              <w:rPr>
                <w:rFonts w:ascii="Segoe UI" w:hAnsi="Segoe UI" w:eastAsia="Segoe UI" w:cs="Segoe UI"/>
                <w:b/>
                <w:color w:val="1F1D1A"/>
                <w:sz w:val="18"/>
              </w:rPr>
              <w:t>El fruto que lo muestra</w:t>
            </w:r>
          </w:p>
        </w:tc>
        <w:tc>
          <w:tcPr>
            <w:tcW w:type="dxa" w:w="2296"/>
            <w:shd w:val="clear" w:color="auto" w:fill="F1EEE8"/>
          </w:tcPr>
          <w:p>
            <w:pPr>
              <w:spacing w:after="20" w:line="264" w:lineRule="auto"/>
            </w:pPr>
            <w:r>
              <w:rPr>
                <w:b/>
              </w:rPr>
            </w:r>
            <w:r>
              <w:rPr>
                <w:rFonts w:ascii="Segoe UI" w:hAnsi="Segoe UI" w:eastAsia="Segoe UI" w:cs="Segoe UI"/>
                <w:b/>
                <w:color w:val="1F1D1A"/>
                <w:sz w:val="18"/>
              </w:rPr>
              <w:t>Lo que pesa en el otro plato</w:t>
            </w:r>
          </w:p>
        </w:tc>
      </w:tr>
      <w:tr>
        <w:tc>
          <w:tcPr>
            <w:tcW w:type="dxa" w:w="2296"/>
          </w:tcPr>
          <w:p>
            <w:pPr>
              <w:spacing w:after="20" w:line="264" w:lineRule="auto"/>
            </w:pPr>
            <w:r/>
            <w:r>
              <w:rPr>
                <w:rFonts w:ascii="Segoe UI" w:hAnsi="Segoe UI" w:eastAsia="Segoe UI" w:cs="Segoe UI"/>
                <w:color w:val="1F1D1A"/>
                <w:sz w:val="18"/>
              </w:rPr>
              <w:t>El orden de las leyes (</w:t>
            </w:r>
            <w:r>
              <w:rPr>
                <w:rFonts w:ascii="Segoe UI" w:hAnsi="Segoe UI" w:eastAsia="Segoe UI" w:cs="Segoe UI"/>
                <w:color w:val="1F1D1A"/>
                <w:sz w:val="18"/>
              </w:rPr>
              <w:t>1.1</w:t>
            </w:r>
            <w:r>
              <w:rPr>
                <w:rFonts w:ascii="Segoe UI" w:hAnsi="Segoe UI" w:eastAsia="Segoe UI" w:cs="Segoe UI"/>
                <w:color w:val="1F1D1A"/>
                <w:sz w:val="18"/>
              </w:rPr>
              <w:t>)</w:t>
            </w:r>
          </w:p>
        </w:tc>
        <w:tc>
          <w:tcPr>
            <w:tcW w:type="dxa" w:w="2296"/>
          </w:tcPr>
          <w:p>
            <w:pPr>
              <w:spacing w:after="20" w:line="264" w:lineRule="auto"/>
            </w:pPr>
            <w:r/>
            <w:r>
              <w:rPr>
                <w:rFonts w:ascii="Segoe UI" w:hAnsi="Segoe UI" w:eastAsia="Segoe UI" w:cs="Segoe UI"/>
                <w:color w:val="1F1D1A"/>
                <w:sz w:val="18"/>
              </w:rPr>
              <w:t>Por exceso: la ley que escriben los hombres, en el lugar de la ley de Dios</w:t>
            </w:r>
          </w:p>
        </w:tc>
        <w:tc>
          <w:tcPr>
            <w:tcW w:type="dxa" w:w="2296"/>
          </w:tcPr>
          <w:p>
            <w:pPr>
              <w:spacing w:after="20" w:line="264" w:lineRule="auto"/>
            </w:pPr>
            <w:r/>
            <w:r>
              <w:rPr>
                <w:rFonts w:ascii="Segoe UI" w:hAnsi="Segoe UI" w:eastAsia="Segoe UI" w:cs="Segoe UI"/>
                <w:color w:val="1F1D1A"/>
                <w:sz w:val="18"/>
              </w:rPr>
              <w:t>Quien invirtió el orden fue, en 7 de 8 casos, quien tenía el poder de legislar (</w:t>
            </w:r>
            <w:r>
              <w:rPr>
                <w:rFonts w:ascii="Segoe UI" w:hAnsi="Segoe UI" w:eastAsia="Segoe UI" w:cs="Segoe UI"/>
                <w:color w:val="1F1D1A"/>
                <w:sz w:val="18"/>
              </w:rPr>
              <w:t>1.7</w:t>
            </w:r>
            <w:r>
              <w:rPr>
                <w:rFonts w:ascii="Segoe UI" w:hAnsi="Segoe UI" w:eastAsia="Segoe UI" w:cs="Segoe UI"/>
                <w:color w:val="1F1D1A"/>
                <w:sz w:val="18"/>
              </w:rPr>
              <w:t>)</w:t>
            </w:r>
          </w:p>
        </w:tc>
        <w:tc>
          <w:tcPr>
            <w:tcW w:type="dxa" w:w="2296"/>
          </w:tcPr>
          <w:p>
            <w:pPr>
              <w:spacing w:after="20" w:line="264" w:lineRule="auto"/>
            </w:pPr>
            <w:r/>
            <w:r>
              <w:rPr>
                <w:rFonts w:ascii="Segoe UI" w:hAnsi="Segoe UI" w:eastAsia="Segoe UI" w:cs="Segoe UI"/>
                <w:color w:val="1F1D1A"/>
                <w:sz w:val="18"/>
              </w:rPr>
              <w:t xml:space="preserve">La ley escrita, común a todos, da la seguridad jurídica que la Constitución garantiza (la defensa del Estado, </w:t>
            </w:r>
            <w:r>
              <w:rPr>
                <w:rFonts w:ascii="Segoe UI" w:hAnsi="Segoe UI" w:eastAsia="Segoe UI" w:cs="Segoe UI"/>
                <w:color w:val="1F1D1A"/>
                <w:sz w:val="18"/>
              </w:rPr>
              <w:t>cargo 1</w:t>
            </w:r>
            <w:r>
              <w:rPr>
                <w:rFonts w:ascii="Segoe UI" w:hAnsi="Segoe UI" w:eastAsia="Segoe UI" w:cs="Segoe UI"/>
                <w:color w:val="1F1D1A"/>
                <w:sz w:val="18"/>
              </w:rPr>
              <w:t>)</w:t>
            </w:r>
          </w:p>
        </w:tc>
      </w:tr>
      <w:tr>
        <w:tc>
          <w:tcPr>
            <w:tcW w:type="dxa" w:w="2296"/>
          </w:tcPr>
          <w:p>
            <w:pPr>
              <w:spacing w:after="20" w:line="264" w:lineRule="auto"/>
            </w:pPr>
            <w:r/>
            <w:r>
              <w:rPr>
                <w:rFonts w:ascii="Segoe UI" w:hAnsi="Segoe UI" w:eastAsia="Segoe UI" w:cs="Segoe UI"/>
                <w:color w:val="1F1D1A"/>
                <w:sz w:val="18"/>
              </w:rPr>
              <w:t>Los derechos de la persona (</w:t>
            </w:r>
            <w:r>
              <w:rPr>
                <w:rFonts w:ascii="Segoe UI" w:hAnsi="Segoe UI" w:eastAsia="Segoe UI" w:cs="Segoe UI"/>
                <w:color w:val="1F1D1A"/>
                <w:sz w:val="18"/>
              </w:rPr>
              <w:t>2.2</w:t>
            </w:r>
            <w:r>
              <w:rPr>
                <w:rFonts w:ascii="Segoe UI" w:hAnsi="Segoe UI" w:eastAsia="Segoe UI" w:cs="Segoe UI"/>
                <w:color w:val="1F1D1A"/>
                <w:sz w:val="18"/>
              </w:rPr>
              <w:t>)</w:t>
            </w:r>
          </w:p>
        </w:tc>
        <w:tc>
          <w:tcPr>
            <w:tcW w:type="dxa" w:w="2296"/>
          </w:tcPr>
          <w:p>
            <w:pPr>
              <w:spacing w:after="20" w:line="264" w:lineRule="auto"/>
            </w:pPr>
            <w:r/>
            <w:r>
              <w:rPr>
                <w:rFonts w:ascii="Segoe UI" w:hAnsi="Segoe UI" w:eastAsia="Segoe UI" w:cs="Segoe UI"/>
                <w:color w:val="1F1D1A"/>
                <w:sz w:val="18"/>
              </w:rPr>
              <w:t>Cerca del centro: la ley los reconoce, no los da</w:t>
            </w:r>
          </w:p>
        </w:tc>
        <w:tc>
          <w:tcPr>
            <w:tcW w:type="dxa" w:w="2296"/>
          </w:tcPr>
          <w:p>
            <w:pPr>
              <w:spacing w:after="20" w:line="264" w:lineRule="auto"/>
            </w:pPr>
            <w:r/>
            <w:r>
              <w:rPr>
                <w:rFonts w:ascii="Segoe UI" w:hAnsi="Segoe UI" w:eastAsia="Segoe UI" w:cs="Segoe UI"/>
                <w:color w:val="1F1D1A"/>
                <w:sz w:val="18"/>
              </w:rPr>
              <w:t>La Constitución los llama «inherentes» (</w:t>
            </w:r>
            <w:r>
              <w:rPr>
                <w:rFonts w:ascii="Segoe UI" w:hAnsi="Segoe UI" w:eastAsia="Segoe UI" w:cs="Segoe UI"/>
                <w:color w:val="1F1D1A"/>
                <w:sz w:val="18"/>
              </w:rPr>
              <w:t>2.2</w:t>
            </w:r>
            <w:r>
              <w:rPr>
                <w:rFonts w:ascii="Segoe UI" w:hAnsi="Segoe UI" w:eastAsia="Segoe UI" w:cs="Segoe UI"/>
                <w:color w:val="1F1D1A"/>
                <w:sz w:val="18"/>
              </w:rPr>
              <w:t>)</w:t>
            </w:r>
          </w:p>
        </w:tc>
        <w:tc>
          <w:tcPr>
            <w:tcW w:type="dxa" w:w="2296"/>
          </w:tcPr>
          <w:p>
            <w:pPr>
              <w:spacing w:after="20" w:line="264" w:lineRule="auto"/>
            </w:pPr>
            <w:r/>
            <w:r>
              <w:rPr>
                <w:rFonts w:ascii="Segoe UI" w:hAnsi="Segoe UI" w:eastAsia="Segoe UI" w:cs="Segoe UI"/>
                <w:color w:val="1F1D1A"/>
                <w:sz w:val="18"/>
              </w:rPr>
              <w:t>El derecho a la vivienda no se puede reclamar sin una ley que lo desarrolle (</w:t>
            </w:r>
            <w:r>
              <w:rPr>
                <w:rFonts w:ascii="Segoe UI" w:hAnsi="Segoe UI" w:eastAsia="Segoe UI" w:cs="Segoe UI"/>
                <w:color w:val="1F1D1A"/>
                <w:sz w:val="18"/>
              </w:rPr>
              <w:t>5.1</w:t>
            </w:r>
            <w:r>
              <w:rPr>
                <w:rFonts w:ascii="Segoe UI" w:hAnsi="Segoe UI" w:eastAsia="Segoe UI" w:cs="Segoe UI"/>
                <w:color w:val="1F1D1A"/>
                <w:sz w:val="18"/>
              </w:rPr>
              <w:t>)</w:t>
            </w:r>
          </w:p>
        </w:tc>
      </w:tr>
      <w:tr>
        <w:tc>
          <w:tcPr>
            <w:tcW w:type="dxa" w:w="2296"/>
          </w:tcPr>
          <w:p>
            <w:pPr>
              <w:spacing w:after="20" w:line="264" w:lineRule="auto"/>
            </w:pPr>
            <w:r/>
            <w:r>
              <w:rPr>
                <w:rFonts w:ascii="Segoe UI" w:hAnsi="Segoe UI" w:eastAsia="Segoe UI" w:cs="Segoe UI"/>
                <w:color w:val="1F1D1A"/>
                <w:sz w:val="18"/>
              </w:rPr>
              <w:t>El consentimiento (</w:t>
            </w:r>
            <w:r>
              <w:rPr>
                <w:rFonts w:ascii="Segoe UI" w:hAnsi="Segoe UI" w:eastAsia="Segoe UI" w:cs="Segoe UI"/>
                <w:color w:val="1F1D1A"/>
                <w:sz w:val="18"/>
              </w:rPr>
              <w:t>5.4</w:t>
            </w:r>
            <w:r>
              <w:rPr>
                <w:rFonts w:ascii="Segoe UI" w:hAnsi="Segoe UI" w:eastAsia="Segoe UI" w:cs="Segoe UI"/>
                <w:color w:val="1F1D1A"/>
                <w:sz w:val="18"/>
              </w:rPr>
              <w:t>)</w:t>
            </w:r>
          </w:p>
        </w:tc>
        <w:tc>
          <w:tcPr>
            <w:tcW w:type="dxa" w:w="2296"/>
          </w:tcPr>
          <w:p>
            <w:pPr>
              <w:spacing w:after="20" w:line="264" w:lineRule="auto"/>
            </w:pPr>
            <w:r/>
            <w:r>
              <w:rPr>
                <w:rFonts w:ascii="Segoe UI" w:hAnsi="Segoe UI" w:eastAsia="Segoe UI" w:cs="Segoe UI"/>
                <w:color w:val="1F1D1A"/>
                <w:sz w:val="18"/>
              </w:rPr>
              <w:t>Por exceso: da por consentido lo que el pueblo no consintió</w:t>
            </w:r>
          </w:p>
        </w:tc>
        <w:tc>
          <w:tcPr>
            <w:tcW w:type="dxa" w:w="2296"/>
          </w:tcPr>
          <w:p>
            <w:pPr>
              <w:spacing w:after="20" w:line="264" w:lineRule="auto"/>
            </w:pPr>
            <w:r/>
            <w:r>
              <w:rPr>
                <w:rFonts w:ascii="Segoe UI" w:hAnsi="Segoe UI" w:eastAsia="Segoe UI" w:cs="Segoe UI"/>
                <w:color w:val="1F1D1A"/>
                <w:sz w:val="18"/>
              </w:rPr>
              <w:t>Un registro y un código en setenta y dos horas, cuando el interesado tiene cero días (</w:t>
            </w:r>
            <w:r>
              <w:rPr>
                <w:rFonts w:ascii="Segoe UI" w:hAnsi="Segoe UI" w:eastAsia="Segoe UI" w:cs="Segoe UI"/>
                <w:color w:val="1F1D1A"/>
                <w:sz w:val="18"/>
              </w:rPr>
              <w:t>5.4</w:t>
            </w:r>
            <w:r>
              <w:rPr>
                <w:rFonts w:ascii="Segoe UI" w:hAnsi="Segoe UI" w:eastAsia="Segoe UI" w:cs="Segoe UI"/>
                <w:color w:val="1F1D1A"/>
                <w:sz w:val="18"/>
              </w:rPr>
              <w:t>)</w:t>
            </w:r>
          </w:p>
        </w:tc>
        <w:tc>
          <w:tcPr>
            <w:tcW w:type="dxa" w:w="2296"/>
          </w:tcPr>
          <w:p>
            <w:pPr>
              <w:spacing w:after="20" w:line="264" w:lineRule="auto"/>
            </w:pPr>
            <w:r/>
            <w:r>
              <w:rPr>
                <w:rFonts w:ascii="Segoe UI" w:hAnsi="Segoe UI" w:eastAsia="Segoe UI" w:cs="Segoe UI"/>
                <w:color w:val="1F1D1A"/>
                <w:sz w:val="18"/>
              </w:rPr>
              <w:t>El Estado y el derecho son ficciones jurídicas, y no es un vicio mientras se declare (</w:t>
            </w:r>
            <w:r>
              <w:rPr>
                <w:rFonts w:ascii="Segoe UI" w:hAnsi="Segoe UI" w:eastAsia="Segoe UI" w:cs="Segoe UI"/>
                <w:color w:val="1F1D1A"/>
                <w:sz w:val="18"/>
              </w:rPr>
              <w:t>5.3</w:t>
            </w:r>
            <w:r>
              <w:rPr>
                <w:rFonts w:ascii="Segoe UI" w:hAnsi="Segoe UI" w:eastAsia="Segoe UI" w:cs="Segoe UI"/>
                <w:color w:val="1F1D1A"/>
                <w:sz w:val="18"/>
              </w:rPr>
              <w:t>)</w:t>
            </w:r>
          </w:p>
        </w:tc>
      </w:tr>
      <w:tr>
        <w:tc>
          <w:tcPr>
            <w:tcW w:type="dxa" w:w="2296"/>
          </w:tcPr>
          <w:p>
            <w:pPr>
              <w:spacing w:after="20" w:line="264" w:lineRule="auto"/>
            </w:pPr>
            <w:r/>
            <w:r>
              <w:rPr>
                <w:rFonts w:ascii="Segoe UI" w:hAnsi="Segoe UI" w:eastAsia="Segoe UI" w:cs="Segoe UI"/>
                <w:color w:val="1F1D1A"/>
                <w:sz w:val="18"/>
              </w:rPr>
              <w:t>Las presunciones del Estado (</w:t>
            </w:r>
            <w:r>
              <w:rPr>
                <w:rFonts w:ascii="Segoe UI" w:hAnsi="Segoe UI" w:eastAsia="Segoe UI" w:cs="Segoe UI"/>
                <w:color w:val="1F1D1A"/>
                <w:sz w:val="18"/>
              </w:rPr>
              <w:t>5.2</w:t>
            </w:r>
            <w:r>
              <w:rPr>
                <w:rFonts w:ascii="Segoe UI" w:hAnsi="Segoe UI" w:eastAsia="Segoe UI" w:cs="Segoe UI"/>
                <w:color w:val="1F1D1A"/>
                <w:sz w:val="18"/>
              </w:rPr>
              <w:t>)</w:t>
            </w:r>
          </w:p>
        </w:tc>
        <w:tc>
          <w:tcPr>
            <w:tcW w:type="dxa" w:w="2296"/>
          </w:tcPr>
          <w:p>
            <w:pPr>
              <w:spacing w:after="20" w:line="264" w:lineRule="auto"/>
            </w:pPr>
            <w:r/>
            <w:r>
              <w:rPr>
                <w:rFonts w:ascii="Segoe UI" w:hAnsi="Segoe UI" w:eastAsia="Segoe UI" w:cs="Segoe UI"/>
                <w:color w:val="1F1D1A"/>
                <w:sz w:val="18"/>
              </w:rPr>
              <w:t>Por exceso: la carga de la prueba, en el ciudadano</w:t>
            </w:r>
          </w:p>
        </w:tc>
        <w:tc>
          <w:tcPr>
            <w:tcW w:type="dxa" w:w="2296"/>
          </w:tcPr>
          <w:p>
            <w:pPr>
              <w:spacing w:after="20" w:line="264" w:lineRule="auto"/>
            </w:pPr>
            <w:r/>
            <w:r>
              <w:rPr>
                <w:rFonts w:ascii="Segoe UI" w:hAnsi="Segoe UI" w:eastAsia="Segoe UI" w:cs="Segoe UI"/>
                <w:color w:val="1F1D1A"/>
                <w:sz w:val="18"/>
              </w:rPr>
              <w:t>Sus actos se presumen válidos, la palabra de su agente hace prueba y la ignorancia de las leyes no excusa (</w:t>
            </w:r>
            <w:r>
              <w:rPr>
                <w:rFonts w:ascii="Segoe UI" w:hAnsi="Segoe UI" w:eastAsia="Segoe UI" w:cs="Segoe UI"/>
                <w:color w:val="1F1D1A"/>
                <w:sz w:val="18"/>
              </w:rPr>
              <w:t>5.2</w:t>
            </w:r>
            <w:r>
              <w:rPr>
                <w:rFonts w:ascii="Segoe UI" w:hAnsi="Segoe UI" w:eastAsia="Segoe UI" w:cs="Segoe UI"/>
                <w:color w:val="1F1D1A"/>
                <w:sz w:val="18"/>
              </w:rPr>
              <w:t>)</w:t>
            </w:r>
          </w:p>
        </w:tc>
        <w:tc>
          <w:tcPr>
            <w:tcW w:type="dxa" w:w="2296"/>
          </w:tcPr>
          <w:p>
            <w:pPr>
              <w:spacing w:after="20" w:line="264" w:lineRule="auto"/>
            </w:pPr>
            <w:r/>
            <w:r>
              <w:rPr>
                <w:rFonts w:ascii="Segoe UI" w:hAnsi="Segoe UI" w:eastAsia="Segoe UI" w:cs="Segoe UI"/>
                <w:color w:val="1F1D1A"/>
                <w:sz w:val="18"/>
              </w:rPr>
              <w:t xml:space="preserve">Sin la presunción de validez ninguna administración podría funcionar, y todo acto se puede recurrir (la defensa del Estado, </w:t>
            </w:r>
            <w:r>
              <w:rPr>
                <w:rFonts w:ascii="Segoe UI" w:hAnsi="Segoe UI" w:eastAsia="Segoe UI" w:cs="Segoe UI"/>
                <w:color w:val="1F1D1A"/>
                <w:sz w:val="18"/>
              </w:rPr>
              <w:t>cargo 20</w:t>
            </w:r>
            <w:r>
              <w:rPr>
                <w:rFonts w:ascii="Segoe UI" w:hAnsi="Segoe UI" w:eastAsia="Segoe UI" w:cs="Segoe UI"/>
                <w:color w:val="1F1D1A"/>
                <w:sz w:val="18"/>
              </w:rPr>
              <w:t>)</w:t>
            </w:r>
          </w:p>
        </w:tc>
      </w:tr>
      <w:tr>
        <w:tc>
          <w:tcPr>
            <w:tcW w:type="dxa" w:w="2296"/>
          </w:tcPr>
          <w:p>
            <w:pPr>
              <w:spacing w:after="20" w:line="264" w:lineRule="auto"/>
            </w:pPr>
            <w:r/>
            <w:r>
              <w:rPr>
                <w:rFonts w:ascii="Segoe UI" w:hAnsi="Segoe UI" w:eastAsia="Segoe UI" w:cs="Segoe UI"/>
                <w:color w:val="1F1D1A"/>
                <w:sz w:val="18"/>
              </w:rPr>
              <w:t>El contrato social (</w:t>
            </w:r>
            <w:r>
              <w:rPr>
                <w:rFonts w:ascii="Segoe UI" w:hAnsi="Segoe UI" w:eastAsia="Segoe UI" w:cs="Segoe UI"/>
                <w:color w:val="1F1D1A"/>
                <w:sz w:val="18"/>
              </w:rPr>
              <w:t>6.1</w:t>
            </w:r>
            <w:r>
              <w:rPr>
                <w:rFonts w:ascii="Segoe UI" w:hAnsi="Segoe UI" w:eastAsia="Segoe UI" w:cs="Segoe UI"/>
                <w:color w:val="1F1D1A"/>
                <w:sz w:val="18"/>
              </w:rPr>
              <w:t>)</w:t>
            </w:r>
          </w:p>
        </w:tc>
        <w:tc>
          <w:tcPr>
            <w:tcW w:type="dxa" w:w="2296"/>
          </w:tcPr>
          <w:p>
            <w:pPr>
              <w:spacing w:after="20" w:line="264" w:lineRule="auto"/>
            </w:pPr>
            <w:r/>
            <w:r>
              <w:rPr>
                <w:rFonts w:ascii="Segoe UI" w:hAnsi="Segoe UI" w:eastAsia="Segoe UI" w:cs="Segoe UI"/>
                <w:color w:val="1F1D1A"/>
                <w:sz w:val="18"/>
              </w:rPr>
              <w:t>Por exceso: se da por firmado</w:t>
            </w:r>
          </w:p>
        </w:tc>
        <w:tc>
          <w:tcPr>
            <w:tcW w:type="dxa" w:w="2296"/>
          </w:tcPr>
          <w:p>
            <w:pPr>
              <w:spacing w:after="20" w:line="264" w:lineRule="auto"/>
            </w:pPr>
            <w:r/>
            <w:r>
              <w:rPr>
                <w:rFonts w:ascii="Segoe UI" w:hAnsi="Segoe UI" w:eastAsia="Segoe UI" w:cs="Segoe UI"/>
                <w:color w:val="1F1D1A"/>
                <w:sz w:val="18"/>
              </w:rPr>
              <w:t>Es una idea, no un documento (</w:t>
            </w:r>
            <w:r>
              <w:rPr>
                <w:rFonts w:ascii="Segoe UI" w:hAnsi="Segoe UI" w:eastAsia="Segoe UI" w:cs="Segoe UI"/>
                <w:color w:val="1F1D1A"/>
                <w:sz w:val="18"/>
              </w:rPr>
              <w:t>6.1</w:t>
            </w:r>
            <w:r>
              <w:rPr>
                <w:rFonts w:ascii="Segoe UI" w:hAnsi="Segoe UI" w:eastAsia="Segoe UI" w:cs="Segoe UI"/>
                <w:color w:val="1F1D1A"/>
                <w:sz w:val="18"/>
              </w:rPr>
              <w:t>)</w:t>
            </w:r>
          </w:p>
        </w:tc>
        <w:tc>
          <w:tcPr>
            <w:tcW w:type="dxa" w:w="2296"/>
          </w:tcPr>
          <w:p>
            <w:pPr>
              <w:spacing w:after="20" w:line="264" w:lineRule="auto"/>
            </w:pPr>
            <w:r/>
            <w:r>
              <w:rPr>
                <w:rFonts w:ascii="Segoe UI" w:hAnsi="Segoe UI" w:eastAsia="Segoe UI" w:cs="Segoe UI"/>
                <w:color w:val="1F1D1A"/>
                <w:sz w:val="18"/>
              </w:rPr>
              <w:t>Un Estado existe sin que nadie se lo conceda (Montevideo, 1933), y todo orden nuevo se funda así (</w:t>
            </w:r>
            <w:r>
              <w:rPr>
                <w:rFonts w:ascii="Segoe UI" w:hAnsi="Segoe UI" w:eastAsia="Segoe UI" w:cs="Segoe UI"/>
                <w:color w:val="1F1D1A"/>
                <w:sz w:val="18"/>
              </w:rPr>
              <w:t>6.2</w:t>
            </w:r>
            <w:r>
              <w:rPr>
                <w:rFonts w:ascii="Segoe UI" w:hAnsi="Segoe UI" w:eastAsia="Segoe UI" w:cs="Segoe UI"/>
                <w:color w:val="1F1D1A"/>
                <w:sz w:val="18"/>
              </w:rPr>
              <w:t xml:space="preserve">; </w:t>
            </w:r>
            <w:r>
              <w:rPr>
                <w:rFonts w:ascii="Segoe UI" w:hAnsi="Segoe UI" w:eastAsia="Segoe UI" w:cs="Segoe UI"/>
                <w:color w:val="1F1D1A"/>
                <w:sz w:val="18"/>
              </w:rPr>
              <w:t>5.3</w:t>
            </w:r>
            <w:r>
              <w:rPr>
                <w:rFonts w:ascii="Segoe UI" w:hAnsi="Segoe UI" w:eastAsia="Segoe UI" w:cs="Segoe UI"/>
                <w:color w:val="1F1D1A"/>
                <w:sz w:val="18"/>
              </w:rPr>
              <w:t>)</w:t>
            </w:r>
          </w:p>
        </w:tc>
      </w:tr>
      <w:tr>
        <w:tc>
          <w:tcPr>
            <w:tcW w:type="dxa" w:w="2296"/>
          </w:tcPr>
          <w:p>
            <w:pPr>
              <w:spacing w:after="20" w:line="264" w:lineRule="auto"/>
            </w:pPr>
            <w:r/>
            <w:r>
              <w:rPr>
                <w:rFonts w:ascii="Segoe UI" w:hAnsi="Segoe UI" w:eastAsia="Segoe UI" w:cs="Segoe UI"/>
                <w:color w:val="1F1D1A"/>
                <w:sz w:val="18"/>
              </w:rPr>
              <w:t>El acceso al poder (</w:t>
            </w:r>
            <w:r>
              <w:rPr>
                <w:rFonts w:ascii="Segoe UI" w:hAnsi="Segoe UI" w:eastAsia="Segoe UI" w:cs="Segoe UI"/>
                <w:color w:val="1F1D1A"/>
                <w:sz w:val="18"/>
              </w:rPr>
              <w:t>6.4</w:t>
            </w:r>
            <w:r>
              <w:rPr>
                <w:rFonts w:ascii="Segoe UI" w:hAnsi="Segoe UI" w:eastAsia="Segoe UI" w:cs="Segoe UI"/>
                <w:color w:val="1F1D1A"/>
                <w:sz w:val="18"/>
              </w:rPr>
              <w:t>)</w:t>
            </w:r>
          </w:p>
        </w:tc>
        <w:tc>
          <w:tcPr>
            <w:tcW w:type="dxa" w:w="2296"/>
          </w:tcPr>
          <w:p>
            <w:pPr>
              <w:spacing w:after="20" w:line="264" w:lineRule="auto"/>
            </w:pPr>
            <w:r/>
            <w:r>
              <w:rPr>
                <w:rFonts w:ascii="Segoe UI" w:hAnsi="Segoe UI" w:eastAsia="Segoe UI" w:cs="Segoe UI"/>
                <w:color w:val="1F1D1A"/>
                <w:sz w:val="18"/>
              </w:rPr>
              <w:t>Por exceso: los controlados eligen a sus controladores</w:t>
            </w:r>
          </w:p>
        </w:tc>
        <w:tc>
          <w:tcPr>
            <w:tcW w:type="dxa" w:w="2296"/>
          </w:tcPr>
          <w:p>
            <w:pPr>
              <w:spacing w:after="20" w:line="264" w:lineRule="auto"/>
            </w:pPr>
            <w:r/>
            <w:r>
              <w:rPr>
                <w:rFonts w:ascii="Segoe UI" w:hAnsi="Segoe UI" w:eastAsia="Segoe UI" w:cs="Segoe UI"/>
                <w:color w:val="1F1D1A"/>
                <w:sz w:val="18"/>
              </w:rPr>
              <w:t>Barreras de entrada, y la iniciativa popular no toca la ley electoral ni los impuestos (</w:t>
            </w:r>
            <w:r>
              <w:rPr>
                <w:rFonts w:ascii="Segoe UI" w:hAnsi="Segoe UI" w:eastAsia="Segoe UI" w:cs="Segoe UI"/>
                <w:color w:val="1F1D1A"/>
                <w:sz w:val="18"/>
              </w:rPr>
              <w:t>6.4</w:t>
            </w:r>
            <w:r>
              <w:rPr>
                <w:rFonts w:ascii="Segoe UI" w:hAnsi="Segoe UI" w:eastAsia="Segoe UI" w:cs="Segoe UI"/>
                <w:color w:val="1F1D1A"/>
                <w:sz w:val="18"/>
              </w:rPr>
              <w:t>)</w:t>
            </w:r>
          </w:p>
        </w:tc>
        <w:tc>
          <w:tcPr>
            <w:tcW w:type="dxa" w:w="2296"/>
          </w:tcPr>
          <w:p>
            <w:pPr>
              <w:spacing w:after="20" w:line="264" w:lineRule="auto"/>
            </w:pPr>
            <w:r/>
            <w:r>
              <w:rPr>
                <w:rFonts w:ascii="Segoe UI" w:hAnsi="Segoe UI" w:eastAsia="Segoe UI" w:cs="Segoe UI"/>
                <w:color w:val="1F1D1A"/>
                <w:sz w:val="18"/>
              </w:rPr>
              <w:t>Hay sanciones, tribunales y partidos nuevos (</w:t>
            </w:r>
            <w:r>
              <w:rPr>
                <w:rFonts w:ascii="Segoe UI" w:hAnsi="Segoe UI" w:eastAsia="Segoe UI" w:cs="Segoe UI"/>
                <w:color w:val="1F1D1A"/>
                <w:sz w:val="18"/>
              </w:rPr>
              <w:t>6.4</w:t>
            </w:r>
            <w:r>
              <w:rPr>
                <w:rFonts w:ascii="Segoe UI" w:hAnsi="Segoe UI" w:eastAsia="Segoe UI" w:cs="Segoe UI"/>
                <w:color w:val="1F1D1A"/>
                <w:sz w:val="18"/>
              </w:rPr>
              <w:t>)</w:t>
            </w:r>
          </w:p>
        </w:tc>
      </w:tr>
      <w:tr>
        <w:tc>
          <w:tcPr>
            <w:tcW w:type="dxa" w:w="2296"/>
          </w:tcPr>
          <w:p>
            <w:pPr>
              <w:spacing w:after="20" w:line="264" w:lineRule="auto"/>
            </w:pPr>
            <w:r/>
            <w:r>
              <w:rPr>
                <w:rFonts w:ascii="Segoe UI" w:hAnsi="Segoe UI" w:eastAsia="Segoe UI" w:cs="Segoe UI"/>
                <w:color w:val="1F1D1A"/>
                <w:sz w:val="18"/>
              </w:rPr>
              <w:t>La Constitución, artículo por artículo (</w:t>
            </w:r>
            <w:r>
              <w:rPr>
                <w:rFonts w:ascii="Segoe UI" w:hAnsi="Segoe UI" w:eastAsia="Segoe UI" w:cs="Segoe UI"/>
                <w:color w:val="1F1D1A"/>
                <w:sz w:val="18"/>
              </w:rPr>
              <w:t>7.1</w:t>
            </w:r>
            <w:r>
              <w:rPr>
                <w:rFonts w:ascii="Segoe UI" w:hAnsi="Segoe UI" w:eastAsia="Segoe UI" w:cs="Segoe UI"/>
                <w:color w:val="1F1D1A"/>
                <w:sz w:val="18"/>
              </w:rPr>
              <w:t>)</w:t>
            </w:r>
          </w:p>
        </w:tc>
        <w:tc>
          <w:tcPr>
            <w:tcW w:type="dxa" w:w="2296"/>
          </w:tcPr>
          <w:p>
            <w:pPr>
              <w:spacing w:after="20" w:line="264" w:lineRule="auto"/>
            </w:pPr>
            <w:r/>
            <w:r>
              <w:rPr>
                <w:rFonts w:ascii="Segoe UI" w:hAnsi="Segoe UI" w:eastAsia="Segoe UI" w:cs="Segoe UI"/>
                <w:color w:val="1F1D1A"/>
                <w:sz w:val="18"/>
              </w:rPr>
              <w:t>Por defecto: no cumple lo que escribe</w:t>
            </w:r>
          </w:p>
        </w:tc>
        <w:tc>
          <w:tcPr>
            <w:tcW w:type="dxa" w:w="2296"/>
          </w:tcPr>
          <w:p>
            <w:pPr>
              <w:spacing w:after="20" w:line="264" w:lineRule="auto"/>
            </w:pPr>
            <w:r/>
            <w:r>
              <w:rPr>
                <w:rFonts w:ascii="Segoe UI" w:hAnsi="Segoe UI" w:eastAsia="Segoe UI" w:cs="Segoe UI"/>
                <w:color w:val="1F1D1A"/>
                <w:sz w:val="18"/>
              </w:rPr>
              <w:t>69 de los 169 artículos no se cumplen, y se incumple el doble en lo que promete al ciudadano que en lo que organiza al poder (</w:t>
            </w:r>
            <w:r>
              <w:rPr>
                <w:rFonts w:ascii="Segoe UI" w:hAnsi="Segoe UI" w:eastAsia="Segoe UI" w:cs="Segoe UI"/>
                <w:color w:val="1F1D1A"/>
                <w:sz w:val="18"/>
              </w:rPr>
              <w:t>7.1</w:t>
            </w:r>
            <w:r>
              <w:rPr>
                <w:rFonts w:ascii="Segoe UI" w:hAnsi="Segoe UI" w:eastAsia="Segoe UI" w:cs="Segoe UI"/>
                <w:color w:val="1F1D1A"/>
                <w:sz w:val="18"/>
              </w:rPr>
              <w:t xml:space="preserve">; </w:t>
            </w:r>
            <w:r>
              <w:rPr>
                <w:rFonts w:ascii="Segoe UI" w:hAnsi="Segoe UI" w:eastAsia="Segoe UI" w:cs="Segoe UI"/>
                <w:color w:val="1F1D1A"/>
                <w:sz w:val="18"/>
              </w:rPr>
              <w:t>7.4</w:t>
            </w:r>
            <w:r>
              <w:rPr>
                <w:rFonts w:ascii="Segoe UI" w:hAnsi="Segoe UI" w:eastAsia="Segoe UI" w:cs="Segoe UI"/>
                <w:color w:val="1F1D1A"/>
                <w:sz w:val="18"/>
              </w:rPr>
              <w:t>)</w:t>
            </w:r>
          </w:p>
        </w:tc>
        <w:tc>
          <w:tcPr>
            <w:tcW w:type="dxa" w:w="2296"/>
          </w:tcPr>
          <w:p>
            <w:pPr>
              <w:spacing w:after="20" w:line="264" w:lineRule="auto"/>
            </w:pPr>
            <w:r/>
            <w:r>
              <w:rPr>
                <w:rFonts w:ascii="Segoe UI" w:hAnsi="Segoe UI" w:eastAsia="Segoe UI" w:cs="Segoe UI"/>
                <w:color w:val="1F1D1A"/>
                <w:sz w:val="18"/>
              </w:rPr>
              <w:t>93 se cumplen (</w:t>
            </w:r>
            <w:r>
              <w:rPr>
                <w:rFonts w:ascii="Segoe UI" w:hAnsi="Segoe UI" w:eastAsia="Segoe UI" w:cs="Segoe UI"/>
                <w:color w:val="1F1D1A"/>
                <w:sz w:val="18"/>
              </w:rPr>
              <w:t>7.1</w:t>
            </w:r>
            <w:r>
              <w:rPr>
                <w:rFonts w:ascii="Segoe UI" w:hAnsi="Segoe UI" w:eastAsia="Segoe UI" w:cs="Segoe UI"/>
                <w:color w:val="1F1D1A"/>
                <w:sz w:val="18"/>
              </w:rPr>
              <w:t>)</w:t>
            </w:r>
          </w:p>
        </w:tc>
      </w:tr>
      <w:tr>
        <w:tc>
          <w:tcPr>
            <w:tcW w:type="dxa" w:w="2296"/>
          </w:tcPr>
          <w:p>
            <w:pPr>
              <w:spacing w:after="20" w:line="264" w:lineRule="auto"/>
            </w:pPr>
            <w:r/>
            <w:r>
              <w:rPr>
                <w:rFonts w:ascii="Segoe UI" w:hAnsi="Segoe UI" w:eastAsia="Segoe UI" w:cs="Segoe UI"/>
                <w:color w:val="1F1D1A"/>
                <w:sz w:val="18"/>
              </w:rPr>
              <w:t>El freno (</w:t>
            </w:r>
            <w:r>
              <w:rPr>
                <w:rFonts w:ascii="Segoe UI" w:hAnsi="Segoe UI" w:eastAsia="Segoe UI" w:cs="Segoe UI"/>
                <w:color w:val="1F1D1A"/>
                <w:sz w:val="18"/>
              </w:rPr>
              <w:t>7.4</w:t>
            </w:r>
            <w:r>
              <w:rPr>
                <w:rFonts w:ascii="Segoe UI" w:hAnsi="Segoe UI" w:eastAsia="Segoe UI" w:cs="Segoe UI"/>
                <w:color w:val="1F1D1A"/>
                <w:sz w:val="18"/>
              </w:rPr>
              <w:t>)</w:t>
            </w:r>
          </w:p>
        </w:tc>
        <w:tc>
          <w:tcPr>
            <w:tcW w:type="dxa" w:w="2296"/>
          </w:tcPr>
          <w:p>
            <w:pPr>
              <w:spacing w:after="20" w:line="264" w:lineRule="auto"/>
            </w:pPr>
            <w:r/>
            <w:r>
              <w:rPr>
                <w:rFonts w:ascii="Segoe UI" w:hAnsi="Segoe UI" w:eastAsia="Segoe UI" w:cs="Segoe UI"/>
                <w:color w:val="1F1D1A"/>
                <w:sz w:val="18"/>
              </w:rPr>
              <w:t>Por exceso: frena más donde el poder se controla a sí mismo</w:t>
            </w:r>
          </w:p>
        </w:tc>
        <w:tc>
          <w:tcPr>
            <w:tcW w:type="dxa" w:w="2296"/>
          </w:tcPr>
          <w:p>
            <w:pPr>
              <w:spacing w:after="20" w:line="264" w:lineRule="auto"/>
            </w:pPr>
            <w:r/>
            <w:r>
              <w:rPr>
                <w:rFonts w:ascii="Segoe UI" w:hAnsi="Segoe UI" w:eastAsia="Segoe UI" w:cs="Segoe UI"/>
                <w:color w:val="1F1D1A"/>
                <w:sz w:val="18"/>
              </w:rPr>
              <w:t>Cinco veces más que donde protege al ciudadano (</w:t>
            </w:r>
            <w:r>
              <w:rPr>
                <w:rFonts w:ascii="Segoe UI" w:hAnsi="Segoe UI" w:eastAsia="Segoe UI" w:cs="Segoe UI"/>
                <w:color w:val="1F1D1A"/>
                <w:sz w:val="18"/>
              </w:rPr>
              <w:t>7.4</w:t>
            </w:r>
            <w:r>
              <w:rPr>
                <w:rFonts w:ascii="Segoe UI" w:hAnsi="Segoe UI" w:eastAsia="Segoe UI" w:cs="Segoe UI"/>
                <w:color w:val="1F1D1A"/>
                <w:sz w:val="18"/>
              </w:rPr>
              <w:t>)</w:t>
            </w:r>
          </w:p>
        </w:tc>
        <w:tc>
          <w:tcPr>
            <w:tcW w:type="dxa" w:w="2296"/>
          </w:tcPr>
          <w:p>
            <w:pPr>
              <w:spacing w:after="20" w:line="264" w:lineRule="auto"/>
            </w:pPr>
            <w:r/>
            <w:r>
              <w:rPr>
                <w:rFonts w:ascii="Segoe UI" w:hAnsi="Segoe UI" w:eastAsia="Segoe UI" w:cs="Segoe UI"/>
                <w:color w:val="1F1D1A"/>
                <w:sz w:val="18"/>
              </w:rPr>
              <w:t>En 23 de los 69 artículos que no se cumplen ya hay una declaración formal externa (</w:t>
            </w:r>
            <w:r>
              <w:rPr>
                <w:rFonts w:ascii="Segoe UI" w:hAnsi="Segoe UI" w:eastAsia="Segoe UI" w:cs="Segoe UI"/>
                <w:color w:val="1F1D1A"/>
                <w:sz w:val="18"/>
              </w:rPr>
              <w:t>7.1</w:t>
            </w:r>
            <w:r>
              <w:rPr>
                <w:rFonts w:ascii="Segoe UI" w:hAnsi="Segoe UI" w:eastAsia="Segoe UI" w:cs="Segoe UI"/>
                <w:color w:val="1F1D1A"/>
                <w:sz w:val="18"/>
              </w:rPr>
              <w:t>)</w:t>
            </w:r>
          </w:p>
        </w:tc>
      </w:tr>
      <w:tr>
        <w:tc>
          <w:tcPr>
            <w:tcW w:type="dxa" w:w="2296"/>
          </w:tcPr>
          <w:p>
            <w:pPr>
              <w:spacing w:after="20" w:line="264" w:lineRule="auto"/>
            </w:pPr>
            <w:r/>
            <w:r>
              <w:rPr>
                <w:rFonts w:ascii="Segoe UI" w:hAnsi="Segoe UI" w:eastAsia="Segoe UI" w:cs="Segoe UI"/>
                <w:color w:val="1F1D1A"/>
                <w:sz w:val="18"/>
              </w:rPr>
              <w:t>El cobro y el deber (</w:t>
            </w:r>
            <w:r>
              <w:rPr>
                <w:rFonts w:ascii="Segoe UI" w:hAnsi="Segoe UI" w:eastAsia="Segoe UI" w:cs="Segoe UI"/>
                <w:color w:val="1F1D1A"/>
                <w:sz w:val="18"/>
              </w:rPr>
              <w:t>7.6</w:t>
            </w:r>
            <w:r>
              <w:rPr>
                <w:rFonts w:ascii="Segoe UI" w:hAnsi="Segoe UI" w:eastAsia="Segoe UI" w:cs="Segoe UI"/>
                <w:color w:val="1F1D1A"/>
                <w:sz w:val="18"/>
              </w:rPr>
              <w:t>)</w:t>
            </w:r>
          </w:p>
        </w:tc>
        <w:tc>
          <w:tcPr>
            <w:tcW w:type="dxa" w:w="2296"/>
          </w:tcPr>
          <w:p>
            <w:pPr>
              <w:spacing w:after="20" w:line="264" w:lineRule="auto"/>
            </w:pPr>
            <w:r/>
            <w:r>
              <w:rPr>
                <w:rFonts w:ascii="Segoe UI" w:hAnsi="Segoe UI" w:eastAsia="Segoe UI" w:cs="Segoe UI"/>
                <w:color w:val="1F1D1A"/>
                <w:sz w:val="18"/>
              </w:rPr>
              <w:t>A los dos lados: por exceso al cobrar, por defecto al cumplir</w:t>
            </w:r>
          </w:p>
        </w:tc>
        <w:tc>
          <w:tcPr>
            <w:tcW w:type="dxa" w:w="2296"/>
          </w:tcPr>
          <w:p>
            <w:pPr>
              <w:spacing w:after="20" w:line="264" w:lineRule="auto"/>
            </w:pPr>
            <w:r/>
            <w:r>
              <w:rPr>
                <w:rFonts w:ascii="Segoe UI" w:hAnsi="Segoe UI" w:eastAsia="Segoe UI" w:cs="Segoe UI"/>
                <w:color w:val="1F1D1A"/>
                <w:sz w:val="18"/>
              </w:rPr>
              <w:t>El cobro se ejecuta sin juez; el deber del Estado necesita antes una ley que lo desarrolle (</w:t>
            </w:r>
            <w:r>
              <w:rPr>
                <w:rFonts w:ascii="Segoe UI" w:hAnsi="Segoe UI" w:eastAsia="Segoe UI" w:cs="Segoe UI"/>
                <w:color w:val="1F1D1A"/>
                <w:sz w:val="18"/>
              </w:rPr>
              <w:t>7.6</w:t>
            </w:r>
            <w:r>
              <w:rPr>
                <w:rFonts w:ascii="Segoe UI" w:hAnsi="Segoe UI" w:eastAsia="Segoe UI" w:cs="Segoe UI"/>
                <w:color w:val="1F1D1A"/>
                <w:sz w:val="18"/>
              </w:rPr>
              <w:t>)</w:t>
            </w:r>
          </w:p>
        </w:tc>
        <w:tc>
          <w:tcPr>
            <w:tcW w:type="dxa" w:w="2296"/>
          </w:tcPr>
          <w:p>
            <w:pPr>
              <w:spacing w:after="20" w:line="264" w:lineRule="auto"/>
            </w:pPr>
            <w:r/>
            <w:r>
              <w:rPr>
                <w:rFonts w:ascii="Segoe UI" w:hAnsi="Segoe UI" w:eastAsia="Segoe UI" w:cs="Segoe UI"/>
                <w:color w:val="1F1D1A"/>
                <w:sz w:val="18"/>
              </w:rPr>
              <w:t xml:space="preserve">El cobro está sujeto a recurso y a control judicial, y puede suspenderse aportando garantía (la defensa del Estado, </w:t>
            </w:r>
            <w:r>
              <w:rPr>
                <w:rFonts w:ascii="Segoe UI" w:hAnsi="Segoe UI" w:eastAsia="Segoe UI" w:cs="Segoe UI"/>
                <w:color w:val="1F1D1A"/>
                <w:sz w:val="18"/>
              </w:rPr>
              <w:t>cargo 13</w:t>
            </w:r>
            <w:r>
              <w:rPr>
                <w:rFonts w:ascii="Segoe UI" w:hAnsi="Segoe UI" w:eastAsia="Segoe UI" w:cs="Segoe UI"/>
                <w:color w:val="1F1D1A"/>
                <w:sz w:val="18"/>
              </w:rPr>
              <w:t>)</w:t>
            </w:r>
          </w:p>
        </w:tc>
      </w:tr>
      <w:tr>
        <w:tc>
          <w:tcPr>
            <w:tcW w:type="dxa" w:w="2296"/>
          </w:tcPr>
          <w:p>
            <w:pPr>
              <w:spacing w:after="20" w:line="264" w:lineRule="auto"/>
            </w:pPr>
            <w:r/>
            <w:r>
              <w:rPr>
                <w:rFonts w:ascii="Segoe UI" w:hAnsi="Segoe UI" w:eastAsia="Segoe UI" w:cs="Segoe UI"/>
                <w:color w:val="1F1D1A"/>
                <w:sz w:val="18"/>
              </w:rPr>
              <w:t>La moneda (</w:t>
            </w:r>
            <w:r>
              <w:rPr>
                <w:rFonts w:ascii="Segoe UI" w:hAnsi="Segoe UI" w:eastAsia="Segoe UI" w:cs="Segoe UI"/>
                <w:color w:val="1F1D1A"/>
                <w:sz w:val="18"/>
              </w:rPr>
              <w:t>8.3</w:t>
            </w:r>
            <w:r>
              <w:rPr>
                <w:rFonts w:ascii="Segoe UI" w:hAnsi="Segoe UI" w:eastAsia="Segoe UI" w:cs="Segoe UI"/>
                <w:color w:val="1F1D1A"/>
                <w:sz w:val="18"/>
              </w:rPr>
              <w:t>)</w:t>
            </w:r>
          </w:p>
        </w:tc>
        <w:tc>
          <w:tcPr>
            <w:tcW w:type="dxa" w:w="2296"/>
          </w:tcPr>
          <w:p>
            <w:pPr>
              <w:spacing w:after="20" w:line="264" w:lineRule="auto"/>
            </w:pPr>
            <w:r/>
            <w:r>
              <w:rPr>
                <w:rFonts w:ascii="Segoe UI" w:hAnsi="Segoe UI" w:eastAsia="Segoe UI" w:cs="Segoe UI"/>
                <w:color w:val="1F1D1A"/>
                <w:sz w:val="18"/>
              </w:rPr>
              <w:t>Por exceso: se lleva tiempo de vida sin que nadie lo vote ni dé su consentimiento; se aleja desde 1971</w:t>
            </w:r>
          </w:p>
        </w:tc>
        <w:tc>
          <w:tcPr>
            <w:tcW w:type="dxa" w:w="2296"/>
          </w:tcPr>
          <w:p>
            <w:pPr>
              <w:spacing w:after="20" w:line="264" w:lineRule="auto"/>
            </w:pPr>
            <w:r/>
            <w:r>
              <w:rPr>
                <w:rFonts w:ascii="Segoe UI" w:hAnsi="Segoe UI" w:eastAsia="Segoe UI" w:cs="Segoe UI"/>
                <w:color w:val="1F1D1A"/>
                <w:sz w:val="18"/>
              </w:rPr>
              <w:t>100 euros guardados el 1 de enero de 1971 compran hoy lo que entonces 3,90 (</w:t>
            </w:r>
            <w:r>
              <w:rPr>
                <w:rFonts w:ascii="Segoe UI" w:hAnsi="Segoe UI" w:eastAsia="Segoe UI" w:cs="Segoe UI"/>
                <w:color w:val="1F1D1A"/>
                <w:sz w:val="18"/>
              </w:rPr>
              <w:t>8.3</w:t>
            </w:r>
            <w:r>
              <w:rPr>
                <w:rFonts w:ascii="Segoe UI" w:hAnsi="Segoe UI" w:eastAsia="Segoe UI" w:cs="Segoe UI"/>
                <w:color w:val="1F1D1A"/>
                <w:sz w:val="18"/>
              </w:rPr>
              <w:t>)</w:t>
            </w:r>
          </w:p>
        </w:tc>
        <w:tc>
          <w:tcPr>
            <w:tcW w:type="dxa" w:w="2296"/>
          </w:tcPr>
          <w:p>
            <w:pPr>
              <w:spacing w:after="20" w:line="264" w:lineRule="auto"/>
            </w:pPr>
            <w:r/>
            <w:r>
              <w:rPr>
                <w:rFonts w:ascii="Segoe UI" w:hAnsi="Segoe UI" w:eastAsia="Segoe UI" w:cs="Segoe UI"/>
                <w:color w:val="1F1D1A"/>
                <w:sz w:val="18"/>
              </w:rPr>
              <w:t xml:space="preserve">El dinero sin respaldo permite responder a las crisis, y lo gobierna un banco central independiente (la defensa del Estado, </w:t>
            </w:r>
            <w:r>
              <w:rPr>
                <w:rFonts w:ascii="Segoe UI" w:hAnsi="Segoe UI" w:eastAsia="Segoe UI" w:cs="Segoe UI"/>
                <w:color w:val="1F1D1A"/>
                <w:sz w:val="18"/>
              </w:rPr>
              <w:t>cargo 17</w:t>
            </w:r>
            <w:r>
              <w:rPr>
                <w:rFonts w:ascii="Segoe UI" w:hAnsi="Segoe UI" w:eastAsia="Segoe UI" w:cs="Segoe UI"/>
                <w:color w:val="1F1D1A"/>
                <w:sz w:val="18"/>
              </w:rPr>
              <w:t>)</w:t>
            </w:r>
          </w:p>
        </w:tc>
      </w:tr>
      <w:tr>
        <w:tc>
          <w:tcPr>
            <w:tcW w:type="dxa" w:w="2296"/>
          </w:tcPr>
          <w:p>
            <w:pPr>
              <w:spacing w:after="20" w:line="264" w:lineRule="auto"/>
            </w:pPr>
            <w:r/>
            <w:r>
              <w:rPr>
                <w:rFonts w:ascii="Segoe UI" w:hAnsi="Segoe UI" w:eastAsia="Segoe UI" w:cs="Segoe UI"/>
                <w:color w:val="1F1D1A"/>
                <w:sz w:val="18"/>
              </w:rPr>
              <w:t>La carga sobre el trabajo (</w:t>
            </w:r>
            <w:r>
              <w:rPr>
                <w:rFonts w:ascii="Segoe UI" w:hAnsi="Segoe UI" w:eastAsia="Segoe UI" w:cs="Segoe UI"/>
                <w:color w:val="1F1D1A"/>
                <w:sz w:val="18"/>
              </w:rPr>
              <w:t>8.4</w:t>
            </w:r>
            <w:r>
              <w:rPr>
                <w:rFonts w:ascii="Segoe UI" w:hAnsi="Segoe UI" w:eastAsia="Segoe UI" w:cs="Segoe UI"/>
                <w:color w:val="1F1D1A"/>
                <w:sz w:val="18"/>
              </w:rPr>
              <w:t>)</w:t>
            </w:r>
          </w:p>
        </w:tc>
        <w:tc>
          <w:tcPr>
            <w:tcW w:type="dxa" w:w="2296"/>
          </w:tcPr>
          <w:p>
            <w:pPr>
              <w:spacing w:after="20" w:line="264" w:lineRule="auto"/>
            </w:pPr>
            <w:r/>
            <w:r>
              <w:rPr>
                <w:rFonts w:ascii="Segoe UI" w:hAnsi="Segoe UI" w:eastAsia="Segoe UI" w:cs="Segoe UI"/>
                <w:color w:val="1F1D1A"/>
                <w:sz w:val="18"/>
              </w:rPr>
              <w:t>Por exceso</w:t>
            </w:r>
          </w:p>
        </w:tc>
        <w:tc>
          <w:tcPr>
            <w:tcW w:type="dxa" w:w="2296"/>
          </w:tcPr>
          <w:p>
            <w:pPr>
              <w:spacing w:after="20" w:line="264" w:lineRule="auto"/>
            </w:pPr>
            <w:r/>
            <w:r>
              <w:rPr>
                <w:rFonts w:ascii="Segoe UI" w:hAnsi="Segoe UI" w:eastAsia="Segoe UI" w:cs="Segoe UI"/>
                <w:color w:val="1F1D1A"/>
                <w:sz w:val="18"/>
              </w:rPr>
              <w:t>De cada 100 euros que cuesta el trabajo de un asalariado medio, al menos 41 van a cotizaciones e IRPF (</w:t>
            </w:r>
            <w:r>
              <w:rPr>
                <w:rFonts w:ascii="Segoe UI" w:hAnsi="Segoe UI" w:eastAsia="Segoe UI" w:cs="Segoe UI"/>
                <w:color w:val="1F1D1A"/>
                <w:sz w:val="18"/>
              </w:rPr>
              <w:t>8.4</w:t>
            </w:r>
            <w:r>
              <w:rPr>
                <w:rFonts w:ascii="Segoe UI" w:hAnsi="Segoe UI" w:eastAsia="Segoe UI" w:cs="Segoe UI"/>
                <w:color w:val="1F1D1A"/>
                <w:sz w:val="18"/>
              </w:rPr>
              <w:t>)</w:t>
            </w:r>
          </w:p>
        </w:tc>
        <w:tc>
          <w:tcPr>
            <w:tcW w:type="dxa" w:w="2296"/>
          </w:tcPr>
          <w:p>
            <w:pPr>
              <w:spacing w:after="20" w:line="264" w:lineRule="auto"/>
            </w:pPr>
            <w:r/>
            <w:r>
              <w:rPr>
                <w:rFonts w:ascii="Segoe UI" w:hAnsi="Segoe UI" w:eastAsia="Segoe UI" w:cs="Segoe UI"/>
                <w:color w:val="1F1D1A"/>
                <w:sz w:val="18"/>
              </w:rPr>
              <w:t>Nueve de cada diez euros de la protección social son prestaciones (</w:t>
            </w:r>
            <w:r>
              <w:rPr>
                <w:rFonts w:ascii="Segoe UI" w:hAnsi="Segoe UI" w:eastAsia="Segoe UI" w:cs="Segoe UI"/>
                <w:color w:val="1F1D1A"/>
                <w:sz w:val="18"/>
              </w:rPr>
              <w:t>5.1</w:t>
            </w:r>
            <w:r>
              <w:rPr>
                <w:rFonts w:ascii="Segoe UI" w:hAnsi="Segoe UI" w:eastAsia="Segoe UI" w:cs="Segoe UI"/>
                <w:color w:val="1F1D1A"/>
                <w:sz w:val="18"/>
              </w:rPr>
              <w:t>, n.º 23)</w:t>
            </w:r>
          </w:p>
        </w:tc>
      </w:tr>
      <w:tr>
        <w:tc>
          <w:tcPr>
            <w:tcW w:type="dxa" w:w="2296"/>
          </w:tcPr>
          <w:p>
            <w:pPr>
              <w:spacing w:after="20" w:line="264" w:lineRule="auto"/>
            </w:pPr>
            <w:r/>
            <w:r>
              <w:rPr>
                <w:rFonts w:ascii="Segoe UI" w:hAnsi="Segoe UI" w:eastAsia="Segoe UI" w:cs="Segoe UI"/>
                <w:color w:val="1F1D1A"/>
                <w:sz w:val="18"/>
              </w:rPr>
              <w:t>El silencio (</w:t>
            </w:r>
            <w:r>
              <w:rPr>
                <w:rFonts w:ascii="Segoe UI" w:hAnsi="Segoe UI" w:eastAsia="Segoe UI" w:cs="Segoe UI"/>
                <w:color w:val="1F1D1A"/>
                <w:sz w:val="18"/>
              </w:rPr>
              <w:t>8.5</w:t>
            </w:r>
            <w:r>
              <w:rPr>
                <w:rFonts w:ascii="Segoe UI" w:hAnsi="Segoe UI" w:eastAsia="Segoe UI" w:cs="Segoe UI"/>
                <w:color w:val="1F1D1A"/>
                <w:sz w:val="18"/>
              </w:rPr>
              <w:t>)</w:t>
            </w:r>
          </w:p>
        </w:tc>
        <w:tc>
          <w:tcPr>
            <w:tcW w:type="dxa" w:w="2296"/>
          </w:tcPr>
          <w:p>
            <w:pPr>
              <w:spacing w:after="20" w:line="264" w:lineRule="auto"/>
            </w:pPr>
            <w:r/>
            <w:r>
              <w:rPr>
                <w:rFonts w:ascii="Segoe UI" w:hAnsi="Segoe UI" w:eastAsia="Segoe UI" w:cs="Segoe UI"/>
                <w:color w:val="1F1D1A"/>
                <w:sz w:val="18"/>
              </w:rPr>
              <w:t>A los dos lados: por exceso con el ciudadano, por defecto consigo</w:t>
            </w:r>
          </w:p>
        </w:tc>
        <w:tc>
          <w:tcPr>
            <w:tcW w:type="dxa" w:w="2296"/>
          </w:tcPr>
          <w:p>
            <w:pPr>
              <w:spacing w:after="20" w:line="264" w:lineRule="auto"/>
            </w:pPr>
            <w:r/>
            <w:r>
              <w:rPr>
                <w:rFonts w:ascii="Segoe UI" w:hAnsi="Segoe UI" w:eastAsia="Segoe UI" w:cs="Segoe UI"/>
                <w:color w:val="1F1D1A"/>
                <w:sz w:val="18"/>
              </w:rPr>
              <w:t>El silencio del ciudadano se castiga solo; el del sistema hay que perseguirlo durante años (</w:t>
            </w:r>
            <w:r>
              <w:rPr>
                <w:rFonts w:ascii="Segoe UI" w:hAnsi="Segoe UI" w:eastAsia="Segoe UI" w:cs="Segoe UI"/>
                <w:color w:val="1F1D1A"/>
                <w:sz w:val="18"/>
              </w:rPr>
              <w:t>8.5</w:t>
            </w:r>
            <w:r>
              <w:rPr>
                <w:rFonts w:ascii="Segoe UI" w:hAnsi="Segoe UI" w:eastAsia="Segoe UI" w:cs="Segoe UI"/>
                <w:color w:val="1F1D1A"/>
                <w:sz w:val="18"/>
              </w:rPr>
              <w:t>)</w:t>
            </w:r>
          </w:p>
        </w:tc>
        <w:tc>
          <w:tcPr>
            <w:tcW w:type="dxa" w:w="2296"/>
          </w:tcPr>
          <w:p>
            <w:pPr>
              <w:spacing w:after="20" w:line="264" w:lineRule="auto"/>
            </w:pPr>
            <w:r/>
            <w:r>
              <w:rPr>
                <w:rFonts w:ascii="Segoe UI" w:hAnsi="Segoe UI" w:eastAsia="Segoe UI" w:cs="Segoe UI"/>
                <w:color w:val="1F1D1A"/>
                <w:sz w:val="18"/>
              </w:rPr>
              <w:t>La ley obliga a motivar los actos que limitan derechos, y la pregunta por escrito deja constancia (</w:t>
            </w:r>
            <w:r>
              <w:rPr>
                <w:rFonts w:ascii="Segoe UI" w:hAnsi="Segoe UI" w:eastAsia="Segoe UI" w:cs="Segoe UI"/>
                <w:color w:val="1F1D1A"/>
                <w:sz w:val="18"/>
              </w:rPr>
              <w:t>10.4</w:t>
            </w:r>
            <w:r>
              <w:rPr>
                <w:rFonts w:ascii="Segoe UI" w:hAnsi="Segoe UI" w:eastAsia="Segoe UI" w:cs="Segoe UI"/>
                <w:color w:val="1F1D1A"/>
                <w:sz w:val="18"/>
              </w:rPr>
              <w:t>)</w:t>
            </w:r>
          </w:p>
        </w:tc>
      </w:tr>
      <w:tr>
        <w:tc>
          <w:tcPr>
            <w:tcW w:type="dxa" w:w="2296"/>
          </w:tcPr>
          <w:p>
            <w:pPr>
              <w:spacing w:after="20" w:line="264" w:lineRule="auto"/>
            </w:pPr>
            <w:r/>
            <w:r>
              <w:rPr>
                <w:rFonts w:ascii="Segoe UI" w:hAnsi="Segoe UI" w:eastAsia="Segoe UI" w:cs="Segoe UI"/>
                <w:color w:val="1F1D1A"/>
                <w:sz w:val="18"/>
              </w:rPr>
              <w:t>La hucha de las pensiones (</w:t>
            </w:r>
            <w:r>
              <w:rPr>
                <w:rFonts w:ascii="Segoe UI" w:hAnsi="Segoe UI" w:eastAsia="Segoe UI" w:cs="Segoe UI"/>
                <w:color w:val="1F1D1A"/>
                <w:sz w:val="18"/>
              </w:rPr>
              <w:t>8.6</w:t>
            </w:r>
            <w:r>
              <w:rPr>
                <w:rFonts w:ascii="Segoe UI" w:hAnsi="Segoe UI" w:eastAsia="Segoe UI" w:cs="Segoe UI"/>
                <w:color w:val="1F1D1A"/>
                <w:sz w:val="18"/>
              </w:rPr>
              <w:t>)</w:t>
            </w:r>
          </w:p>
        </w:tc>
        <w:tc>
          <w:tcPr>
            <w:tcW w:type="dxa" w:w="2296"/>
          </w:tcPr>
          <w:p>
            <w:pPr>
              <w:spacing w:after="20" w:line="264" w:lineRule="auto"/>
            </w:pPr>
            <w:r/>
            <w:r>
              <w:rPr>
                <w:rFonts w:ascii="Segoe UI" w:hAnsi="Segoe UI" w:eastAsia="Segoe UI" w:cs="Segoe UI"/>
                <w:color w:val="1F1D1A"/>
                <w:sz w:val="18"/>
              </w:rPr>
              <w:t>Por defecto: no guarda ni da la suma</w:t>
            </w:r>
          </w:p>
        </w:tc>
        <w:tc>
          <w:tcPr>
            <w:tcW w:type="dxa" w:w="2296"/>
          </w:tcPr>
          <w:p>
            <w:pPr>
              <w:spacing w:after="20" w:line="264" w:lineRule="auto"/>
            </w:pPr>
            <w:r/>
            <w:r>
              <w:rPr>
                <w:rFonts w:ascii="Segoe UI" w:hAnsi="Segoe UI" w:eastAsia="Segoe UI" w:cs="Segoe UI"/>
                <w:color w:val="1F1D1A"/>
                <w:sz w:val="18"/>
              </w:rPr>
              <w:t>Se vació y está invertida, por ley, en deuda del propio Estado; se publica cada dato, nunca la suma (</w:t>
            </w:r>
            <w:r>
              <w:rPr>
                <w:rFonts w:ascii="Segoe UI" w:hAnsi="Segoe UI" w:eastAsia="Segoe UI" w:cs="Segoe UI"/>
                <w:color w:val="1F1D1A"/>
                <w:sz w:val="18"/>
              </w:rPr>
              <w:t>8.6</w:t>
            </w:r>
            <w:r>
              <w:rPr>
                <w:rFonts w:ascii="Segoe UI" w:hAnsi="Segoe UI" w:eastAsia="Segoe UI" w:cs="Segoe UI"/>
                <w:color w:val="1F1D1A"/>
                <w:sz w:val="18"/>
              </w:rPr>
              <w:t>)</w:t>
            </w:r>
          </w:p>
        </w:tc>
        <w:tc>
          <w:tcPr>
            <w:tcW w:type="dxa" w:w="2296"/>
          </w:tcPr>
          <w:p>
            <w:pPr>
              <w:spacing w:after="20" w:line="264" w:lineRule="auto"/>
            </w:pPr>
            <w:r/>
            <w:r>
              <w:rPr>
                <w:rFonts w:ascii="Segoe UI" w:hAnsi="Segoe UI" w:eastAsia="Segoe UI" w:cs="Segoe UI"/>
                <w:color w:val="1F1D1A"/>
                <w:sz w:val="18"/>
              </w:rPr>
              <w:t>El Estado sigue pagando y obteniendo préstamos (</w:t>
            </w:r>
            <w:r>
              <w:rPr>
                <w:rFonts w:ascii="Segoe UI" w:hAnsi="Segoe UI" w:eastAsia="Segoe UI" w:cs="Segoe UI"/>
                <w:color w:val="1F1D1A"/>
                <w:sz w:val="18"/>
              </w:rPr>
              <w:t>9</w:t>
            </w:r>
            <w:r>
              <w:rPr>
                <w:rFonts w:ascii="Segoe UI" w:hAnsi="Segoe UI" w:eastAsia="Segoe UI" w:cs="Segoe UI"/>
                <w:color w:val="1F1D1A"/>
                <w:sz w:val="18"/>
              </w:rPr>
              <w:t>)</w:t>
            </w:r>
          </w:p>
        </w:tc>
      </w:tr>
      <w:tr>
        <w:tc>
          <w:tcPr>
            <w:tcW w:type="dxa" w:w="2296"/>
          </w:tcPr>
          <w:p>
            <w:pPr>
              <w:spacing w:after="20" w:line="264" w:lineRule="auto"/>
            </w:pPr>
            <w:r/>
            <w:r>
              <w:rPr>
                <w:rFonts w:ascii="Segoe UI" w:hAnsi="Segoe UI" w:eastAsia="Segoe UI" w:cs="Segoe UI"/>
                <w:color w:val="1F1D1A"/>
                <w:sz w:val="18"/>
              </w:rPr>
              <w:t>La cuenta del sistema (</w:t>
            </w:r>
            <w:r>
              <w:rPr>
                <w:rFonts w:ascii="Segoe UI" w:hAnsi="Segoe UI" w:eastAsia="Segoe UI" w:cs="Segoe UI"/>
                <w:color w:val="1F1D1A"/>
                <w:sz w:val="18"/>
              </w:rPr>
              <w:t>9.1</w:t>
            </w:r>
            <w:r>
              <w:rPr>
                <w:rFonts w:ascii="Segoe UI" w:hAnsi="Segoe UI" w:eastAsia="Segoe UI" w:cs="Segoe UI"/>
                <w:color w:val="1F1D1A"/>
                <w:sz w:val="18"/>
              </w:rPr>
              <w:t>)</w:t>
            </w:r>
          </w:p>
        </w:tc>
        <w:tc>
          <w:tcPr>
            <w:tcW w:type="dxa" w:w="2296"/>
          </w:tcPr>
          <w:p>
            <w:pPr>
              <w:spacing w:after="20" w:line="264" w:lineRule="auto"/>
            </w:pPr>
            <w:r/>
            <w:r>
              <w:rPr>
                <w:rFonts w:ascii="Segoe UI" w:hAnsi="Segoe UI" w:eastAsia="Segoe UI" w:cs="Segoe UI"/>
                <w:color w:val="1F1D1A"/>
                <w:sz w:val="18"/>
              </w:rPr>
              <w:t>Por exceso: la regla que aplica a cualquier empresa no se la aplica a sí</w:t>
            </w:r>
          </w:p>
        </w:tc>
        <w:tc>
          <w:tcPr>
            <w:tcW w:type="dxa" w:w="2296"/>
          </w:tcPr>
          <w:p>
            <w:pPr>
              <w:spacing w:after="20" w:line="264" w:lineRule="auto"/>
            </w:pPr>
            <w:r/>
            <w:r>
              <w:rPr>
                <w:rFonts w:ascii="Segoe UI" w:hAnsi="Segoe UI" w:eastAsia="Segoe UI" w:cs="Segoe UI"/>
                <w:color w:val="1F1D1A"/>
                <w:sz w:val="18"/>
              </w:rPr>
              <w:t>La Seguridad Social tiene patrimonio neto negativo desde 2017, y las administraciones gastaron más de lo que ingresaban en 28 de los 31 años de 1995 a 2025 (</w:t>
            </w:r>
            <w:r>
              <w:rPr>
                <w:rFonts w:ascii="Segoe UI" w:hAnsi="Segoe UI" w:eastAsia="Segoe UI" w:cs="Segoe UI"/>
                <w:color w:val="1F1D1A"/>
                <w:sz w:val="18"/>
              </w:rPr>
              <w:t>9.1</w:t>
            </w:r>
            <w:r>
              <w:rPr>
                <w:rFonts w:ascii="Segoe UI" w:hAnsi="Segoe UI" w:eastAsia="Segoe UI" w:cs="Segoe UI"/>
                <w:color w:val="1F1D1A"/>
                <w:sz w:val="18"/>
              </w:rPr>
              <w:t>)</w:t>
            </w:r>
          </w:p>
        </w:tc>
        <w:tc>
          <w:tcPr>
            <w:tcW w:type="dxa" w:w="2296"/>
          </w:tcPr>
          <w:p>
            <w:pPr>
              <w:spacing w:after="20" w:line="264" w:lineRule="auto"/>
            </w:pPr>
            <w:r/>
            <w:r>
              <w:rPr>
                <w:rFonts w:ascii="Segoe UI" w:hAnsi="Segoe UI" w:eastAsia="Segoe UI" w:cs="Segoe UI"/>
                <w:color w:val="1F1D1A"/>
                <w:sz w:val="18"/>
              </w:rPr>
              <w:t>Un Estado no es una empresa: tiene poder tributario y no desaparece como ella (</w:t>
            </w:r>
            <w:r>
              <w:rPr>
                <w:rFonts w:ascii="Segoe UI" w:hAnsi="Segoe UI" w:eastAsia="Segoe UI" w:cs="Segoe UI"/>
                <w:color w:val="1F1D1A"/>
                <w:sz w:val="18"/>
              </w:rPr>
              <w:t>9</w:t>
            </w:r>
            <w:r>
              <w:rPr>
                <w:rFonts w:ascii="Segoe UI" w:hAnsi="Segoe UI" w:eastAsia="Segoe UI" w:cs="Segoe UI"/>
                <w:color w:val="1F1D1A"/>
                <w:sz w:val="18"/>
              </w:rPr>
              <w:t>)</w:t>
            </w:r>
          </w:p>
        </w:tc>
      </w:tr>
      <w:tr>
        <w:tc>
          <w:tcPr>
            <w:tcW w:type="dxa" w:w="2296"/>
          </w:tcPr>
          <w:p>
            <w:pPr>
              <w:spacing w:after="20" w:line="264" w:lineRule="auto"/>
            </w:pPr>
            <w:r/>
            <w:r>
              <w:rPr>
                <w:rFonts w:ascii="Segoe UI" w:hAnsi="Segoe UI" w:eastAsia="Segoe UI" w:cs="Segoe UI"/>
                <w:color w:val="1F1D1A"/>
                <w:sz w:val="18"/>
              </w:rPr>
              <w:t>Lo que cuesta obtener lo mismo (</w:t>
            </w:r>
            <w:r>
              <w:rPr>
                <w:rFonts w:ascii="Segoe UI" w:hAnsi="Segoe UI" w:eastAsia="Segoe UI" w:cs="Segoe UI"/>
                <w:color w:val="1F1D1A"/>
                <w:sz w:val="18"/>
              </w:rPr>
              <w:t>9.1</w:t>
            </w:r>
            <w:r>
              <w:rPr>
                <w:rFonts w:ascii="Segoe UI" w:hAnsi="Segoe UI" w:eastAsia="Segoe UI" w:cs="Segoe UI"/>
                <w:color w:val="1F1D1A"/>
                <w:sz w:val="18"/>
              </w:rPr>
              <w:t>)</w:t>
            </w:r>
          </w:p>
        </w:tc>
        <w:tc>
          <w:tcPr>
            <w:tcW w:type="dxa" w:w="2296"/>
          </w:tcPr>
          <w:p>
            <w:pPr>
              <w:spacing w:after="20" w:line="264" w:lineRule="auto"/>
            </w:pPr>
            <w:r/>
            <w:r>
              <w:rPr>
                <w:rFonts w:ascii="Segoe UI" w:hAnsi="Segoe UI" w:eastAsia="Segoe UI" w:cs="Segoe UI"/>
                <w:color w:val="1F1D1A"/>
                <w:sz w:val="18"/>
              </w:rPr>
              <w:t>Por defecto: no hace crecer; se aleja con cada generación</w:t>
            </w:r>
          </w:p>
        </w:tc>
        <w:tc>
          <w:tcPr>
            <w:tcW w:type="dxa" w:w="2296"/>
          </w:tcPr>
          <w:p>
            <w:pPr>
              <w:spacing w:after="20" w:line="264" w:lineRule="auto"/>
            </w:pPr>
            <w:r/>
            <w:r>
              <w:rPr>
                <w:rFonts w:ascii="Segoe UI" w:hAnsi="Segoe UI" w:eastAsia="Segoe UI" w:cs="Segoe UI"/>
                <w:color w:val="1F1D1A"/>
                <w:sz w:val="18"/>
              </w:rPr>
              <w:t>Cada generación necesita más años de vida, más normas y más trámites para obtener lo mismo, y el hueco se cubre con deuda (</w:t>
            </w:r>
            <w:r>
              <w:rPr>
                <w:rFonts w:ascii="Segoe UI" w:hAnsi="Segoe UI" w:eastAsia="Segoe UI" w:cs="Segoe UI"/>
                <w:color w:val="1F1D1A"/>
                <w:sz w:val="18"/>
              </w:rPr>
              <w:t>9.1</w:t>
            </w:r>
            <w:r>
              <w:rPr>
                <w:rFonts w:ascii="Segoe UI" w:hAnsi="Segoe UI" w:eastAsia="Segoe UI" w:cs="Segoe UI"/>
                <w:color w:val="1F1D1A"/>
                <w:sz w:val="18"/>
              </w:rPr>
              <w:t>)</w:t>
            </w:r>
          </w:p>
        </w:tc>
        <w:tc>
          <w:tcPr>
            <w:tcW w:type="dxa" w:w="2296"/>
          </w:tcPr>
          <w:p>
            <w:pPr>
              <w:spacing w:after="20" w:line="264" w:lineRule="auto"/>
            </w:pPr>
            <w:r/>
            <w:r>
              <w:rPr>
                <w:rFonts w:ascii="Segoe UI" w:hAnsi="Segoe UI" w:eastAsia="Segoe UI" w:cs="Segoe UI"/>
                <w:color w:val="1F1D1A"/>
                <w:sz w:val="18"/>
              </w:rPr>
              <w:t>Hay logros reales, y la obra concede lo que es cierto (</w:t>
            </w:r>
            <w:r>
              <w:rPr>
                <w:rFonts w:ascii="Segoe UI" w:hAnsi="Segoe UI" w:eastAsia="Segoe UI" w:cs="Segoe UI"/>
                <w:color w:val="1F1D1A"/>
                <w:sz w:val="18"/>
              </w:rPr>
              <w:t>11.4</w:t>
            </w:r>
            <w:r>
              <w:rPr>
                <w:rFonts w:ascii="Segoe UI" w:hAnsi="Segoe UI" w:eastAsia="Segoe UI" w:cs="Segoe UI"/>
                <w:color w:val="1F1D1A"/>
                <w:sz w:val="18"/>
              </w:rPr>
              <w:t>)</w:t>
            </w:r>
          </w:p>
        </w:tc>
      </w:tr>
      <w:tr>
        <w:tc>
          <w:tcPr>
            <w:tcW w:type="dxa" w:w="2296"/>
          </w:tcPr>
          <w:p>
            <w:pPr>
              <w:spacing w:after="20" w:line="264" w:lineRule="auto"/>
            </w:pPr>
            <w:r/>
            <w:r>
              <w:rPr>
                <w:rFonts w:ascii="Segoe UI" w:hAnsi="Segoe UI" w:eastAsia="Segoe UI" w:cs="Segoe UI"/>
                <w:color w:val="1F1D1A"/>
                <w:sz w:val="18"/>
              </w:rPr>
              <w:t>La compensación del daño (</w:t>
            </w:r>
            <w:r>
              <w:rPr>
                <w:rFonts w:ascii="Segoe UI" w:hAnsi="Segoe UI" w:eastAsia="Segoe UI" w:cs="Segoe UI"/>
                <w:color w:val="1F1D1A"/>
                <w:sz w:val="18"/>
              </w:rPr>
              <w:t>10.6</w:t>
            </w:r>
            <w:r>
              <w:rPr>
                <w:rFonts w:ascii="Segoe UI" w:hAnsi="Segoe UI" w:eastAsia="Segoe UI" w:cs="Segoe UI"/>
                <w:color w:val="1F1D1A"/>
                <w:sz w:val="18"/>
              </w:rPr>
              <w:t>)</w:t>
            </w:r>
          </w:p>
        </w:tc>
        <w:tc>
          <w:tcPr>
            <w:tcW w:type="dxa" w:w="2296"/>
          </w:tcPr>
          <w:p>
            <w:pPr>
              <w:spacing w:after="20" w:line="264" w:lineRule="auto"/>
            </w:pPr>
            <w:r/>
            <w:r>
              <w:rPr>
                <w:rFonts w:ascii="Segoe UI" w:hAnsi="Segoe UI" w:eastAsia="Segoe UI" w:cs="Segoe UI"/>
                <w:color w:val="1F1D1A"/>
                <w:sz w:val="18"/>
              </w:rPr>
              <w:t>Cerca del centro: la propia ley ya obliga a compensar el daño injusto</w:t>
            </w:r>
          </w:p>
        </w:tc>
        <w:tc>
          <w:tcPr>
            <w:tcW w:type="dxa" w:w="2296"/>
          </w:tcPr>
          <w:p>
            <w:pPr>
              <w:spacing w:after="20" w:line="264" w:lineRule="auto"/>
            </w:pPr>
            <w:r/>
            <w:r>
              <w:rPr>
                <w:rFonts w:ascii="Segoe UI" w:hAnsi="Segoe UI" w:eastAsia="Segoe UI" w:cs="Segoe UI"/>
                <w:color w:val="1F1D1A"/>
                <w:sz w:val="18"/>
              </w:rPr>
              <w:t>Por el daño de un servicio público, el particular reclama a la Administración, no al empleado (</w:t>
            </w:r>
            <w:r>
              <w:rPr>
                <w:rFonts w:ascii="Segoe UI" w:hAnsi="Segoe UI" w:eastAsia="Segoe UI" w:cs="Segoe UI"/>
                <w:color w:val="1F1D1A"/>
                <w:sz w:val="18"/>
              </w:rPr>
              <w:t>10.4</w:t>
            </w:r>
            <w:r>
              <w:rPr>
                <w:rFonts w:ascii="Segoe UI" w:hAnsi="Segoe UI" w:eastAsia="Segoe UI" w:cs="Segoe UI"/>
                <w:color w:val="1F1D1A"/>
                <w:sz w:val="18"/>
              </w:rPr>
              <w:t>)</w:t>
            </w:r>
          </w:p>
        </w:tc>
        <w:tc>
          <w:tcPr>
            <w:tcW w:type="dxa" w:w="2296"/>
          </w:tcPr>
          <w:p>
            <w:pPr>
              <w:spacing w:after="20" w:line="264" w:lineRule="auto"/>
            </w:pPr>
            <w:r/>
            <w:r>
              <w:rPr>
                <w:rFonts w:ascii="Segoe UI" w:hAnsi="Segoe UI" w:eastAsia="Segoe UI" w:cs="Segoe UI"/>
                <w:color w:val="1F1D1A"/>
                <w:sz w:val="18"/>
              </w:rPr>
              <w:t>Cuanto más arriba, más estrecho el camino (</w:t>
            </w:r>
            <w:r>
              <w:rPr>
                <w:rFonts w:ascii="Segoe UI" w:hAnsi="Segoe UI" w:eastAsia="Segoe UI" w:cs="Segoe UI"/>
                <w:color w:val="1F1D1A"/>
                <w:sz w:val="18"/>
              </w:rPr>
              <w:t>10.6</w:t>
            </w:r>
            <w:r>
              <w:rPr>
                <w:rFonts w:ascii="Segoe UI" w:hAnsi="Segoe UI" w:eastAsia="Segoe UI" w:cs="Segoe UI"/>
                <w:color w:val="1F1D1A"/>
                <w:sz w:val="18"/>
              </w:rPr>
              <w:t>)</w:t>
            </w:r>
          </w:p>
        </w:tc>
      </w:tr>
      <w:tr>
        <w:tc>
          <w:tcPr>
            <w:tcW w:type="dxa" w:w="2296"/>
          </w:tcPr>
          <w:p>
            <w:pPr>
              <w:spacing w:after="20" w:line="264" w:lineRule="auto"/>
            </w:pPr>
            <w:r/>
            <w:r>
              <w:rPr>
                <w:rFonts w:ascii="Segoe UI" w:hAnsi="Segoe UI" w:eastAsia="Segoe UI" w:cs="Segoe UI"/>
                <w:color w:val="1F1D1A"/>
                <w:sz w:val="18"/>
              </w:rPr>
              <w:t>Esta obra (</w:t>
            </w:r>
            <w:r>
              <w:rPr>
                <w:rFonts w:ascii="Segoe UI" w:hAnsi="Segoe UI" w:eastAsia="Segoe UI" w:cs="Segoe UI"/>
                <w:color w:val="1F1D1A"/>
                <w:sz w:val="18"/>
              </w:rPr>
              <w:t>2.5</w:t>
            </w:r>
            <w:r>
              <w:rPr>
                <w:rFonts w:ascii="Segoe UI" w:hAnsi="Segoe UI" w:eastAsia="Segoe UI" w:cs="Segoe UI"/>
                <w:color w:val="1F1D1A"/>
                <w:sz w:val="18"/>
              </w:rPr>
              <w:t>)</w:t>
            </w:r>
          </w:p>
        </w:tc>
        <w:tc>
          <w:tcPr>
            <w:tcW w:type="dxa" w:w="2296"/>
          </w:tcPr>
          <w:p>
            <w:pPr>
              <w:spacing w:after="20" w:line="264" w:lineRule="auto"/>
            </w:pPr>
            <w:r/>
            <w:r>
              <w:rPr>
                <w:rFonts w:ascii="Segoe UI" w:hAnsi="Segoe UI" w:eastAsia="Segoe UI" w:cs="Segoe UI"/>
                <w:color w:val="1F1D1A"/>
                <w:sz w:val="18"/>
              </w:rPr>
              <w:t>Se pesa con la misma pesa: si dice más de lo que prueba, se aparta</w:t>
            </w:r>
          </w:p>
        </w:tc>
        <w:tc>
          <w:tcPr>
            <w:tcW w:type="dxa" w:w="2296"/>
          </w:tcPr>
          <w:p>
            <w:pPr>
              <w:spacing w:after="20" w:line="264" w:lineRule="auto"/>
            </w:pPr>
            <w:r/>
            <w:r>
              <w:rPr>
                <w:rFonts w:ascii="Segoe UI" w:hAnsi="Segoe UI" w:eastAsia="Segoe UI" w:cs="Segoe UI"/>
                <w:color w:val="1F1D1A"/>
                <w:sz w:val="18"/>
              </w:rPr>
              <w:t>Cada capítulo dice su límite honesto, y el dictamen no tiene valor oficial (</w:t>
            </w:r>
            <w:r>
              <w:rPr>
                <w:rFonts w:ascii="Segoe UI" w:hAnsi="Segoe UI" w:eastAsia="Segoe UI" w:cs="Segoe UI"/>
                <w:color w:val="1F1D1A"/>
                <w:sz w:val="18"/>
              </w:rPr>
              <w:t>9</w:t>
            </w:r>
            <w:r>
              <w:rPr>
                <w:rFonts w:ascii="Segoe UI" w:hAnsi="Segoe UI" w:eastAsia="Segoe UI" w:cs="Segoe UI"/>
                <w:color w:val="1F1D1A"/>
                <w:sz w:val="18"/>
              </w:rPr>
              <w:t>)</w:t>
            </w:r>
          </w:p>
        </w:tc>
        <w:tc>
          <w:tcPr>
            <w:tcW w:type="dxa" w:w="2296"/>
          </w:tcPr>
          <w:p>
            <w:pPr>
              <w:spacing w:after="20" w:line="264" w:lineRule="auto"/>
            </w:pPr>
            <w:r/>
            <w:r>
              <w:rPr>
                <w:rFonts w:ascii="Segoe UI" w:hAnsi="Segoe UI" w:eastAsia="Segoe UI" w:cs="Segoe UI"/>
                <w:color w:val="1F1D1A"/>
                <w:sz w:val="18"/>
              </w:rPr>
              <w:t>La mejor defensa del Estado contra la obra se oye entera en el juicio (</w:t>
            </w:r>
            <w:r>
              <w:rPr>
                <w:rFonts w:ascii="Segoe UI" w:hAnsi="Segoe UI" w:eastAsia="Segoe UI" w:cs="Segoe UI"/>
                <w:color w:val="1F1D1A"/>
                <w:sz w:val="18"/>
              </w:rPr>
              <w:t>11.2</w:t>
            </w:r>
            <w:r>
              <w:rPr>
                <w:rFonts w:ascii="Segoe UI" w:hAnsi="Segoe UI" w:eastAsia="Segoe UI" w:cs="Segoe UI"/>
                <w:color w:val="1F1D1A"/>
                <w:sz w:val="18"/>
              </w:rPr>
              <w:t>)</w:t>
            </w:r>
          </w:p>
        </w:tc>
      </w:tr>
    </w:tbl>
    <w:p>
      <w:pPr>
        <w:spacing w:after="80"/>
      </w:pPr>
    </w:p>
    <w:p>
      <w:r>
        <w:rPr>
          <w:b/>
        </w:rPr>
        <w:t>El camino de vuelta.</w:t>
      </w:r>
      <w:r>
        <w:t xml:space="preserve"> De cada rama seca que pesa esta tabla, el camino de vuelta a lo recibido, gesto a gesto, está en J.1.</w:t>
      </w:r>
    </w:p>
    <w:p>
      <w:pPr>
        <w:pStyle w:val="Heading2"/>
      </w:pPr>
      <w:r>
        <w:t>Límite honesto de la prueba</w:t>
      </w:r>
    </w:p>
    <w:p>
      <w:pPr>
        <w:pStyle w:val="ListBullet"/>
      </w:pPr>
      <w:r>
        <w:rPr>
          <w:b/>
        </w:rPr>
        <w:t>La capa del equilibrio tiene hoy pocos datos.</w:t>
      </w:r>
      <w:r>
        <w:t xml:space="preserve"> La obra tiene mucho sobre el árbol torcido (capítulos 5 a 9) y poco sobre cómo sería, rama a rama, una ley alineada con el Arca. Es un hueco, y se dice. </w:t>
      </w:r>
      <w:r>
        <w:t>[04h, 3.1]</w:t>
      </w:r>
    </w:p>
    <w:p>
      <w:pPr>
        <w:pStyle w:val="ListBullet"/>
      </w:pPr>
      <w:r>
        <w:rPr>
          <w:b/>
        </w:rPr>
        <w:t>Faltan polos.</w:t>
      </w:r>
      <w:r>
        <w:t xml:space="preserve"> En dos de los nueve principios (P3 y P5), el Arca no tiene texto para uno de los dos vicios; se buscaron en lo ya leído y no se rellenan. </w:t>
      </w:r>
      <w:r>
        <w:t>[04h, 3.3; 04p, fila 31]</w:t>
      </w:r>
    </w:p>
    <w:p>
      <w:pPr>
        <w:pStyle w:val="ListBullet"/>
      </w:pPr>
      <w:r>
        <w:rPr>
          <w:b/>
        </w:rPr>
        <w:t>Las fechas que ordenan los textos son de nivel B</w:t>
      </w:r>
      <w:r>
        <w:t xml:space="preserve"> (enciclopedia), salvo las que la obra ya tenía en su fuente; el orden es el de cómo se formularon los criterios en la historia, no el de este libro. </w:t>
      </w:r>
      <w:r>
        <w:t>[04k; 04p, condición 6]</w:t>
      </w:r>
    </w:p>
    <w:p>
      <w:pPr>
        <w:pStyle w:val="ListBullet"/>
      </w:pPr>
      <w:r>
        <w:rPr>
          <w:b/>
        </w:rPr>
        <w:t>Los números van solo en el piloto,</w:t>
      </w:r>
      <w:r>
        <w:t xml:space="preserve"> y el piloto va aquí como diseño: sus umbrales se escriben con el autor antes de mirar los datos, y hasta entonces no hay cifra. </w:t>
      </w:r>
      <w:r>
        <w:t>[libreta 78; J.6]</w:t>
      </w:r>
    </w:p>
    <w:p>
      <w:pPr>
        <w:pStyle w:val="ListBullet"/>
      </w:pPr>
      <w:r>
        <w:rPr>
          <w:b/>
        </w:rPr>
        <w:t>Llevar la virtud de Aristóteles, que es de una persona, a las leyes y a las instituciones es una extensión del autor</w:t>
      </w:r>
      <w:r>
        <w:t xml:space="preserve"> (anexo del 4.3). Este anexo la convierte en método y lo dice; no la presenta como dato. </w:t>
      </w:r>
      <w:r>
        <w:t>[anexo del 4.3]</w:t>
      </w:r>
    </w:p>
    <w:p>
      <w:pPr>
        <w:pStyle w:val="ListBullet"/>
      </w:pPr>
      <w:r>
        <w:rPr>
          <w:b/>
        </w:rPr>
        <w:t>La doble polaridad se leyó en 30 pasajes de 11 tradiciones, y la independencia entre ellas no está comprobada.</w:t>
      </w:r>
      <w:r>
        <w:t xml:space="preserve"> Maimónides y Horacio dependen de Aristóteles; de China, el budismo, la India, el Israel bíblico y el Corán no se ha comprobado ni contacto ni independencia respecto de Grecia. Por eso se dice «coinciden», no «convergen». El Corán 25:67, Mencio 7A26, las Analectas XIII,21 y el Yasna 30 vienen de transcripciones no cotejadas con edición impresa (nivel B).</w:t>
      </w:r>
    </w:p>
    <w:p>
      <w:pPr>
        <w:pStyle w:val="Heading2"/>
      </w:pPr>
      <w:r>
        <w:t>Dónde se oye la defensa del Estado</w:t>
      </w:r>
    </w:p>
    <w:p>
      <w:r>
        <w:t xml:space="preserve">La defensa del Estado frente a este anexo («la obra no es neutral: la vara la pone el autor»; «un dial es una opinión con forma de cifra»), y lo que la obra le responde (el centro lo pone lo que converge, se escribe antes de medir y se aplica a los dos lados), se oyen en el juicio: </w:t>
      </w:r>
      <w:r>
        <w:t>11.2</w:t>
      </w:r>
      <w:r>
        <w:t xml:space="preserve">, las cuestiones previas. </w:t>
      </w:r>
      <w:r>
        <w:t>[glosario 8.13; 0.5]</w:t>
      </w:r>
    </w:p>
    <w:p>
      <w:pPr>
        <w:pStyle w:val="Heading2"/>
      </w:pPr>
      <w:r>
        <w:t>Para recordar</w:t>
      </w:r>
    </w:p>
    <w:p>
      <w:pPr>
        <w:pStyle w:val="ListBullet"/>
      </w:pPr>
      <w:r>
        <w:t>El dial no es un método nuevo: es el segundo paso de la vara, los frutos, con la posición y la dirección a la vista.</w:t>
      </w:r>
    </w:p>
    <w:p>
      <w:pPr>
        <w:pStyle w:val="ListBullet"/>
      </w:pPr>
      <w:r>
        <w:t>Dos semillas: la que se recibe y la que se siembra. El árbol se tuerce cuando lo sembrado se corta de lo recibido o se pone por encima.</w:t>
      </w:r>
    </w:p>
    <w:p>
      <w:pPr>
        <w:pStyle w:val="ListBullet"/>
      </w:pPr>
      <w:r>
        <w:t>El centro lo ponen la ley de Dios y la ley natural, por convergencia, y se escribe antes de mirar los datos.</w:t>
      </w:r>
    </w:p>
    <w:p>
      <w:pPr>
        <w:pStyle w:val="ListBullet"/>
      </w:pPr>
      <w:r>
        <w:t>El dial maestro es «servir»: a la izquierda, no cuida ni cumple; a la derecha, se sirve. La balanza equilibrada es su centro.</w:t>
      </w:r>
    </w:p>
    <w:p>
      <w:pPr>
        <w:pStyle w:val="ListBullet"/>
      </w:pPr>
      <w:r>
        <w:t>Se miden cosas, nunca personas; con número solo donde se cumplen cuatro condiciones, y con la mejor defensa al lado.</w:t>
      </w:r>
    </w:p>
    <w:p>
      <w:pPr>
        <w:pStyle w:val="ListBullet"/>
      </w:pPr>
      <w:r>
        <w:t xml:space="preserve">Una sola pesa para todo, también para quien pesa: ¿roca o arena? Y, por sus frutos, ¿sirve más allá de sí, se sirve, o no cuida ni cumple? Con ella se pesa en </w:t>
      </w:r>
      <w:r>
        <w:t>J.8</w:t>
      </w:r>
      <w:r>
        <w:t xml:space="preserve"> lo que expone el libro, con lo que pesa en el otro plato al lado (lectura del autor).</w:t>
      </w:r>
    </w:p>
    <w:p>
      <w:pPr>
        <w:keepNext/>
        <w:pBdr>
          <w:top w:val="single" w:sz="6" w:space="8" w:color="1F1D1A"/>
        </w:pBdr>
        <w:spacing w:before="480"/>
        <w:jc w:val="center"/>
      </w:pPr>
      <w:r>
        <w:drawing>
          <wp:inline xmlns:a="http://schemas.openxmlformats.org/drawingml/2006/main" xmlns:pic="http://schemas.openxmlformats.org/drawingml/2006/picture">
            <wp:extent cx="792000" cy="792000"/>
            <wp:docPr id="1" name="Picture 1"/>
            <wp:cNvGraphicFramePr>
              <a:graphicFrameLocks noChangeAspect="1"/>
            </wp:cNvGraphicFramePr>
            <a:graphic>
              <a:graphicData uri="http://schemas.openxmlformats.org/drawingml/2006/picture">
                <pic:pic>
                  <pic:nvPicPr>
                    <pic:cNvPr id="0" name="image.png"/>
                    <pic:cNvPicPr/>
                  </pic:nvPicPr>
                  <pic:blipFill>
                    <a:blip r:embed="rId10"/>
                    <a:stretch>
                      <a:fillRect/>
                    </a:stretch>
                  </pic:blipFill>
                  <pic:spPr>
                    <a:xfrm>
                      <a:off x="0" y="0"/>
                      <a:ext cx="792000" cy="792000"/>
                    </a:xfrm>
                    <a:prstGeom prst="rect"/>
                  </pic:spPr>
                </pic:pic>
              </a:graphicData>
            </a:graphic>
          </wp:inline>
        </w:drawing>
      </w:r>
    </w:p>
    <w:p>
      <w:pPr>
        <w:spacing w:after="20"/>
        <w:jc w:val="center"/>
      </w:pPr>
      <w:r>
        <w:rPr>
          <w:rFonts w:ascii="Segoe UI" w:hAnsi="Segoe UI" w:eastAsia="Segoe UI" w:cs="Segoe UI"/>
          <w:b/>
          <w:color w:val="1F1D1A"/>
          <w:sz w:val="19"/>
        </w:rPr>
        <w:t>Apocalipsis del Sistema · Edición de lectura · Kiko Orozco Rocamora</w:t>
      </w:r>
    </w:p>
    <w:p>
      <w:pPr>
        <w:spacing w:after="20"/>
        <w:jc w:val="center"/>
      </w:pPr>
      <w:r>
        <w:rPr>
          <w:rFonts w:ascii="Segoe UI" w:hAnsi="Segoe UI" w:eastAsia="Segoe UI" w:cs="Segoe UI"/>
          <w:b w:val="0"/>
          <w:color w:val="6B665E"/>
          <w:sz w:val="17"/>
        </w:rPr>
        <w:t>La obra entera: completo · versión del 13 de octubre de 2026 · huella SHA-256 de los textos 2a4fcfc34e05630b…</w:t>
      </w:r>
    </w:p>
    <w:p>
      <w:pPr>
        <w:spacing w:after="20"/>
        <w:jc w:val="center"/>
      </w:pPr>
      <w:r>
        <w:rPr>
          <w:rFonts w:ascii="Segoe UI" w:hAnsi="Segoe UI" w:eastAsia="Segoe UI" w:cs="Segoe UI"/>
          <w:b w:val="0"/>
          <w:color w:val="6B665E"/>
          <w:sz w:val="17"/>
        </w:rPr>
        <w:t>La versión completa y comprobable, con cada cita en su fuente, está en la edición publicada.</w:t>
      </w:r>
    </w:p>
    <w:p>
      <w:pPr>
        <w:spacing w:after="40" w:before="40"/>
      </w:pPr>
      <w:r>
        <w:rPr>
          <w:rFonts w:ascii="Segoe UI" w:hAnsi="Segoe UI" w:eastAsia="Segoe UI" w:cs="Segoe UI"/>
          <w:color w:val="6B665E"/>
          <w:sz w:val="16"/>
        </w:rPr>
        <w:t>El juicio popular de la verdad es un tribunal de opinión: no tiene carácter oficial ni fuerza legal.</w:t>
      </w:r>
    </w:p>
    <w:p>
      <w:pPr>
        <w:spacing w:after="40" w:before="40"/>
      </w:pPr>
      <w:r>
        <w:rPr>
          <w:rFonts w:ascii="Segoe UI" w:hAnsi="Segoe UI" w:eastAsia="Segoe UI" w:cs="Segoe UI"/>
          <w:color w:val="6B665E"/>
          <w:sz w:val="16"/>
        </w:rPr>
        <w:t>Si lees esto en otro idioma, es una traducción automática, no revisada. La obra se escribió en España, en español; en caso de duda prevalece el español.</w:t>
      </w:r>
    </w:p>
    <w:p>
      <w:pPr>
        <w:spacing w:after="40" w:before="40"/>
      </w:pPr>
      <w:r>
        <w:rPr>
          <w:rFonts w:ascii="Segoe UI" w:hAnsi="Segoe UI" w:eastAsia="Segoe UI" w:cs="Segoe UI"/>
          <w:color w:val="6B665E"/>
          <w:sz w:val="16"/>
        </w:rPr>
        <w:t>Esta obra no da asesoramiento financiero ni jurídico y no exime de ninguna obligación vigente.</w:t>
      </w:r>
    </w:p>
    <w:sectPr w:rsidR="00FC693F" w:rsidRPr="0006063C" w:rsidSect="00034616">
      <w:footerReference w:type="default" r:id="rId9"/>
      <w:pgSz w:w="11906" w:h="16838"/>
      <w:pgMar w:top="1304" w:right="1361" w:bottom="1304" w:left="1361"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tabs>
        <w:tab w:pos="9184" w:val="right"/>
      </w:tabs>
    </w:pPr>
    <w:r>
      <w:rPr>
        <w:rFonts w:ascii="Segoe UI" w:hAnsi="Segoe UI" w:eastAsia="Segoe UI" w:cs="Segoe UI"/>
        <w:color w:val="6B665E"/>
        <w:sz w:val="17"/>
      </w:rPr>
      <w:t>Apocalipsis del Sistema · Edición de lectura · La obra entera: completo · Anexo J. La balanza equilibrada: lo que habría sido de ajust</w:t>
      <w:tab/>
    </w:r>
    <w:r>
      <w:rPr>
        <w:rFonts w:ascii="Segoe UI" w:hAnsi="Segoe UI" w:eastAsia="Segoe UI" w:cs="Segoe UI"/>
        <w:color w:val="6B665E"/>
        <w:sz w:val="17"/>
      </w:rPr>
      <w:fldChar w:fldCharType="begin"/>
      <w:instrText xml:space="preserve"> PAGE </w:instrText>
      <w:fldChar w:fldCharType="end"/>
    </w:r>
  </w:p>
</w:ft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spacing w:after="120" w:line="312" w:lineRule="auto"/>
    </w:pPr>
    <w:rPr>
      <w:rFonts w:ascii="Georgia" w:hAnsi="Georgia" w:eastAsia="Georgia" w:cs="Georgia"/>
      <w:color w:val="1F1D1A"/>
      <w:sz w:val="22"/>
      <w:lang w:val="es-ES" w:eastAsia="es-ES"/>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0" w:after="160" w:line="276" w:lineRule="auto"/>
      <w:outlineLvl w:val="0"/>
    </w:pPr>
    <w:rPr>
      <w:rFonts w:asciiTheme="majorHAnsi" w:eastAsiaTheme="majorEastAsia" w:hAnsiTheme="majorHAnsi" w:cstheme="majorBidi" w:ascii="Georgia" w:hAnsi="Georgia" w:eastAsia="Georgia" w:cs="Georgia"/>
      <w:b/>
      <w:bCs/>
      <w:i w:val="0"/>
      <w:color w:val="1F1D1A"/>
      <w:sz w:val="42"/>
      <w:szCs w:val="28"/>
    </w:rPr>
  </w:style>
  <w:style w:type="paragraph" w:styleId="Heading2">
    <w:name w:val="heading 2"/>
    <w:basedOn w:val="Normal"/>
    <w:next w:val="Normal"/>
    <w:link w:val="Heading2Char"/>
    <w:uiPriority w:val="9"/>
    <w:unhideWhenUsed/>
    <w:qFormat/>
    <w:rsid w:val="00FC693F"/>
    <w:pPr>
      <w:keepNext/>
      <w:keepLines/>
      <w:spacing w:before="320" w:after="80" w:line="276" w:lineRule="auto"/>
      <w:outlineLvl w:val="1"/>
    </w:pPr>
    <w:rPr>
      <w:rFonts w:asciiTheme="majorHAnsi" w:eastAsiaTheme="majorEastAsia" w:hAnsiTheme="majorHAnsi" w:cstheme="majorBidi" w:ascii="Georgia" w:hAnsi="Georgia" w:eastAsia="Georgia" w:cs="Georgia"/>
      <w:b/>
      <w:bCs/>
      <w:i w:val="0"/>
      <w:color w:val="1F1D1A"/>
      <w:sz w:val="30"/>
      <w:szCs w:val="26"/>
    </w:rPr>
  </w:style>
  <w:style w:type="paragraph" w:styleId="Heading3">
    <w:name w:val="heading 3"/>
    <w:basedOn w:val="Normal"/>
    <w:next w:val="Normal"/>
    <w:link w:val="Heading3Char"/>
    <w:uiPriority w:val="9"/>
    <w:unhideWhenUsed/>
    <w:qFormat/>
    <w:rsid w:val="00FC693F"/>
    <w:pPr>
      <w:keepNext/>
      <w:keepLines/>
      <w:spacing w:before="240" w:after="60" w:line="276" w:lineRule="auto"/>
      <w:outlineLvl w:val="2"/>
    </w:pPr>
    <w:rPr>
      <w:rFonts w:asciiTheme="majorHAnsi" w:eastAsiaTheme="majorEastAsia" w:hAnsiTheme="majorHAnsi" w:cstheme="majorBidi" w:ascii="Georgia" w:hAnsi="Georgia" w:eastAsia="Georgia" w:cs="Georgia"/>
      <w:b/>
      <w:bCs/>
      <w:i w:val="0"/>
      <w:color w:val="1F1D1A"/>
      <w:sz w:val="25"/>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spacing w:after="60"/>
      <w:contextualSpacing/>
    </w:pPr>
    <w:rPr>
      <w:rFonts w:ascii="Georgia" w:hAnsi="Georgia" w:eastAsia="Georgia" w:cs="Georgia"/>
      <w:color w:val="1F1D1A"/>
      <w:sz w:val="22"/>
    </w:rPr>
  </w:style>
  <w:style w:type="paragraph" w:styleId="ListBullet2">
    <w:name w:val="List Bullet 2"/>
    <w:basedOn w:val="Normal"/>
    <w:uiPriority w:val="99"/>
    <w:unhideWhenUsed/>
    <w:rsid w:val="00326F90"/>
    <w:pPr>
      <w:numPr>
        <w:numId w:val="2"/>
      </w:numPr>
      <w:spacing w:after="60"/>
      <w:contextualSpacing/>
    </w:pPr>
    <w:rPr>
      <w:rFonts w:ascii="Georgia" w:hAnsi="Georgia" w:eastAsia="Georgia" w:cs="Georgia"/>
      <w:color w:val="1F1D1A"/>
      <w:sz w:val="22"/>
    </w:rPr>
  </w:style>
  <w:style w:type="paragraph" w:styleId="ListBullet3">
    <w:name w:val="List Bullet 3"/>
    <w:basedOn w:val="Normal"/>
    <w:uiPriority w:val="99"/>
    <w:unhideWhenUsed/>
    <w:rsid w:val="00326F90"/>
    <w:pPr>
      <w:numPr>
        <w:numId w:val="3"/>
      </w:numPr>
      <w:spacing w:after="60"/>
      <w:contextualSpacing/>
    </w:pPr>
    <w:rPr>
      <w:rFonts w:ascii="Georgia" w:hAnsi="Georgia" w:eastAsia="Georgia" w:cs="Georgia"/>
      <w:color w:val="1F1D1A"/>
      <w:sz w:val="22"/>
    </w:r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footer" Target="footer1.xml"/><Relationship Id="rId10"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Anexo J. La balanza equilibrada: lo que habría sido de ajustarse a lo recibido · La obra entera: completo</dc:title>
  <dc:subject/>
  <dc:creator>Kiko Orozco Rocamora</dc:creator>
  <cp:keywords/>
  <dc:description>generated by python-docx</dc:description>
  <cp:lastModifiedBy/>
  <cp:revision>1</cp:revision>
  <dcterms:created xsi:type="dcterms:W3CDTF">2026-10-12T22:21:46Z</dcterms:created>
  <dcterms:modified xsi:type="dcterms:W3CDTF">2026-10-12T22:21:46Z</dcterms:modified>
  <cp:category/>
  <dc:language>es-ES</dc:language>
</cp:coreProperties>
</file>