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Segoe UI" w:hAnsi="Segoe UI" w:eastAsia="Segoe UI" w:cs="Segoe UI"/>
          <w:b/>
          <w:color w:val="6B665E"/>
          <w:sz w:val="19"/>
        </w:rPr>
        <w:t>La obra entera: completo</w:t>
      </w:r>
    </w:p>
    <w:p>
      <w:pPr>
        <w:pStyle w:val="Heading1"/>
      </w:pPr>
      <w:r>
        <w:t>Anexo F. El Arca: los textos de cada tradición, con su fuente</w:t>
      </w:r>
    </w:p>
    <w:p>
      <w:pPr>
        <w:spacing w:after="200"/>
      </w:pPr>
      <w:r>
        <w:rPr>
          <w:rFonts w:ascii="Segoe UI" w:hAnsi="Segoe UI" w:eastAsia="Segoe UI" w:cs="Segoe UI"/>
          <w:color w:val="6B665E"/>
          <w:sz w:val="17"/>
        </w:rPr>
        <w:t>Primera versión: 7 de octubre de 2026 · Última revisión: 12 de octubre de 2026 · Cambios anotados en el capítulo: 13 · Citas leídas en su fuente: 423</w:t>
      </w:r>
    </w:p>
    <w:p>
      <w:pPr>
        <w:keepNext/>
      </w:pPr>
      <w:r>
        <w:rPr>
          <w:rFonts w:ascii="Segoe UI" w:hAnsi="Segoe UI" w:eastAsia="Segoe UI" w:cs="Segoe UI"/>
          <w:b/>
          <w:color w:val="6B665E"/>
          <w:sz w:val="20"/>
        </w:rPr>
        <w:t>Notas de trabajo (estado y trazabilidad)</w:t>
      </w:r>
    </w:p>
    <w:p>
      <w:r>
        <w:t>Cambio del 12-oct-2026, el cierre, dentro del paso 3 (forma, sin cambio de sentido; hallado por 09.3 al auditar la conferencia, 08/28, apartado 4; orden de 08.29, fila 715 de 08/01; libro de estilo, normas que más se repiten): (b) en F.9, «algo distinto de lo que» en lugar de «otra cosa de lo que» (07/herramientas/aplicar_cinco_de_forma.py). Ninguna otra palabra cambia. Cambio del 12-oct-2026, el cierre, dentro del paso 3 (B13: Kiko, chat de 08.18, 06:3x, «si» a la forma «sin contacto documentado entre sí»; orden de 08.29, filas 709 y 710 de 08/01, tras la auditoría de 10.36): la frase en este capítulo con la forma de antes pasa a decir «sin contacto documentado» (07/herramientas/aplicar_contacto_documentado.py). Ninguna otra palabra cambia. Cambio del 12-oct-2026 (Kiko, chat de 08.26, 17:0x, pasado por 08.26 tal cual: «Sí, claro, si está investigado y verificado, deben entrar en la obra. Donde corresponda. En todos los puntos que correspondan. Y entrar en la obra en sus diferentes niveles que ya lo hemos parlamentado, ya quedó aprobado.»; orden firme de 08.26 y ADELANTE de 08.27, con su retoque de 1 S 16:13; borrador B23, construido por programa desde los índices verificados D y E de el_camino_y_el_aviso): en F.9, el punto 16 de «Lo extenso» (los pasajes del ungido, en la Reina-Valera Antigua, con el hebreo del códice de Leningrado; la Bhagavad Gita en la traducción inglesa de Arnold y el Shujing y Mencio en la de Legge, con la traducción de esta edición y el inglés al lado), una frase en «La idea», otra en «Cómo se leyó» y su remisión en la línea de fuente. Sin palabra nueva. Ninguna otra palabra cambia. Cambio del 12-oct-2026 (Kiko, chat de 08.26, 17:0x, pasado por 08.26 tal cual: «Sí, claro, si está investigado y verificado, deben entrar en la obra. Donde corresponda. En todos los puntos que correspondan. Y entrar en la obra en sus diferentes niveles que ya lo hemos parlamentado, ya quedó aprobado.»; orden firme y ADELANTE de 08.26; borrador B22, construido por programa desde el índice verificado el_septimo_sello): en F.9, el punto 15 de «Lo extenso» (los pasajes del séptimo sello, en la Reina-Valera Antigua y con el griego de la edición SBLGNT donde dice otra cosa o donde el verbo importa), una frase en «La idea», otra en «Cómo se leyó» y su remisión en la línea de fuente. Sin palabra nueva. Ninguna otra palabra cambia. Cambio del 12-oct-2026 (Kiko, chat de 08.24, 15:0x, pasado por 08.24 tal cual: «SI CONCUERDO» a la línea de dato junto al «¿qué vas a hacer cuando nadie te mira?», fila 569 de 08/01; ADELANTE de 08.25, 15:1x): en F.9, el punto 14 de «Lo extenso» (los pasajes de «todo se ve y queda escrito», tradición por tradición, con la fecha del Ganying Pian según Legge), una frase en «La idea», otra en «Cómo se leyó», las fuentes nuevas en {completo} y su remisión en la línea de fuente (borrador construido por programa desde el índice verificado el_registro_de_todo). Ninguna otra palabra cambia. Cambio del 12-oct-2026 (Kiko, chat de 08.22, 12:1x, pasado por 08.22 tal cual: «si concuerdo» y «concuerdo si» al B19, filas 527 y 528 de 08/01; el cribado, con sus dos decisiones del parlamento 08/23, apartado 10: «si asi es concuerdo», 13:5x, y «si estoy de acuerdo es que se escribe asi... acepto tu recomendacion si», 14:0x, con el remate de 14:1x; orden firme de 08.24, 14:2x, y su «ADELANTE», 14:4x): un apartado nuevo, F.9 «Las reglas del juego de la vida, tradición por tradición», detrás de F.8 (cómo se leyó, lo que cada fuente dice de otro modo y, en «Lo extenso», los pasajes de 3.7 tradición por tradición, los del cribado y la cuenta del aviso y de quién ejecuta); su línea en F.0 (la de F.8 acaba ahora en punto y coma); un punto en «En pocas palabras» y otro en «Para recordar» (borrador B19, construido por programa desde los índices verificados). Y una corrección en el «Límite honesto», en «Lo que no se leyó no entra»: el Popol Vuh no se leyó para los principios del Arca, pero sí después (2.3 y F.9). Ninguna otra palabra cambia. Cambio del 9-oct-2026 (cierre de los avisos de las patas del Arca, tras el informe del agente de fuentes; Kiko: «sigue con el agente y cierra lo pendiente»): en F.1 (P5), en la lista de textos de la P4, en F.4 (Ptahhotep), en F.6 y en F.7 (Gran Ley de la Paz) se ajustan los avisos a lo que sostienen las fuentes leídas. Se quita Wikipedia como fuente (00b §6), se retiran las fechas que la página citada no sostenía y se apoya cada aviso en una fuente leída o lo dice. Cambio del 9-oct-2026 (Kiko: «sí a las tres» el 8-oct y «para todo lo demás, queda confirmado» el 9-oct; filas 6 a 11 de 04p, ajustes 1 a 6 de la línea del tiempo): en F.1, P2 y P5, y la lista de textos de la P4, llevan su aviso (una sola historia; Código de la Alianza; libro 20 de las Analectas); en F.4, el aviso de Ptahhotep; en F.6 y F.7, el aviso de la fecha de la Gran Ley de la Paz. Las fechas y los parecidos entre textos son de enciclopedia (fuente secundaria, nivel B); no se ha cambiado ninguna cita ni ningún texto original. Cambio del 8-oct-2026 (fase de reparación, sexta tanda): corregida una remisión que apuntaba a un apartado que no trata de lo que se remite: el orden de las cuatro leyes (la costumbre por encima de la ley escrita) remitía a 1.2 (La ley de Dios) y está en 1.1. Cambio del 8-oct-2026 (fase de reparación, auditoría con todos los trozos de cada original): el original del hadiz de Muslim 1847 («corazón de demonios») no era literal; ahora lleva la frase tal cual de la traducción de Siddiqui, «men who will have the hearts of devils in the bodies of human beings». Cambio del 8-oct-2026 (fase de reparación; Kiko: «mantener el criterio de los hadices como segunda mano, y especifica el porqué»): escrito el motivo por el que los hadices van como fuente secundaria. Cambio del 8-oct-2026 (fase de reparación, traducciones sin original): puesto el original hebreo de Horayot 10b junto a la cita (leído en Sefaria). Cambio del 8-oct-2026 (fase de reparación, auditoría de las citas contra los originales): (1) Mencio 1B8, el texto de Legge dice «Chau» y no «Zhou» (se pone el literal); (2) Sahih Muslim 1847, leído en la traducción de Siddiqui (hadith-api, libro 33, hadiz 82): el original dice «even if your back is flogged and your wealth is snatched, you should listen and obey», y la cita ya no va reordenada. ESTADO: APROBADO por Kiko el 7-oct-2026 («si a las dos preguntas»: el anexo y el cambio de las notas del capítulo 3 que daban por pendientes lo que está aquí); sus marcas, en 04 CAPITULOS/marcas/marcas del anexo F.txt. Paso 3. Sin agentes ni descargas. Es el segundo de los anexos. Sale del archivo del Arca (06 EDICION DE LECTURA/01 GLOSARIO UNICO/EL ARCA - REFUERZO DE CADA LEY POR TRADICIONES (vivo).md, verificado por Claude el 5-oct: cada texto literal, con su lugar y su nivel; el capítulo 3 se aprobó con él y no se ha vuelto a revisar), de la pieza 07.00 (archivo congelado: 1.1 y 1.2, el pan propio; 2.1 a 10.2, los órdenes de costumbre; 18.5 y 18.6, errar el blanco) y de 01.00-13.4 (las songlines). Se traslada tal cual. Escrito en tres niveles y con remisiones enlazables. Marcas: {fuente: …} niveles 2 y 3; {original: …} nivel 3; [trazabilidad] nivel 3; {completo} solo nivel 3; {breve} solo niveles 1 y 2; {enlace?: …} remisión hacia delante o de lado, que se resuelve en la pasada final. Trazabilidad: al final de cada párrafo o bloque, entre corchetes (se ve en el nivel completo). Cifras: el anexo F no tiene ninguna en 16 CIFRAS POR MIRAR. Cada número, en su fila o leído hoy: 930, 1800 y 1845 (Gjerset, pp. 33, 346 y 377); 1861 (Kimball); «ochenta leyes» (Ixtlilxóchitl, p. 187); doce jueces (Zorita, p. 111); 40.000 años (ALRC 31, § 22); unas 250 lenguas y más de 500 dialectos (Oficina de Estadística de Australia, 1999); 2024 (UNESCO, RL 02087); 2022 (Ellis v R); 2001 (NZLC, SP9); 1993 y la Ley 34 de 1995 (gov.za); 1896 (Boas); 2007 (Nunavut); 2017 (Oosten); hacia 2600 a. C. (Biggs, p. 26); hacia 2000 a. C. (Žába, p. 1); 810-870 (Biblioteca del Congreso de Estados Unidos); unos tres mil quinientos años (la suma, 07.00-1.1, corregida el 5-oct); el resto, del archivo del Arca. Leído hoy en su original (en local; libreta 75, 7 bis n.º 11): - 10 FUENTES LEIDAS/g/otros (bajado el 5-oct para el informe g/INFORME_PAN_Y_OTROS.md, grupos 1 a 3): Instrucciones de Shuruppak, ETCSL c.5.6.1, líneas 28-31 (sumerio y traducción); R. D. Biggs, Inscriptions from Tell Abū Ṣalābīkh, 1974, p. 26 (la fecha, «no more than a suggestion»); Z. Žába, Les Maximes de Ptahhotep, 1956, p. 1 y vv. 300 y 317; B. G. Gunn, The Instruction of Ptah-hotep, 1906, máxima 20; Musonio Rufo, Disertación XI (Hense, 1905, pp. 60 y 63); registro de autoridad de al-Bujari (Biblioteca del Congreso, 810-870); Monier-Williams, 1899, p. 51 (apa-rādh y aparādha); Norris y Harney, 2014 (resumen); Norris, 2016, p. 17; Higgins, 2021, pp. 724-725. - 10 FUENTES LEIDAS/g/costumbre: Parker, The Constitution of the Five Nations, 1916, art. 42 («as a birthright»). - 10 FUENTES LEIDAS/ant: Hesíodo, Trabajos y días 240 (Evelyn-White); los traductores ingleses de Perseus y Gutenberg (Rackham para la Política, Bury para las Leyes, Kenyon para la Constitución de los atenienses). - Del registro (paso 2 bis, con su pasaje) y del informe de procedencia de los órdenes de costumbre (g/INFORME_COSTUMBRE.md, 5-oct: 43 datos A, con la cita y su página): 07.00-2.1 a 9.1. Hallado al escribir (sin errata para el 07): - Shuruppak, Ptahhotep (máximas 19 y 20) y Musonio Rufo no estaban sin fuente: los leyó el informe del 5-oct (g/INFORME_PAN_Y_OTROS.md, grupo 1), la pieza 07.00-1.1 ya se corrigió con ellos, y hoy se han leído otra vez en local, letra a letra. El capítulo 3 (3.1) y el aviso los daban por pendientes. Entran en F.4: lo verificado que se omitió se repone (Kiko, 7-oct). - 07.00-4.1, «as a birthright»: el paso 2 bis lo dejó en flecos («sin localizar en lo descargado»); está en Parker, art. 42: «and in them is it vested as a birthright». La búsqueda del paso 2 bis solo miraba en la fuente nombrada del párrafo, y esa fila no tenía ninguna; la copia normalizada de Parker sí lo tiene. Fleco resuelto. - 07.00-9.1: el Tribunal Supremo de Nueva Zelanda declaró por unanimidad que el tikanga ha sido y seguirá siendo reconocido en su common law (§ 19); lo que aceptó la mayoría es que fue el primer derecho del país (§ 22). Va así. - 07.00-8.1: «Tenía un alto tribunal de justicia» va como lo dice la fuente: «it possessed both legislative and judicial powers» (Gjerset, p. 34). No entra: - Del archivo del Arca, lo que da como «No comprobado por Claude» y su «Pendiente»: el Popol Vuh, Grinnell sobre los cheyenes, la Constitución de Hawái (la ley del remo astillado), la Fetha Nagast, el estudio del xeer de 2023, Cicerón, De officiis II, 78 y 84, y Platón, Leyes V (contra la cancelación de deudas, según el agente), la Udyoga Parva 5.34, la Sabha Parva 2.5, la Brihadaranyaka 1.4.14, el edicto en roca 6 de Ashoka y los Angs 1032 y 145. Y lo que el Arca no encontró: el edicto de Ammisaduqa y la frase de Urukagina sobre «el recaudador de impuestos». - 07.00-8.1: que el Althing sea «uno de los parlamentos más antiguos del mundo», sin fuente leída (la web del Althingi devolvió 403). - 07.00-5.1: la remisión a la figura «Geis y Brehon Law» de la Biblioteca (pieza 04.00), que la edición no tiene. - 01.00-13.4: la valoración «un pilar prometedor, pero menos cerrado que Mencio o Heráclito», que es una comparación del autor, no un dato. - 07.00-18.7 (el giri japonés): quitado de la pieza el 5-oct al leerlo en los diccionarios (giri nombra el deber, no la falta; informe g, 2.3); va al límite honesto, como la fila budista que se quitó con él. Lo que no se repite (se nombra, con su remisión): lo que ya está en 3.1 (el pan propio, cinco textos), 3.2 (principio a principio), 3.3 (la usura), 3.4 (quién escribe la pata coja, con sus frutos), 3.6 (el hilo de servir), 5.2 (Lc 11:46), 6.2 (Roboam) y 10.1 (Corán 4:59). Niveles: los textos chinos de Wikisource, A (texto original leído), como en el capítulo 3 (el archivo del Arca proponía unificarlos así); los hadices, B, como en el archivo y en el capítulo 3. Conceptos que usa, ya anclados: el Arca, los nueve principios y la pata coja (3.0 a 3.2); la convergencia y las patas independientes (1.4 y 3.1); quién escribe la pata coja (3.4); errar el blanco (3.2); el orden de las leyes (1.2). Nuevo aquí: los órdenes de costumbre y las piezas de refuerzo, explicados al usarlos (F.7).</w:t>
      </w:r>
    </w:p>
    <w:p>
      <w:pPr>
        <w:pBdr>
          <w:left w:val="single" w:sz="24" w:space="6" w:color="E2DED6"/>
        </w:pBdr>
        <w:shd w:val="clear" w:color="auto" w:fill="F1EEE8"/>
        <w:spacing w:before="80" w:after="160"/>
        <w:ind w:left="142" w:right="142"/>
      </w:pPr>
      <w:r>
        <w:rPr>
          <w:b/>
        </w:rPr>
        <w:t>En pocas palabras:</w:t>
      </w:r>
    </w:p>
    <w:p>
      <w:pPr>
        <w:pStyle w:val="ListBullet"/>
      </w:pPr>
      <w:r>
        <w:t xml:space="preserve">Este anexo reúne los textos del Arca que no caben en el </w:t>
      </w:r>
      <w:r>
        <w:t>capítulo 3</w:t>
      </w:r>
      <w:r>
        <w:t xml:space="preserve">, cada uno con su fuente, ordenados por tradición y por principio. Lo que ya está en el </w:t>
      </w:r>
      <w:r>
        <w:t>capítulo 3</w:t>
      </w:r>
      <w:r>
        <w:t xml:space="preserve"> no se repite: se nombra, con su remisión.</w:t>
      </w:r>
    </w:p>
    <w:p>
      <w:pPr>
        <w:pStyle w:val="ListBullet"/>
      </w:pPr>
      <w:r>
        <w:t>Seis bloques de tradiciones (la Biblia; el islam, Persia y la tradición rabínica; China; el antiguo Oriente, Egipto, Grecia y Roma; la India; y África, América y Oceanía) repiten los nueve principios, y cada uno tiene su pata coja, dicha.</w:t>
      </w:r>
    </w:p>
    <w:p>
      <w:pPr>
        <w:pStyle w:val="ListBullet"/>
      </w:pPr>
      <w:r>
        <w:t>El pan propio, ganado con el propio trabajo, lo mandan ocho textos de seis civilizaciones a lo largo de unos tres mil quinientos años.</w:t>
      </w:r>
    </w:p>
    <w:p>
      <w:pPr>
        <w:pStyle w:val="ListBullet"/>
      </w:pPr>
      <w:r>
        <w:t>Pueblos que se dieron su orden por su cuenta coinciden en la tierra en común, la compensación del daño y la decisión en consejo.</w:t>
      </w:r>
    </w:p>
    <w:p>
      <w:pPr>
        <w:pStyle w:val="ListBullet"/>
      </w:pPr>
      <w:r>
        <w:t>Tres lenguas antiguas llaman a la falta «errar el blanco»: un error de dirección, que se puede corregir.</w:t>
      </w:r>
    </w:p>
    <w:p>
      <w:pPr>
        <w:pStyle w:val="ListBullet"/>
      </w:pPr>
      <w:r>
        <w:t>Doce tradiciones, leídas con la misma pregunta, dicen qué se dio para vivir, qué se perdió y por dónde se vuelve: sus pasajes, cada uno con su fuente, están al final.</w:t>
      </w:r>
    </w:p>
    <w:p>
      <w:pPr>
        <w:pStyle w:val="Heading2"/>
      </w:pPr>
      <w:r>
        <w:t>F.0 Propósito</w:t>
      </w:r>
    </w:p>
    <w:p>
      <w:pPr>
        <w:pBdr>
          <w:left w:val="single" w:sz="24" w:space="6" w:color="E2DED6"/>
        </w:pBdr>
        <w:shd w:val="clear" w:color="auto" w:fill="F1EEE8"/>
        <w:spacing w:before="80" w:after="160"/>
        <w:ind w:left="142" w:right="142"/>
      </w:pPr>
      <w:r>
        <w:rPr>
          <w:b/>
        </w:rPr>
        <w:t xml:space="preserve">La idea: el </w:t>
      </w:r>
      <w:r>
        <w:rPr>
          <w:b/>
        </w:rPr>
        <w:t>capítulo 3</w:t>
      </w:r>
      <w:r>
        <w:rPr>
          <w:b/>
        </w:rPr>
        <w:t xml:space="preserve"> da, de cada principio del Arca, las pruebas más fuertes; este anexo da las demás, cada una con su fuente, para que cualquiera pueda comprobarlas.</w:t>
      </w:r>
    </w:p>
    <w:p>
      <w:r>
        <w:t>El Arca es la ley de Dios tal como la guardaron todos los pueblos: lo que pueblos sin contacto documentado coinciden en guardar, y además pasa la vara (</w:t>
      </w:r>
      <w:r>
        <w:t>3.0</w:t>
      </w:r>
      <w:r>
        <w:t xml:space="preserve"> y </w:t>
      </w:r>
      <w:r>
        <w:t>3.1</w:t>
      </w:r>
      <w:r>
        <w:t xml:space="preserve">). El </w:t>
      </w:r>
      <w:r>
        <w:t>capítulo 3</w:t>
      </w:r>
      <w:r>
        <w:t xml:space="preserve"> da, de cada uno de sus nueve principios, las pruebas más fuertes (</w:t>
      </w:r>
      <w:r>
        <w:t>3.2</w:t>
      </w:r>
      <w:r>
        <w:t>); la usura, aparte (</w:t>
      </w:r>
      <w:r>
        <w:t>3.3</w:t>
      </w:r>
      <w:r>
        <w:t>); quién escribe la pata coja (</w:t>
      </w:r>
      <w:r>
        <w:t>3.4</w:t>
      </w:r>
      <w:r>
        <w:t>); y el hilo que los une, servir (</w:t>
      </w:r>
      <w:r>
        <w:t>3.6</w:t>
      </w:r>
      <w:r>
        <w:t>). Aquí están los demás textos que se leyeron, ordenados por tradición y, dentro de cada una, por principio. Lo que ya está en un capítulo no se repite: se nombra, con su remisión.</w:t>
      </w:r>
    </w:p>
    <w:p>
      <w:r>
        <w:rPr>
          <w:b/>
        </w:rPr>
        <w:t>Los nueve principios</w:t>
      </w:r>
      <w:r>
        <w:t xml:space="preserve"> (</w:t>
      </w:r>
      <w:r>
        <w:t>3.2</w:t>
      </w:r>
      <w:r>
        <w:t>): P1, el gobernante existe para el pueblo; P2, impuestos moderados; P3, no quitar al pueblo su tiempo; P4, pesas y medidas justas; P5, devolver lo confiado; P6, contra la usura, y perdonar las deudas; P7, cada uno responde de lo suyo, y se examina antes de castigar; P8, el castigo no es un negocio, y contra el soborno; P9, más leyes, más pobreza.</w:t>
      </w:r>
    </w:p>
    <w:p>
      <w:r>
        <w:rPr>
          <w:b/>
        </w:rPr>
        <w:t>Cómo se leyó.</w:t>
      </w:r>
      <w:r>
        <w:t xml:space="preserve"> Nada entró sin leerlo en su original o en una traducción reconocida. Lo que se leyó en una copia o en una fuente secundaria se marca así, y lo que no se pudo leer no entra: se dice en el límite honesto. La Biblia va en la Reina-Valera Antigua y el Corán en la traducción de Julio Cortés; las demás traducciones al español son de esta edición, con el texto del que se han hecho al lado (</w:t>
      </w:r>
      <w:r>
        <w:t>0.3</w:t>
      </w:r>
      <w:r>
        <w:t>). Donde ese texto no está a mano, lo que dice va contado con otras palabras, sin comillas. Los hadices (Sahih al-Bujari y Sahih Muslim) se leyeron en una copia de datos de la colección, en árabe y con las traducciones inglesas de Muhsin Khan y de Siddiqui, y no en una edición impresa: por eso van como fuente secundaria. Releerlos en la misma copia no es otra lectura, y la numeración de los hadices cambia de una edición a otra; subirán a fuente primaria cuando se cotejen con una edición impresa.</w:t>
      </w:r>
    </w:p>
    <w:p>
      <w:r>
        <w:t>[archivo del Arca, «Método» y «Los principios», verificado por Claude el 5-oct-2026; 3.2]</w:t>
      </w:r>
    </w:p>
    <w:p>
      <w:r>
        <w:t>Este anexo dice:</w:t>
      </w:r>
    </w:p>
    <w:p>
      <w:pPr>
        <w:pStyle w:val="ListBullet"/>
      </w:pPr>
      <w:r>
        <w:rPr>
          <w:b/>
        </w:rPr>
        <w:t>F.1</w:t>
      </w:r>
      <w:r>
        <w:t xml:space="preserve"> la Biblia;</w:t>
      </w:r>
    </w:p>
    <w:p>
      <w:pPr>
        <w:pStyle w:val="ListBullet"/>
      </w:pPr>
      <w:r>
        <w:rPr>
          <w:b/>
        </w:rPr>
        <w:t>F.2</w:t>
      </w:r>
      <w:r>
        <w:t xml:space="preserve"> el islam, Persia y la tradición rabínica;</w:t>
      </w:r>
    </w:p>
    <w:p>
      <w:pPr>
        <w:pStyle w:val="ListBullet"/>
      </w:pPr>
      <w:r>
        <w:rPr>
          <w:b/>
        </w:rPr>
        <w:t>F.3</w:t>
      </w:r>
      <w:r>
        <w:t xml:space="preserve"> China;</w:t>
      </w:r>
    </w:p>
    <w:p>
      <w:pPr>
        <w:pStyle w:val="ListBullet"/>
      </w:pPr>
      <w:r>
        <w:rPr>
          <w:b/>
        </w:rPr>
        <w:t>F.4</w:t>
      </w:r>
      <w:r>
        <w:t xml:space="preserve"> el antiguo Oriente, Egipto, Grecia y Roma, con los tres textos del pan propio que faltaban en </w:t>
      </w:r>
      <w:r>
        <w:t>3.1</w:t>
      </w:r>
      <w:r>
        <w:t>;</w:t>
      </w:r>
    </w:p>
    <w:p>
      <w:pPr>
        <w:pStyle w:val="ListBullet"/>
      </w:pPr>
      <w:r>
        <w:rPr>
          <w:b/>
        </w:rPr>
        <w:t>F.5</w:t>
      </w:r>
      <w:r>
        <w:t xml:space="preserve"> la India;</w:t>
      </w:r>
    </w:p>
    <w:p>
      <w:pPr>
        <w:pStyle w:val="ListBullet"/>
      </w:pPr>
      <w:r>
        <w:rPr>
          <w:b/>
        </w:rPr>
        <w:t>F.6</w:t>
      </w:r>
      <w:r>
        <w:t xml:space="preserve"> África, América y Oceanía;</w:t>
      </w:r>
    </w:p>
    <w:p>
      <w:pPr>
        <w:pStyle w:val="ListBullet"/>
      </w:pPr>
      <w:r>
        <w:rPr>
          <w:b/>
        </w:rPr>
        <w:t>F.7</w:t>
      </w:r>
      <w:r>
        <w:t xml:space="preserve"> los órdenes de costumbre de los pueblos que se dieron su orden por su cuenta;</w:t>
      </w:r>
    </w:p>
    <w:p>
      <w:pPr>
        <w:pStyle w:val="ListBullet"/>
      </w:pPr>
      <w:r>
        <w:rPr>
          <w:b/>
        </w:rPr>
        <w:t>F.8</w:t>
      </w:r>
      <w:r>
        <w:t xml:space="preserve"> errar el blanco, en una tercera lengua;</w:t>
      </w:r>
    </w:p>
    <w:p>
      <w:pPr>
        <w:pStyle w:val="ListBullet"/>
      </w:pPr>
      <w:r>
        <w:rPr>
          <w:b/>
        </w:rPr>
        <w:t>F.9</w:t>
      </w:r>
      <w:r>
        <w:t xml:space="preserve"> y las reglas del juego de la vida: los pasajes de </w:t>
      </w:r>
      <w:r>
        <w:t>3.7</w:t>
      </w:r>
      <w:r>
        <w:t>, tradición por tradición.</w:t>
      </w:r>
    </w:p>
    <w:p>
      <w:pPr>
        <w:pStyle w:val="Heading2"/>
      </w:pPr>
      <w:r>
        <w:t>F.1 La Biblia</w:t>
      </w:r>
    </w:p>
    <w:p>
      <w:pPr>
        <w:pBdr>
          <w:left w:val="single" w:sz="24" w:space="6" w:color="E2DED6"/>
        </w:pBdr>
        <w:shd w:val="clear" w:color="auto" w:fill="F1EEE8"/>
        <w:spacing w:before="80" w:after="160"/>
        <w:ind w:left="142" w:right="142"/>
      </w:pPr>
      <w:r>
        <w:rPr>
          <w:b/>
        </w:rPr>
        <w:t>La idea: la Biblia pone al rey bajo la ley y no por encima de sus hermanos, y acusa al pastor que se apacienta a sí mismo.</w:t>
      </w:r>
    </w:p>
    <w:p>
      <w:r>
        <w:t>Fuente: la Reina-Valera Antigua (biblegateway). Nivel A.</w:t>
      </w:r>
    </w:p>
    <w:p>
      <w:pPr>
        <w:pStyle w:val="ListBullet"/>
      </w:pPr>
      <w:r>
        <w:rPr>
          <w:b/>
        </w:rPr>
        <w:t>P1.</w:t>
      </w:r>
      <w:r>
        <w:t xml:space="preserve"> El rey no amontonará riquezas y llevará consigo la ley: «ni plata ni oro acrecentará para sí en gran copia. Y será, cuando se asentare sobre el solio de su reino, que ha de escribir para sí en un libro un traslado de esta ley […] y leerá en él todos los días de su vida […] Para que no se eleve su corazón sobre sus hermanos»</w:t>
      </w:r>
      <w:r>
        <w:t xml:space="preserve"> (Dt 17:17-20)</w:t>
      </w:r>
      <w:r>
        <w:t>. Y el profeta acusa a los que mandan para sí: «¡Ay de los pastores de Israel, que se apacientan á sí mismos! ¿No apacientan los pastores los rebaños? Coméis la leche, y os vestís de la lana […] no apacentáis las ovejas […] sino que os habéis enseñoreado de ellas con dureza y con violencia»</w:t>
      </w:r>
      <w:r>
        <w:t xml:space="preserve"> (Ez 34:2-4)</w:t>
      </w:r>
      <w:r>
        <w:t xml:space="preserve">. El que quiera ser grande, que sea servidor (Mt 20:25-26), en </w:t>
      </w:r>
      <w:r>
        <w:t>3.2</w:t>
      </w:r>
      <w:r>
        <w:t>.</w:t>
      </w:r>
    </w:p>
    <w:p>
      <w:pPr>
        <w:pStyle w:val="ListBullet"/>
      </w:pPr>
      <w:r>
        <w:rPr>
          <w:b/>
        </w:rPr>
        <w:t>P2.</w:t>
      </w:r>
      <w:r>
        <w:t xml:space="preserve"> El diezmo del rey (1 Sam 8) y el yugo de Roboam, que dividió el reino (1 R 12), en </w:t>
      </w:r>
      <w:r>
        <w:t>3.2</w:t>
      </w:r>
      <w:r>
        <w:t xml:space="preserve"> y en </w:t>
      </w:r>
      <w:r>
        <w:t>6.2</w:t>
      </w:r>
      <w:r>
        <w:t>. Son una sola historia: cuentan como una pata (</w:t>
      </w:r>
      <w:r>
        <w:t>3.2</w:t>
      </w:r>
      <w:r>
        <w:t>).</w:t>
      </w:r>
    </w:p>
    <w:p>
      <w:pPr>
        <w:pStyle w:val="ListBullet"/>
      </w:pPr>
      <w:r>
        <w:rPr>
          <w:b/>
        </w:rPr>
        <w:t>P3.</w:t>
      </w:r>
      <w:r>
        <w:t xml:space="preserve"> El descanso del séptimo día, también para el siervo (</w:t>
      </w:r>
      <w:r>
        <w:t>3.2</w:t>
      </w:r>
      <w:r>
        <w:t>), lleva su razón: «Y acuérdate que fuiste siervo en tierra de Egipto»</w:t>
      </w:r>
      <w:r>
        <w:t xml:space="preserve"> (Dt 5:15)</w:t>
      </w:r>
      <w:r>
        <w:t>.</w:t>
      </w:r>
    </w:p>
    <w:p>
      <w:pPr>
        <w:pStyle w:val="ListBullet"/>
      </w:pPr>
      <w:r>
        <w:rPr>
          <w:b/>
        </w:rPr>
        <w:t>P4.</w:t>
      </w:r>
      <w:r>
        <w:t xml:space="preserve"> «No tendrás en tu bolsa pesa grande y pesa chica. No tendrás en tu casa epha grande y epha pequeño. Pesas cumplidas y justas tendrás»</w:t>
      </w:r>
      <w:r>
        <w:t xml:space="preserve"> (Dt 25:13-15)</w:t>
      </w:r>
      <w:r>
        <w:t xml:space="preserve">. Lv 19:36 y Pr 11:1, en </w:t>
      </w:r>
      <w:r>
        <w:t>3.2</w:t>
      </w:r>
      <w:r>
        <w:t>.</w:t>
      </w:r>
    </w:p>
    <w:p>
      <w:pPr>
        <w:pStyle w:val="ListBullet"/>
      </w:pPr>
      <w:r>
        <w:rPr>
          <w:b/>
        </w:rPr>
        <w:t>P5 y P8.</w:t>
      </w:r>
      <w:r>
        <w:t xml:space="preserve"> Zaqueo, recaudador de impuestos, devuelve lo exigido de más: «si en algo he defraudado á alguno, lo vuelvo con el cuatro tanto»</w:t>
      </w:r>
      <w:r>
        <w:t xml:space="preserve"> (Lc 19:8)</w:t>
      </w:r>
      <w:r>
        <w:t xml:space="preserve">. Lo dado a guardar (Ex 22:7-8, que trata del mismo caso que el §124 de Hammurabi: no cuenta aparte de Mesopotamia), el soborno que ciega (Ex 23:8) y «No exijáis más de lo que os está ordenado» (Lc 3:13), en </w:t>
      </w:r>
      <w:r>
        <w:t>3.2</w:t>
      </w:r>
      <w:r>
        <w:t>.</w:t>
      </w:r>
    </w:p>
    <w:p>
      <w:pPr>
        <w:pStyle w:val="ListBullet"/>
      </w:pPr>
      <w:r>
        <w:rPr>
          <w:b/>
        </w:rPr>
        <w:t>P6 y P7.</w:t>
      </w:r>
      <w:r>
        <w:t xml:space="preserve"> El perdón de las deudas y la usura, en </w:t>
      </w:r>
      <w:r>
        <w:t>3.3</w:t>
      </w:r>
      <w:r>
        <w:t xml:space="preserve">; «cada uno morirá por su pecado» (Dt 24:16), en </w:t>
      </w:r>
      <w:r>
        <w:t>3.2</w:t>
      </w:r>
      <w:r>
        <w:t>.</w:t>
      </w:r>
    </w:p>
    <w:p>
      <w:pPr>
        <w:pStyle w:val="ListBullet"/>
      </w:pPr>
      <w:r>
        <w:rPr>
          <w:b/>
        </w:rPr>
        <w:t>P9.</w:t>
      </w:r>
      <w:r>
        <w:t xml:space="preserve"> Las cargas que no se pueden llevar (Lc 11:46), en </w:t>
      </w:r>
      <w:r>
        <w:t>5.2</w:t>
      </w:r>
      <w:r>
        <w:t xml:space="preserve">; y Mt 23:4, en </w:t>
      </w:r>
      <w:r>
        <w:t>3.2</w:t>
      </w:r>
      <w:r>
        <w:t>.</w:t>
      </w:r>
    </w:p>
    <w:p>
      <w:pPr>
        <w:pStyle w:val="ListBullet"/>
      </w:pPr>
      <w:r>
        <w:rPr>
          <w:b/>
        </w:rPr>
        <w:t>La pata coja:</w:t>
      </w:r>
      <w:r>
        <w:t xml:space="preserve"> la usura permitida con el extranjero (Dt 23:19-20), en </w:t>
      </w:r>
      <w:r>
        <w:t>3.3</w:t>
      </w:r>
      <w:r>
        <w:t>.</w:t>
      </w:r>
    </w:p>
    <w:p>
      <w:r>
        <w:t>[archivo del Arca, bloque de la Biblia (Reina-Valera Antigua, biblegateway), nivel A]</w:t>
      </w:r>
    </w:p>
    <w:p>
      <w:pPr>
        <w:pStyle w:val="Heading2"/>
      </w:pPr>
      <w:r>
        <w:t>F.2 El islam, Persia y la tradición rabínica</w:t>
      </w:r>
    </w:p>
    <w:p>
      <w:pPr>
        <w:pBdr>
          <w:left w:val="single" w:sz="24" w:space="6" w:color="E2DED6"/>
        </w:pBdr>
        <w:shd w:val="clear" w:color="auto" w:fill="F1EEE8"/>
        <w:spacing w:before="80" w:after="160"/>
        <w:ind w:left="142" w:right="142"/>
      </w:pPr>
      <w:r>
        <w:rPr>
          <w:b/>
        </w:rPr>
        <w:t>La idea: el Corán, la Mishná, el Talmud y el Avesta repiten los nueve principios, y la tradición rabínica da la regla más directa contra las cargas imposibles; las tres tienen su pata coja.</w:t>
      </w:r>
    </w:p>
    <w:p>
      <w:r>
        <w:t>Fuentes: el Corán, en la traducción de Julio Cortés (tanzil.net; las 35 aleyas, letra a letra); la Mishná y el Talmud, en hebreo y arameo (Sefaria; los 21 pasajes coinciden); el Avesta, en avesta.org, con las traducciones de Bartholomae, Mills y Darmesteter. Nivel A. Los hadices se leyeron en una copia de datos de las colecciones (fawazahmed0/hadith-api), con las traducciones inglesas de Muhsin Khan (al-Bujari) y Siddiqui (Muslim): son fuente secundaria hasta cotejarlos con una edición impresa, y así se marcan.</w:t>
      </w:r>
    </w:p>
    <w:p>
      <w:pPr>
        <w:pStyle w:val="ListBullet"/>
      </w:pPr>
      <w:r>
        <w:rPr>
          <w:b/>
        </w:rPr>
        <w:t>P1. El gobernante existe para el pueblo.</w:t>
      </w:r>
      <w:r>
        <w:t xml:space="preserve"> </w:t>
      </w:r>
    </w:p>
    <w:p>
      <w:pPr>
        <w:pStyle w:val="ListBullet2"/>
      </w:pPr>
      <w:r>
        <w:rPr>
          <w:b/>
        </w:rPr>
        <w:t>Persia:</w:t>
      </w:r>
      <w:r>
        <w:t xml:space="preserve"> «que nos gobiernen buenos gobernantes, no malos»</w:t>
      </w:r>
      <w:r>
        <w:t xml:space="preserve"> [original: «huxshathrâ xshêñtãm mâ-nê dushe-xshathrâ xshêñtâ»; en la traducción de Bartholomae, «Let good rulers rule us, not evil rulers»]</w:t>
      </w:r>
      <w:r>
        <w:t xml:space="preserve"> (Avesta, Yasna 48.5)</w:t>
      </w:r>
      <w:r>
        <w:t>. Y la plegaria Ahuna Vairya: «el Reino es para Ahura, que dará al pobre quien lo sustente»</w:t>
      </w:r>
      <w:r>
        <w:t xml:space="preserve"> [original: «the Kingdom (is) for Ahura which to the poor shall offer a nurturer», en la traducción de Mills]</w:t>
      </w:r>
      <w:r>
        <w:t xml:space="preserve"> (Avesta, Ahuna Vairya)</w:t>
      </w:r>
      <w:r>
        <w:t>.</w:t>
      </w:r>
    </w:p>
    <w:p>
      <w:pPr>
        <w:pStyle w:val="ListBullet2"/>
      </w:pPr>
      <w:r>
        <w:rPr>
          <w:b/>
        </w:rPr>
        <w:t>El islam:</w:t>
      </w:r>
      <w:r>
        <w:t xml:space="preserve"> «¡No obedezcáis las órdenes de los inmoderados, que corrompen en la tierra y no la reforman!»</w:t>
      </w:r>
      <w:r>
        <w:t xml:space="preserve"> (Corán 26:151-152, traducción de Julio Cortés)</w:t>
      </w:r>
      <w:r>
        <w:t>. Y: «Mi alianza no incluye a los impíos»</w:t>
      </w:r>
      <w:r>
        <w:t xml:space="preserve"> (Corán 2:124, traducción de Julio Cortés)</w:t>
      </w:r>
      <w:r>
        <w:t>, dicho del liderazgo prometido a Abraham; aplicarlo al gobernante civil es lectura.</w:t>
      </w:r>
    </w:p>
    <w:p>
      <w:pPr>
        <w:pStyle w:val="ListBullet2"/>
      </w:pPr>
      <w:r>
        <w:rPr>
          <w:b/>
        </w:rPr>
        <w:t>Un hadiz</w:t>
      </w:r>
      <w:r>
        <w:t xml:space="preserve"> (fuente secundaria): quien recibe de Dios autoridad sobre un pueblo y no lo cuida con honradez «nunca sentirá ni siquiera el aroma del Paraíso»</w:t>
      </w:r>
      <w:r>
        <w:t xml:space="preserve"> [original: «Any man whom Allah has given the authority of ruling some people and he does not look after them in an honest manner, will never feel even the smell of Paradise», en la traducción de Muhsin Khan]</w:t>
      </w:r>
      <w:r>
        <w:t xml:space="preserve"> (Sahih al-Bujari 7150; fuente secundaria)</w:t>
      </w:r>
      <w:r>
        <w:t>.</w:t>
      </w:r>
    </w:p>
    <w:p>
      <w:pPr>
        <w:pStyle w:val="ListBullet2"/>
      </w:pPr>
      <w:r>
        <w:t>«¿Creéis que os doy autoridad? Servidumbre os doy»</w:t>
      </w:r>
      <w:r>
        <w:t xml:space="preserve"> [original: «עַבְדוּת אֲנִי נוֹתֵן לָכֶם»]</w:t>
      </w:r>
      <w:r>
        <w:t xml:space="preserve"> (Talmud, Horayot 10b), en </w:t>
      </w:r>
      <w:r>
        <w:t>3.2</w:t>
      </w:r>
      <w:r>
        <w:t>.</w:t>
      </w:r>
    </w:p>
    <w:p>
      <w:pPr>
        <w:pStyle w:val="ListBullet"/>
      </w:pPr>
      <w:r>
        <w:rPr>
          <w:b/>
        </w:rPr>
        <w:t>P2. Impuestos moderados.</w:t>
      </w:r>
      <w:r>
        <w:t xml:space="preserve"> </w:t>
      </w:r>
    </w:p>
    <w:p>
      <w:pPr>
        <w:pStyle w:val="ListBullet2"/>
      </w:pPr>
      <w:r>
        <w:rPr>
          <w:b/>
        </w:rPr>
        <w:t>Hadices</w:t>
      </w:r>
      <w:r>
        <w:t xml:space="preserve"> (fuente secundaria): al enviar a Muadh a recaudar al Yemen, el Profeta le mandó guardarse de tomar lo mejor de los bienes de la gente y temer la súplica del oprimido, porque entre ella y Dios no hay velo (Sahih al-Bujari 1496); y en otro, el cobrador de tributo abusivo (</w:t>
      </w:r>
      <w:r>
        <w:rPr>
          <w:i/>
        </w:rPr>
        <w:t>sahib maks</w:t>
      </w:r>
      <w:r>
        <w:t>) aparece como modelo del pecador más grave (Sahih Muslim 1695).</w:t>
      </w:r>
    </w:p>
    <w:p>
      <w:pPr>
        <w:pStyle w:val="ListBullet2"/>
      </w:pPr>
      <w:r>
        <w:t xml:space="preserve">La caja de los aduaneros sin tasa fija, que se presume robada (Mishná y Talmud, Bava Kamma), en </w:t>
      </w:r>
      <w:r>
        <w:t>3.2</w:t>
      </w:r>
      <w:r>
        <w:t>.</w:t>
      </w:r>
    </w:p>
    <w:p>
      <w:pPr>
        <w:pStyle w:val="ListBullet"/>
      </w:pPr>
      <w:r>
        <w:rPr>
          <w:b/>
        </w:rPr>
        <w:t>P3. No quitar al pueblo su tiempo.</w:t>
      </w:r>
      <w:r>
        <w:t xml:space="preserve"> </w:t>
      </w:r>
    </w:p>
    <w:p>
      <w:pPr>
        <w:pStyle w:val="ListBullet2"/>
      </w:pPr>
      <w:r>
        <w:rPr>
          <w:b/>
        </w:rPr>
        <w:t>La tradición rabínica:</w:t>
      </w:r>
      <w:r>
        <w:t xml:space="preserve"> quien contrata jornaleros y les manda madrugar y trasnochar donde no es costumbre «no está autorizado a obligarles»</w:t>
      </w:r>
      <w:r>
        <w:t xml:space="preserve"> [original: «אֵינוֹ רַשַּׁאי לְכוֹפָן»]</w:t>
      </w:r>
      <w:r>
        <w:t xml:space="preserve"> (Mishná, Bava Metsiá 7:1)</w:t>
      </w:r>
      <w:r>
        <w:t xml:space="preserve">. «Y no siervos de siervos» (Bava Metsiá 10a), en </w:t>
      </w:r>
      <w:r>
        <w:t>3.2</w:t>
      </w:r>
      <w:r>
        <w:t>.</w:t>
      </w:r>
    </w:p>
    <w:p>
      <w:pPr>
        <w:pStyle w:val="ListBullet2"/>
      </w:pPr>
      <w:r>
        <w:rPr>
          <w:b/>
        </w:rPr>
        <w:t>El islam:</w:t>
      </w:r>
      <w:r>
        <w:t xml:space="preserve"> Dios «ha establecido la noche para vosotros para que descanséis y el día para que busquéis Su favor»</w:t>
      </w:r>
      <w:r>
        <w:t xml:space="preserve"> (Corán 28:73, traducción de Julio Cortés)</w:t>
      </w:r>
      <w:r>
        <w:t>; y ha «hecho de vuestro sueño descanso […] del día medio de subsistencia»</w:t>
      </w:r>
      <w:r>
        <w:t xml:space="preserve"> (Corán 78:9-11, traducción de Julio Cortés)</w:t>
      </w:r>
      <w:r>
        <w:t>.</w:t>
      </w:r>
    </w:p>
    <w:p>
      <w:pPr>
        <w:pStyle w:val="ListBullet"/>
      </w:pPr>
      <w:r>
        <w:rPr>
          <w:b/>
        </w:rPr>
        <w:t>P4. Pesas y medidas justas.</w:t>
      </w:r>
      <w:r>
        <w:t xml:space="preserve"> </w:t>
      </w:r>
    </w:p>
    <w:p>
      <w:pPr>
        <w:pStyle w:val="ListBullet2"/>
      </w:pPr>
      <w:r>
        <w:rPr>
          <w:b/>
        </w:rPr>
        <w:t>El islam:</w:t>
      </w:r>
      <w:r>
        <w:t xml:space="preserve"> el profeta Suayb a los madianitas: «¡Dad la medida y el peso justos, no defraudéis a los hombres en sus bienes! ¡No corrompáis en la tierra después de reformada!»</w:t>
      </w:r>
      <w:r>
        <w:t xml:space="preserve"> (Corán 7:85, traducción de Julio Cortés)</w:t>
      </w:r>
      <w:r>
        <w:t>; y lo mismo en 11:84-85, 26:181-183 y 17:35.</w:t>
      </w:r>
    </w:p>
    <w:p>
      <w:pPr>
        <w:pStyle w:val="ListBullet2"/>
      </w:pPr>
      <w:r>
        <w:t xml:space="preserve">Los defraudadores (Corán 83:1-3) y la balanza limpia en cada pesada (Mishná, Bava Batra 5:10), en </w:t>
      </w:r>
      <w:r>
        <w:t>3.2</w:t>
      </w:r>
      <w:r>
        <w:t>.</w:t>
      </w:r>
    </w:p>
    <w:p>
      <w:pPr>
        <w:pStyle w:val="ListBullet"/>
      </w:pPr>
      <w:r>
        <w:rPr>
          <w:b/>
        </w:rPr>
        <w:t>P5. Devolver lo confiado.</w:t>
      </w:r>
      <w:r>
        <w:t xml:space="preserve"> </w:t>
      </w:r>
    </w:p>
    <w:p>
      <w:pPr>
        <w:pStyle w:val="ListBullet2"/>
      </w:pPr>
      <w:r>
        <w:rPr>
          <w:b/>
        </w:rPr>
        <w:t>El islam:</w:t>
      </w:r>
      <w:r>
        <w:t xml:space="preserve"> «Si uno confía un depósito a otro, debe el depositario restituir el depósito en el temor de Alá»</w:t>
      </w:r>
      <w:r>
        <w:t xml:space="preserve"> (Corán 2:283, traducción de Julio Cortés)</w:t>
      </w:r>
      <w:r>
        <w:t xml:space="preserve">. Corán 4:58 y 8:27, en </w:t>
      </w:r>
      <w:r>
        <w:t>3.2</w:t>
      </w:r>
      <w:r>
        <w:t>.</w:t>
      </w:r>
    </w:p>
    <w:p>
      <w:pPr>
        <w:pStyle w:val="ListBullet2"/>
      </w:pPr>
      <w:r>
        <w:rPr>
          <w:b/>
        </w:rPr>
        <w:t>Persia:</w:t>
      </w:r>
      <w:r>
        <w:t xml:space="preserve"> «no rompas el contrato, ni el que hiciste con un infiel ni el que hiciste con uno de tu fe»</w:t>
      </w:r>
      <w:r>
        <w:t xml:space="preserve"> [original: «Break not the contract […] neither the one that thou hadst entered into with one of the unfaithful, nor the one […] with one of the faithful», en la traducción de Darmesteter]</w:t>
      </w:r>
      <w:r>
        <w:t xml:space="preserve"> (Avesta, Mihr Yasht 10.2)</w:t>
      </w:r>
      <w:r>
        <w:t xml:space="preserve">. El préstamo no devuelto, que «roba la cosa y despoja al hombre» (Vendidad 4.1), en </w:t>
      </w:r>
      <w:r>
        <w:t>3.2</w:t>
      </w:r>
      <w:r>
        <w:t>.</w:t>
      </w:r>
    </w:p>
    <w:p>
      <w:pPr>
        <w:pStyle w:val="ListBullet2"/>
      </w:pPr>
      <w:r>
        <w:rPr>
          <w:b/>
        </w:rPr>
        <w:t>La tradición rabínica:</w:t>
      </w:r>
      <w:r>
        <w:t xml:space="preserve"> lo robado se devuelve «aunque sea hasta Media» (</w:t>
      </w:r>
      <w:r>
        <w:t>3.2</w:t>
      </w:r>
      <w:r>
        <w:t>)</w:t>
      </w:r>
      <w:r>
        <w:t xml:space="preserve"> [original: «אֲפִלּוּ לְמָדַי»]</w:t>
      </w:r>
      <w:r>
        <w:t xml:space="preserve"> y, si la víctima murió, a sus herederos</w:t>
      </w:r>
      <w:r>
        <w:t xml:space="preserve"> (Mishná, Bava Kamma 9:5)</w:t>
      </w:r>
      <w:r>
        <w:t>.</w:t>
      </w:r>
    </w:p>
    <w:p>
      <w:pPr>
        <w:pStyle w:val="ListBullet"/>
      </w:pPr>
      <w:r>
        <w:rPr>
          <w:b/>
        </w:rPr>
        <w:t>P6. Contra la usura; perdonar las deudas.</w:t>
      </w:r>
      <w:r>
        <w:t xml:space="preserve"> El Corán y la Mishná, en </w:t>
      </w:r>
      <w:r>
        <w:t>3.3</w:t>
      </w:r>
      <w:r>
        <w:t>. Y un hadiz (fuente secundaria): en su sermón de despedida, el Profeta declaró abolida la usura de la época de la ignorancia, y la primera que anuló fue la de los suyos (Sahih Muslim 1218).</w:t>
      </w:r>
    </w:p>
    <w:p>
      <w:pPr>
        <w:pStyle w:val="ListBullet"/>
      </w:pPr>
      <w:r>
        <w:rPr>
          <w:b/>
        </w:rPr>
        <w:t>P7. Cada uno responde de lo suyo; examinar antes de castigar.</w:t>
      </w:r>
      <w:r>
        <w:t xml:space="preserve"> </w:t>
      </w:r>
    </w:p>
    <w:p>
      <w:pPr>
        <w:pStyle w:val="ListBullet2"/>
      </w:pPr>
      <w:r>
        <w:rPr>
          <w:b/>
        </w:rPr>
        <w:t>El islam:</w:t>
      </w:r>
      <w:r>
        <w:t xml:space="preserve"> «Nadie cargará con la carga ajena» (Corán 6:164, en </w:t>
      </w:r>
      <w:r>
        <w:t>3.2</w:t>
      </w:r>
      <w:r>
        <w:t>) se repite en 17:15 y 35:18; y «el hombre sólo será sancionado con arreglo a su propio esfuerzo»</w:t>
      </w:r>
      <w:r>
        <w:t xml:space="preserve"> (Corán 53:39, traducción de Julio Cortés)</w:t>
      </w:r>
      <w:r>
        <w:t xml:space="preserve">. «Examinadla bien» (49:6), en </w:t>
      </w:r>
      <w:r>
        <w:t>3.2</w:t>
      </w:r>
      <w:r>
        <w:t>.</w:t>
      </w:r>
    </w:p>
    <w:p>
      <w:pPr>
        <w:pStyle w:val="ListBullet2"/>
      </w:pPr>
      <w:r>
        <w:rPr>
          <w:b/>
        </w:rPr>
        <w:t>La tradición rabínica:</w:t>
      </w:r>
      <w:r>
        <w:t xml:space="preserve"> interrogar a fondo a los testigos y ser pausados en el juicio (Avot 1:9 y 1:1), en </w:t>
      </w:r>
      <w:r>
        <w:t>3.2</w:t>
      </w:r>
      <w:r>
        <w:t>; y la Mishná tiene por digno de alabanza a todo el que multiplica las comprobaciones (Sanedrín 5:2).</w:t>
      </w:r>
    </w:p>
    <w:p>
      <w:pPr>
        <w:pStyle w:val="ListBullet"/>
      </w:pPr>
      <w:r>
        <w:rPr>
          <w:b/>
        </w:rPr>
        <w:t>P8. El castigo no es un negocio; contra el soborno.</w:t>
      </w:r>
      <w:r>
        <w:t xml:space="preserve"> </w:t>
      </w:r>
    </w:p>
    <w:p>
      <w:pPr>
        <w:pStyle w:val="ListBullet2"/>
      </w:pPr>
      <w:r>
        <w:rPr>
          <w:b/>
        </w:rPr>
        <w:t>El islam:</w:t>
      </w:r>
      <w:r>
        <w:t xml:space="preserve"> el soborno a los jueces (Corán 2:188), en </w:t>
      </w:r>
      <w:r>
        <w:t>3.2</w:t>
      </w:r>
      <w:r>
        <w:t>; y el Corán reprocha a quienes «devoran el soborno»</w:t>
      </w:r>
      <w:r>
        <w:t xml:space="preserve"> (Corán 5:42 y 5:63, traducción de Julio Cortés)</w:t>
      </w:r>
      <w:r>
        <w:t>.</w:t>
      </w:r>
    </w:p>
    <w:p>
      <w:pPr>
        <w:pStyle w:val="ListBullet2"/>
      </w:pPr>
      <w:r>
        <w:rPr>
          <w:b/>
        </w:rPr>
        <w:t>La tradición rabínica:</w:t>
      </w:r>
      <w:r>
        <w:t xml:space="preserve"> quien cobra por juzgar (Bejorot 4:6), en </w:t>
      </w:r>
      <w:r>
        <w:t>3.2</w:t>
      </w:r>
      <w:r>
        <w:t>; y el Talmud enseña que la Torá prohíbe aceptar soborno aun para absolver al inocente y condenar al culpable (Ketubot 105a).</w:t>
      </w:r>
    </w:p>
    <w:p>
      <w:pPr>
        <w:pStyle w:val="ListBullet2"/>
      </w:pPr>
      <w:r>
        <w:rPr>
          <w:b/>
        </w:rPr>
        <w:t>Un hadiz</w:t>
      </w:r>
      <w:r>
        <w:t xml:space="preserve"> (fuente secundaria): al recaudador que se quedó con los regalos que le hicieron, el Profeta le preguntó por qué no se quedaba en casa de su padre y de su madre, a ver si le regalaban algo (Sahih al-Bujari 7174).</w:t>
      </w:r>
    </w:p>
    <w:p>
      <w:pPr>
        <w:pStyle w:val="ListBullet2"/>
      </w:pPr>
      <w:r>
        <w:rPr>
          <w:b/>
        </w:rPr>
        <w:t>Lo que no se encontró:</w:t>
      </w:r>
      <w:r>
        <w:t xml:space="preserve"> ninguna de las tres tradiciones tiene un texto expreso contra las multas como ingreso del poder (</w:t>
      </w:r>
      <w:r>
        <w:t>3.2</w:t>
      </w:r>
      <w:r>
        <w:t>).</w:t>
      </w:r>
    </w:p>
    <w:p>
      <w:pPr>
        <w:pStyle w:val="ListBullet"/>
      </w:pPr>
      <w:r>
        <w:rPr>
          <w:b/>
        </w:rPr>
        <w:t>P9. Más leyes, más pobreza.</w:t>
      </w:r>
      <w:r>
        <w:t xml:space="preserve"> </w:t>
      </w:r>
    </w:p>
    <w:p>
      <w:pPr>
        <w:pStyle w:val="ListBullet2"/>
      </w:pPr>
      <w:r>
        <w:rPr>
          <w:b/>
        </w:rPr>
        <w:t>El islam:</w:t>
      </w:r>
      <w:r>
        <w:t xml:space="preserve"> «Alá quiere hacéroslo fácil y no difícil»</w:t>
      </w:r>
      <w:r>
        <w:t xml:space="preserve"> (Corán 2:185, traducción de Julio Cortés)</w:t>
      </w:r>
      <w:r>
        <w:t>; el Profeta «les libera de sus cargas y de las cadenas que sobre ellos pesaban»</w:t>
      </w:r>
      <w:r>
        <w:t xml:space="preserve"> (Corán 7:157, traducción de Julio Cortés)</w:t>
      </w:r>
      <w:r>
        <w:t>; Dios «no os ha impuesto ninguna carga en la religión»</w:t>
      </w:r>
      <w:r>
        <w:t xml:space="preserve"> (Corán 22:78, traducción de Julio Cortés)</w:t>
      </w:r>
      <w:r>
        <w:t xml:space="preserve">. «Alá no pide nada a nadie más allá de sus posibilidades» (2:286), en </w:t>
      </w:r>
      <w:r>
        <w:t>3.2</w:t>
      </w:r>
      <w:r>
        <w:t>.</w:t>
      </w:r>
    </w:p>
    <w:p>
      <w:pPr>
        <w:pStyle w:val="ListBullet2"/>
      </w:pPr>
      <w:r>
        <w:rPr>
          <w:b/>
        </w:rPr>
        <w:t>Un hadiz</w:t>
      </w:r>
      <w:r>
        <w:t xml:space="preserve"> (fuente secundaria): el mayor culpable es quien preguntó por algo que no estaba prohibido y, por su pregunta, quedó prohibido (Sahih al-Bujari 7289).</w:t>
      </w:r>
    </w:p>
    <w:p>
      <w:pPr>
        <w:pStyle w:val="ListBullet2"/>
      </w:pPr>
      <w:r>
        <w:t xml:space="preserve">La regla más directa de todas: no se decreta una norma sobre la comunidad si la mayoría no puede cumplirla (Talmud, Avodá Zará 36a), en </w:t>
      </w:r>
      <w:r>
        <w:t>3.2</w:t>
      </w:r>
      <w:r>
        <w:t>.</w:t>
      </w:r>
    </w:p>
    <w:p>
      <w:pPr>
        <w:pStyle w:val="ListBullet"/>
      </w:pPr>
      <w:r>
        <w:rPr>
          <w:b/>
        </w:rPr>
        <w:t>La pata coja, que se dice:</w:t>
      </w:r>
      <w:r>
        <w:t xml:space="preserve"> </w:t>
      </w:r>
    </w:p>
    <w:p>
      <w:pPr>
        <w:pStyle w:val="ListBullet2"/>
      </w:pPr>
      <w:r>
        <w:rPr>
          <w:b/>
        </w:rPr>
        <w:t>El islam</w:t>
      </w:r>
      <w:r>
        <w:t xml:space="preserve"> (fuente secundaria): ante gobernantes «con corazón de demonios», un hadiz manda: «aunque te azoten la espalda y te quiten tus bienes, debes escuchar y obedecer»</w:t>
      </w:r>
      <w:r>
        <w:t xml:space="preserve"> [original: «men who will have the hearts of devils in the bodies of human beings»; «even if your back is flogged and your wealth is snatched, you should listen and obey», en la traducción de Siddiqui]</w:t>
      </w:r>
      <w:r>
        <w:t xml:space="preserve"> (Sahih Muslim 1847; fuente secundaria)</w:t>
      </w:r>
      <w:r>
        <w:t xml:space="preserve">. Choca de frente con P1 y P2, y van en la misma línea Muslim 1846 y 1855 y Bujari 7053. El límite que pone la propia tradición es que no hay obediencia en el pecado (Sahih al-Bujari 7144); pero ese límite es el pecado, no el mal gobierno ni el exceso de tributos. Obedecer «a aquellos de vosotros que tengan autoridad» (Corán 4:59), con su condición en 4:58, está en </w:t>
      </w:r>
      <w:r>
        <w:t>10.1</w:t>
      </w:r>
      <w:r>
        <w:t>.</w:t>
      </w:r>
    </w:p>
    <w:p>
      <w:pPr>
        <w:pStyle w:val="ListBullet2"/>
      </w:pPr>
      <w:r>
        <w:rPr>
          <w:b/>
        </w:rPr>
        <w:t>La tradición rabínica:</w:t>
      </w:r>
      <w:r>
        <w:t xml:space="preserve"> «la ley del reino es ley»</w:t>
      </w:r>
      <w:r>
        <w:t xml:space="preserve"> [original: «דִּינָא דְמַלְכוּתָא דִּינָא»]</w:t>
      </w:r>
      <w:r>
        <w:t xml:space="preserve"> (Talmud, Bava Kamma 113a)</w:t>
      </w:r>
      <w:r>
        <w:t>, aunque el propio Talmud la limita al recaudador con tasa fija. Avot 3:2 manda rezar por la paz del gobierno, porque sin el temor que inspira cada uno se tragaría vivo a su prójimo. Para unos sabios, el rey tiene permitido todo lo que 1 Sam 8 dice de él (el diezmo y los campos), y otros lo discuten (Sanedrín 20b). La Mishná dice que el camino del rey no tiene medida (Sanedrín 2:4). Y, contra P8, los sabios dan al rey los bienes de los ejecutados por el reino, frente a R. Yehudá, que los da a los herederos (Sanedrín 48b).</w:t>
      </w:r>
    </w:p>
    <w:p>
      <w:pPr>
        <w:pStyle w:val="ListBullet2"/>
      </w:pPr>
      <w:r>
        <w:rPr>
          <w:b/>
        </w:rPr>
        <w:t>Persia:</w:t>
      </w:r>
      <w:r>
        <w:t xml:space="preserve"> el Vendidad hace responsables a los parientes de quien rompe un contrato, contra P7 (Vendidad 4.5-10); su traductor, Darmesteter, anota que la tradición posterior cargó la pena solo sobre el culpable.</w:t>
      </w:r>
    </w:p>
    <w:p>
      <w:r>
        <w:t>[archivo del Arca, bloque del islam, Persia y la tradición rabínica, verificado por Claude el 5-oct: el Corán, la Mishná, el Talmud y el Avesta, nivel A; los hadices, nivel B (Bujari 7150 y Muslim 1847, comprobados por Claude en la copia de datos)]</w:t>
      </w:r>
    </w:p>
    <w:p>
      <w:pPr>
        <w:pStyle w:val="Heading2"/>
      </w:pPr>
      <w:r>
        <w:t>F.3 China</w:t>
      </w:r>
    </w:p>
    <w:p>
      <w:pPr>
        <w:pBdr>
          <w:left w:val="single" w:sz="24" w:space="6" w:color="E2DED6"/>
        </w:pBdr>
        <w:shd w:val="clear" w:color="auto" w:fill="F1EEE8"/>
        <w:spacing w:before="80" w:after="160"/>
        <w:ind w:left="142" w:right="142"/>
      </w:pPr>
      <w:r>
        <w:rPr>
          <w:b/>
        </w:rPr>
        <w:t>La idea: los clásicos chinos dicen que el gobernante existe para el pueblo, que el diezmo es la medida justa y que multiplicar los reglamentos anuncia la ruina; su pata coja, el legalismo, fundó el primer imperio.</w:t>
      </w:r>
    </w:p>
    <w:p>
      <w:r>
        <w:t>Fuentes: el texto chino original de Wikisource, cita por cita (35 coinciden letra a letra; la 36.ª, el Daodejing 79, está con el comentario de Wang Bi intercalado); las traducciones inglesas de James Legge y, para Zhuangzi, la de Giles. No se usó ctext.org, cuya página prohíbe el acceso automatizado. Nivel A.</w:t>
      </w:r>
    </w:p>
    <w:p>
      <w:pPr>
        <w:pStyle w:val="ListBullet"/>
      </w:pPr>
      <w:r>
        <w:rPr>
          <w:b/>
        </w:rPr>
        <w:t>P1. El gobernante existe para el pueblo.</w:t>
      </w:r>
      <w:r>
        <w:t xml:space="preserve"> </w:t>
      </w:r>
    </w:p>
    <w:p>
      <w:pPr>
        <w:pStyle w:val="ListBullet2"/>
      </w:pPr>
      <w:r>
        <w:t>El tirano deja de ser rey: «he oído que se ajustició al sujeto Zhou; no he oído que se matara a un soberano»</w:t>
      </w:r>
      <w:r>
        <w:t xml:space="preserve"> [original: «聞誅一夫紂矣，未聞弒君也»; Legge: «I have heard of the cutting off of the fellow Chau, but I have not heard of the putting a sovereign to death»]</w:t>
      </w:r>
      <w:r>
        <w:t xml:space="preserve"> (Mencio 1B8)</w:t>
      </w:r>
      <w:r>
        <w:t>.</w:t>
      </w:r>
    </w:p>
    <w:p>
      <w:pPr>
        <w:pStyle w:val="ListBullet2"/>
      </w:pPr>
      <w:r>
        <w:t>El gobernante es la barca y el pueblo, el agua: «el agua la sostiene y el agua la vuelca»</w:t>
      </w:r>
      <w:r>
        <w:t xml:space="preserve"> [original: «水則載舟，水則覆舟»]</w:t>
      </w:r>
      <w:r>
        <w:t xml:space="preserve"> (Xunzi, 王制)</w:t>
      </w:r>
      <w:r>
        <w:t>.</w:t>
      </w:r>
    </w:p>
    <w:p>
      <w:pPr>
        <w:pStyle w:val="ListBullet2"/>
      </w:pPr>
      <w:r>
        <w:t>«El Cielo ve como ve mi pueblo; el Cielo oye como oye mi pueblo»</w:t>
      </w:r>
      <w:r>
        <w:t xml:space="preserve"> [original: «天視自我民視，天聽自我民聽»; Legge: «Heaven sees according as my people see; Heaven hears according as my people hear»]</w:t>
      </w:r>
      <w:r>
        <w:t xml:space="preserve"> (Mencio 5A5)</w:t>
      </w:r>
      <w:r>
        <w:t>.</w:t>
      </w:r>
    </w:p>
    <w:p>
      <w:pPr>
        <w:pStyle w:val="ListBullet2"/>
      </w:pPr>
      <w:r>
        <w:t>Los jefes no se pusieron para engrosar sus rangos y salarios, sino «para procurar el beneficio y quitar el daño a todo el pueblo»</w:t>
      </w:r>
      <w:r>
        <w:t xml:space="preserve"> [original: «將以爲萬民興利除害»]</w:t>
      </w:r>
      <w:r>
        <w:t xml:space="preserve"> (Mozi, 尚同中)</w:t>
      </w:r>
      <w:r>
        <w:t>.</w:t>
      </w:r>
    </w:p>
    <w:p>
      <w:pPr>
        <w:pStyle w:val="ListBullet2"/>
      </w:pPr>
      <w:r>
        <w:t xml:space="preserve">El Cielo instituyó al gobernante por causa del pueblo (Xunzi) y el pueblo es lo más valioso (Mencio 7B14), en </w:t>
      </w:r>
      <w:r>
        <w:t>3.2</w:t>
      </w:r>
      <w:r>
        <w:t>.</w:t>
      </w:r>
    </w:p>
    <w:p>
      <w:pPr>
        <w:pStyle w:val="ListBullet"/>
      </w:pPr>
      <w:r>
        <w:rPr>
          <w:b/>
        </w:rPr>
        <w:t>P2. Impuestos moderados: el diezmo.</w:t>
      </w:r>
      <w:r>
        <w:t xml:space="preserve"> </w:t>
      </w:r>
    </w:p>
    <w:p>
      <w:pPr>
        <w:pStyle w:val="ListBullet2"/>
      </w:pPr>
      <w:r>
        <w:t>En los tiempos antiguos, «en realidad todos eran el diezmo»</w:t>
      </w:r>
      <w:r>
        <w:t xml:space="preserve"> [original: «其實皆什一也»]</w:t>
      </w:r>
      <w:r>
        <w:t>, y el señor sabio «toma del pueblo con límite fijo»</w:t>
      </w:r>
      <w:r>
        <w:t xml:space="preserve"> [original: «取於民有制»]</w:t>
      </w:r>
      <w:r>
        <w:t xml:space="preserve"> (Mencio 3A3)</w:t>
      </w:r>
      <w:r>
        <w:t>.</w:t>
      </w:r>
    </w:p>
    <w:p>
      <w:pPr>
        <w:pStyle w:val="ListBullet2"/>
      </w:pPr>
      <w:r>
        <w:t>Cargar más que el camino de los reyes sabios Yao y Shun «es un gran Jie o un pequeño Jie»</w:t>
      </w:r>
      <w:r>
        <w:t xml:space="preserve"> [original: «大桀、小桀也»]</w:t>
      </w:r>
      <w:r>
        <w:t>, es decir, un tirano</w:t>
      </w:r>
      <w:r>
        <w:t xml:space="preserve"> (Mencio 6B10)</w:t>
      </w:r>
      <w:r>
        <w:t>. Cautela: «más del diezmo es tiranía» une este pasaje con 3A3; no es una frase literal.</w:t>
      </w:r>
    </w:p>
    <w:p>
      <w:pPr>
        <w:pStyle w:val="ListBullet2"/>
      </w:pPr>
      <w:r>
        <w:t>A quien pide esperar al año siguiente para volver al diezmo: «si se sabe que es injusto, se deja de inmediato; ¿por qué esperar al año próximo?»</w:t>
      </w:r>
      <w:r>
        <w:t xml:space="preserve"> [original: «如知其非義，斯速已矣，何待來年»]</w:t>
      </w:r>
      <w:r>
        <w:t xml:space="preserve"> (Mencio 3B8)</w:t>
      </w:r>
      <w:r>
        <w:t>. Lo compara con robar cada día una gallina al vecino.</w:t>
      </w:r>
    </w:p>
    <w:p>
      <w:pPr>
        <w:pStyle w:val="ListBullet2"/>
      </w:pPr>
      <w:r>
        <w:t xml:space="preserve">El pueblo que pasa hambre por los impuestos (Daodejing 75), «¿por qué no el diezmo?» (Analectas 12.9) y el matiz de Mencio contra el impuesto demasiado bajo, en </w:t>
      </w:r>
      <w:r>
        <w:t>3.2</w:t>
      </w:r>
      <w:r>
        <w:t>.</w:t>
      </w:r>
    </w:p>
    <w:p>
      <w:pPr>
        <w:pStyle w:val="ListBullet"/>
      </w:pPr>
      <w:r>
        <w:rPr>
          <w:b/>
        </w:rPr>
        <w:t>P3. No quitar al pueblo su tiempo.</w:t>
      </w:r>
      <w:r>
        <w:t xml:space="preserve"> «Recaudar sin atender al tiempo es tiranía»</w:t>
      </w:r>
      <w:r>
        <w:t xml:space="preserve"> [original: «歛也無時，暴也»]</w:t>
      </w:r>
      <w:r>
        <w:t>, palabras que Xunzi atribuye a Confucio</w:t>
      </w:r>
      <w:r>
        <w:t xml:space="preserve"> (Xunzi, 宥坐)</w:t>
      </w:r>
      <w:r>
        <w:t xml:space="preserve">. Mencio 1A5, Analectas 1.5 y Mozi, en </w:t>
      </w:r>
      <w:r>
        <w:t>3.2</w:t>
      </w:r>
      <w:r>
        <w:t>.</w:t>
      </w:r>
    </w:p>
    <w:p>
      <w:pPr>
        <w:pStyle w:val="ListBullet"/>
      </w:pPr>
      <w:r>
        <w:rPr>
          <w:b/>
        </w:rPr>
        <w:t>P4. Pesas y medidas justas.</w:t>
      </w:r>
      <w:r>
        <w:t xml:space="preserve"> </w:t>
      </w:r>
    </w:p>
    <w:p>
      <w:pPr>
        <w:pStyle w:val="ListBullet2"/>
      </w:pPr>
      <w:r>
        <w:t>Si el superior ama el lucro, los funcionarios toman de más y dan de menos, «sacando del pueblo sin medida»</w:t>
      </w:r>
      <w:r>
        <w:t xml:space="preserve"> [original: «以無度取於民»]</w:t>
      </w:r>
      <w:r>
        <w:t xml:space="preserve"> (Xunzi, 君道)</w:t>
      </w:r>
      <w:r>
        <w:t>.</w:t>
      </w:r>
    </w:p>
    <w:p>
      <w:pPr>
        <w:pStyle w:val="ListBullet2"/>
      </w:pPr>
      <w:r>
        <w:t>En el equinoccio «se unifican las medidas y se igualan las balanzas»</w:t>
      </w:r>
      <w:r>
        <w:t xml:space="preserve"> [original: «同度量，平權衡»]</w:t>
      </w:r>
      <w:r>
        <w:t xml:space="preserve"> (Libro de los Ritos, 月令)</w:t>
      </w:r>
      <w:r>
        <w:t>.</w:t>
      </w:r>
    </w:p>
    <w:p>
      <w:pPr>
        <w:pStyle w:val="ListBullet2"/>
      </w:pPr>
      <w:r>
        <w:t>«Los tiranos y los funcionarios corruptos siempre descuidan los linderos»</w:t>
      </w:r>
      <w:r>
        <w:t xml:space="preserve"> [original: «暴君污吏必慢其經界»]</w:t>
      </w:r>
      <w:r>
        <w:t xml:space="preserve"> (Mencio 3A3)</w:t>
      </w:r>
      <w:r>
        <w:t>.</w:t>
      </w:r>
    </w:p>
    <w:p>
      <w:pPr>
        <w:pStyle w:val="ListBullet2"/>
      </w:pPr>
      <w:r>
        <w:t xml:space="preserve">Cuidar las pesas y medidas (Analectas 20.1, del libro 20, que una tesis tradicional tiene por tardío; también el Canon de Shun y el Yueling), en </w:t>
      </w:r>
      <w:r>
        <w:t>3.2</w:t>
      </w:r>
      <w:r>
        <w:t>.</w:t>
      </w:r>
    </w:p>
    <w:p>
      <w:pPr>
        <w:pStyle w:val="ListBullet"/>
      </w:pPr>
      <w:r>
        <w:rPr>
          <w:b/>
        </w:rPr>
        <w:t>P5. Devolver lo confiado.</w:t>
      </w:r>
      <w:r>
        <w:t xml:space="preserve"> </w:t>
      </w:r>
    </w:p>
    <w:p>
      <w:pPr>
        <w:pStyle w:val="ListBullet2"/>
      </w:pPr>
      <w:r>
        <w:t>Quien recibe los bueyes y las ovejas de otro para cuidarlos, si no encuentra pasto, ha de preguntarse: «¿los devolverá a su dueño?»</w:t>
      </w:r>
      <w:r>
        <w:t xml:space="preserve"> [original: «則反諸其人乎»]</w:t>
      </w:r>
      <w:r>
        <w:t>, o se quedará mirando cómo mueren</w:t>
      </w:r>
      <w:r>
        <w:t xml:space="preserve"> (Mencio 2B4)</w:t>
      </w:r>
      <w:r>
        <w:t>.</w:t>
      </w:r>
    </w:p>
    <w:p>
      <w:pPr>
        <w:pStyle w:val="ListBullet2"/>
      </w:pPr>
      <w:r>
        <w:t>Es noble aquel a quien «se le puede confiar un huérfano»</w:t>
      </w:r>
      <w:r>
        <w:t xml:space="preserve"> [original: «可以託六尺之孤»]</w:t>
      </w:r>
      <w:r>
        <w:t xml:space="preserve"> (Analectas 8.6)</w:t>
      </w:r>
      <w:r>
        <w:t>.</w:t>
      </w:r>
    </w:p>
    <w:p>
      <w:pPr>
        <w:pStyle w:val="ListBullet2"/>
      </w:pPr>
      <w:r>
        <w:rPr>
          <w:b/>
        </w:rPr>
        <w:t>Lo que no se encontró:</w:t>
      </w:r>
      <w:r>
        <w:t xml:space="preserve"> una norma expresa sobre devolver depósitos.</w:t>
      </w:r>
    </w:p>
    <w:p>
      <w:pPr>
        <w:pStyle w:val="ListBullet"/>
      </w:pPr>
      <w:r>
        <w:rPr>
          <w:b/>
        </w:rPr>
        <w:t>P6. Perdonar las deudas.</w:t>
      </w:r>
      <w:r>
        <w:t xml:space="preserve"> </w:t>
      </w:r>
    </w:p>
    <w:p>
      <w:pPr>
        <w:pStyle w:val="ListBullet2"/>
      </w:pPr>
      <w:r>
        <w:t>Feng Xuan perdonó las deudas del pueblo de Xue, «y quemó los contratos, y el pueblo gritó "¡viva!"»</w:t>
      </w:r>
      <w:r>
        <w:t xml:space="preserve"> [original: «因燒其券，民稱萬歲»]</w:t>
      </w:r>
      <w:r>
        <w:t>, y dijo a su señor que así le había comprado la justicia</w:t>
      </w:r>
      <w:r>
        <w:t xml:space="preserve"> (Estrategias de los Reinos Combatientes, Feng Xuan)</w:t>
      </w:r>
      <w:r>
        <w:t>.</w:t>
      </w:r>
    </w:p>
    <w:p>
      <w:pPr>
        <w:pStyle w:val="ListBullet2"/>
      </w:pPr>
      <w:r>
        <w:t>«El sabio guarda la mitad izquierda del contrato y no reclama a los demás»</w:t>
      </w:r>
      <w:r>
        <w:t xml:space="preserve"> [original: «是以聖人執左契，而不責於人»]</w:t>
      </w:r>
      <w:r>
        <w:t xml:space="preserve"> (Daodejing 79)</w:t>
      </w:r>
      <w:r>
        <w:t>. Cautela: el comentario de Wang Bi lee el carácter 徹, del mismo pasaje, como «vigilar las faltas ajenas», no como el tributo; leerlo como tributo es interpretación.</w:t>
      </w:r>
    </w:p>
    <w:p>
      <w:pPr>
        <w:pStyle w:val="ListBullet2"/>
      </w:pPr>
      <w:r>
        <w:t xml:space="preserve">El duque Huan y los intereses de los pobres (Guanzi 83), en </w:t>
      </w:r>
      <w:r>
        <w:t>3.3</w:t>
      </w:r>
      <w:r>
        <w:t>.</w:t>
      </w:r>
    </w:p>
    <w:p>
      <w:pPr>
        <w:pStyle w:val="ListBullet2"/>
      </w:pPr>
      <w:r>
        <w:rPr>
          <w:b/>
        </w:rPr>
        <w:t>Lo que no se encontró:</w:t>
      </w:r>
      <w:r>
        <w:t xml:space="preserve"> una condena expresa del préstamo con interés en el confucianismo, el taoísmo o el mohismo.</w:t>
      </w:r>
    </w:p>
    <w:p>
      <w:pPr>
        <w:pStyle w:val="ListBullet"/>
      </w:pPr>
      <w:r>
        <w:rPr>
          <w:b/>
        </w:rPr>
        <w:t>P7. Cada uno responde de lo suyo; examinar antes de castigar.</w:t>
      </w:r>
      <w:r>
        <w:t xml:space="preserve"> </w:t>
      </w:r>
    </w:p>
    <w:p>
      <w:pPr>
        <w:pStyle w:val="ListBullet2"/>
      </w:pPr>
      <w:r>
        <w:t>En el buen gobierno del rey Wen, el castigo no alcanzaba a la mujer ni a los hijos del culpable</w:t>
      </w:r>
      <w:r>
        <w:t xml:space="preserve"> [original: «罪人不孥»; Legge: «the wives and children of criminals were not involved in their guilt»]</w:t>
      </w:r>
      <w:r>
        <w:t xml:space="preserve"> (Mencio 1B5)</w:t>
      </w:r>
      <w:r>
        <w:t>.</w:t>
      </w:r>
    </w:p>
    <w:p>
      <w:pPr>
        <w:pStyle w:val="ListBullet2"/>
      </w:pPr>
      <w:r>
        <w:t>«El castigo no excedía el delito»</w:t>
      </w:r>
      <w:r>
        <w:t xml:space="preserve"> [original: «刑不過罪»]</w:t>
      </w:r>
      <w:r>
        <w:t>; en los tiempos de desorden, «si uno delinque, se extermina a los tres clanes»</w:t>
      </w:r>
      <w:r>
        <w:t xml:space="preserve"> [original: «一人有罪而三族皆夷»]</w:t>
      </w:r>
      <w:r>
        <w:t xml:space="preserve"> (Xunzi, 君子)</w:t>
      </w:r>
      <w:r>
        <w:t>.</w:t>
      </w:r>
    </w:p>
    <w:p>
      <w:pPr>
        <w:pStyle w:val="ListBullet2"/>
      </w:pPr>
      <w:r>
        <w:t>«Si todos lo odian, hay que examinarlo»</w:t>
      </w:r>
      <w:r>
        <w:t xml:space="preserve"> [original: «眾惡之，必察焉»]</w:t>
      </w:r>
      <w:r>
        <w:t xml:space="preserve"> (Analectas 15.27)</w:t>
      </w:r>
      <w:r>
        <w:t>.</w:t>
      </w:r>
    </w:p>
    <w:p>
      <w:pPr>
        <w:pStyle w:val="ListBullet2"/>
      </w:pPr>
      <w:r>
        <w:t xml:space="preserve">Mencio 1B7 y el Comentario de Zuo, en </w:t>
      </w:r>
      <w:r>
        <w:t>3.2</w:t>
      </w:r>
      <w:r>
        <w:t>.</w:t>
      </w:r>
    </w:p>
    <w:p>
      <w:pPr>
        <w:pStyle w:val="ListBullet"/>
      </w:pPr>
      <w:r>
        <w:rPr>
          <w:b/>
        </w:rPr>
        <w:t>P8. Contra el soborno.</w:t>
      </w:r>
      <w:r>
        <w:t xml:space="preserve"> </w:t>
      </w:r>
    </w:p>
    <w:p>
      <w:pPr>
        <w:pStyle w:val="ListBullet2"/>
      </w:pPr>
      <w:r>
        <w:t>Entre los vicios del juez, «los sobornos»</w:t>
      </w:r>
      <w:r>
        <w:t xml:space="preserve"> [original: «惟貨»]</w:t>
      </w:r>
      <w:r>
        <w:t>, y quien incurre en ellos comete un delito igual al del reo; y «lo que se gana con los pleitos no es un tesoro»: acumula culpa</w:t>
      </w:r>
      <w:r>
        <w:t xml:space="preserve"> [original: «獄貨非寶»; Legge: «Gain (so) got by the decision of cases is no precious acquisition; it is an accumulation of guilt»]</w:t>
      </w:r>
      <w:r>
        <w:t xml:space="preserve"> (Libro de los Documentos, 呂刑)</w:t>
      </w:r>
      <w:r>
        <w:t>.</w:t>
      </w:r>
    </w:p>
    <w:p>
      <w:pPr>
        <w:pStyle w:val="ListBullet2"/>
      </w:pPr>
      <w:r>
        <w:t>Esperar a que el pueblo sin medios caiga en delito para castigarlo «es tenderle una red al pueblo»</w:t>
      </w:r>
      <w:r>
        <w:t xml:space="preserve"> [original: «是罔民也»]</w:t>
      </w:r>
      <w:r>
        <w:t xml:space="preserve"> (Mencio 3A3)</w:t>
      </w:r>
      <w:r>
        <w:t>.</w:t>
      </w:r>
    </w:p>
    <w:p>
      <w:pPr>
        <w:pStyle w:val="ListBullet2"/>
      </w:pPr>
      <w:r>
        <w:t xml:space="preserve">Ser parco en castigos y multas (Mencio 1A5), en </w:t>
      </w:r>
      <w:r>
        <w:t>3.2</w:t>
      </w:r>
      <w:r>
        <w:t xml:space="preserve">. </w:t>
      </w:r>
      <w:r>
        <w:rPr>
          <w:b/>
        </w:rPr>
        <w:t>Lo que no se encontró:</w:t>
      </w:r>
      <w:r>
        <w:t xml:space="preserve"> una frase expresa de que las multas no deben ser ingreso.</w:t>
      </w:r>
    </w:p>
    <w:p>
      <w:pPr>
        <w:pStyle w:val="ListBullet"/>
      </w:pPr>
      <w:r>
        <w:rPr>
          <w:b/>
        </w:rPr>
        <w:t>P9. Más leyes, más pobreza.</w:t>
      </w:r>
      <w:r>
        <w:t xml:space="preserve"> </w:t>
      </w:r>
    </w:p>
    <w:p>
      <w:pPr>
        <w:pStyle w:val="ListBullet2"/>
      </w:pPr>
      <w:r>
        <w:t>Con el código escrito, «correrán los sobornos»</w:t>
      </w:r>
      <w:r>
        <w:t xml:space="preserve"> [original: «賄賂並行»]</w:t>
      </w:r>
      <w:r>
        <w:t xml:space="preserve"> (Comentario de Zuo, duque Zhao, año 6)</w:t>
      </w:r>
      <w:r>
        <w:t xml:space="preserve">; el mismo pasaje, «cuando un Estado va a perecer, multiplica sus reglamentos», está en </w:t>
      </w:r>
      <w:r>
        <w:t>3.2</w:t>
      </w:r>
      <w:r>
        <w:t>.</w:t>
      </w:r>
    </w:p>
    <w:p>
      <w:pPr>
        <w:pStyle w:val="ListBullet2"/>
      </w:pPr>
      <w:r>
        <w:t>«Cuantos más castigos, menos se vence el mal»</w:t>
      </w:r>
      <w:r>
        <w:t xml:space="preserve"> [original: «刑彌繁而邪不勝»]</w:t>
      </w:r>
      <w:r>
        <w:t xml:space="preserve"> (Xunzi, 宥坐)</w:t>
      </w:r>
      <w:r>
        <w:t>.</w:t>
      </w:r>
    </w:p>
    <w:p>
      <w:pPr>
        <w:pStyle w:val="ListBullet2"/>
      </w:pPr>
      <w:r>
        <w:t>Los gobernantes de hoy cargan pesos excesivos y castigan al que no puede; «sin bienes, [el pueblo] roba»: ¿a quién hay que culpar?</w:t>
      </w:r>
      <w:r>
        <w:t xml:space="preserve"> [original: «財不足則盜»; Giles: «If their means are insufficient, they will steal. And for such robbery and theft, who is really responsible?»]</w:t>
      </w:r>
      <w:r>
        <w:t xml:space="preserve"> (Zhuangzi, 則陽)</w:t>
      </w:r>
      <w:r>
        <w:t>.</w:t>
      </w:r>
    </w:p>
    <w:p>
      <w:pPr>
        <w:pStyle w:val="ListBullet2"/>
      </w:pPr>
      <w:r>
        <w:t xml:space="preserve">Daodejing 57, en </w:t>
      </w:r>
      <w:r>
        <w:t>3.2</w:t>
      </w:r>
      <w:r>
        <w:t>.</w:t>
      </w:r>
    </w:p>
    <w:p>
      <w:pPr>
        <w:pStyle w:val="ListBullet"/>
      </w:pPr>
      <w:r>
        <w:rPr>
          <w:b/>
        </w:rPr>
        <w:t>La pata coja: el legalismo</w:t>
      </w:r>
      <w:r>
        <w:t xml:space="preserve"> (texto original comprobado). </w:t>
      </w:r>
    </w:p>
    <w:p>
      <w:pPr>
        <w:pStyle w:val="ListBullet2"/>
      </w:pPr>
      <w:r>
        <w:t xml:space="preserve">«Pueblo débil, Estado fuerte» y «castigo duro y culpa compartida» (Libro del señor Shang), en </w:t>
      </w:r>
      <w:r>
        <w:t>3.2</w:t>
      </w:r>
      <w:r>
        <w:t>.</w:t>
      </w:r>
    </w:p>
    <w:p>
      <w:pPr>
        <w:pStyle w:val="ListBullet2"/>
      </w:pPr>
      <w:r>
        <w:t>Shang Yang implantó la vigilancia mutua y la responsabilidad colectiva</w:t>
      </w:r>
      <w:r>
        <w:t xml:space="preserve"> [original: «相牧司連坐»]</w:t>
      </w:r>
      <w:r>
        <w:t>; a los que opinaban sobre las leyes los desterró, y después «nadie se atrevió a opinar sobre las órdenes»</w:t>
      </w:r>
      <w:r>
        <w:t xml:space="preserve"> [original: «民莫敢議令»]</w:t>
      </w:r>
      <w:r>
        <w:t xml:space="preserve"> (Shiji 68)</w:t>
      </w:r>
      <w:r>
        <w:t>.</w:t>
      </w:r>
    </w:p>
    <w:p>
      <w:pPr>
        <w:pStyle w:val="ListBullet2"/>
      </w:pPr>
      <w:r>
        <w:t>Han Feizi defiende «agravar las penas para prohibir el mal»</w:t>
      </w:r>
      <w:r>
        <w:t xml:space="preserve"> [original: «脩刑重罰以爲禁邪也»]</w:t>
      </w:r>
      <w:r>
        <w:t xml:space="preserve"> y la recaudación «para llenar los graneros»</w:t>
      </w:r>
      <w:r>
        <w:t xml:space="preserve"> [original: «徵賦錢粟以實倉庫»]</w:t>
      </w:r>
      <w:r>
        <w:t>, y dice que la inteligencia del pueblo no sirve, porque es «como la mente de un niño de pecho»</w:t>
      </w:r>
      <w:r>
        <w:t xml:space="preserve"> [original: «猶嬰兒之心也»]</w:t>
      </w:r>
      <w:r>
        <w:t xml:space="preserve"> (Han Feizi, 顯學)</w:t>
      </w:r>
      <w:r>
        <w:t>.</w:t>
      </w:r>
    </w:p>
    <w:p>
      <w:pPr>
        <w:pStyle w:val="ListBullet2"/>
      </w:pPr>
      <w:r>
        <w:t xml:space="preserve">Es la escuela que fundó el primer imperio, el de Qin, y la tradición confuciana la tuvo siempre por la contraria del buen gobierno. Quién la escribió, y sus frutos, en </w:t>
      </w:r>
      <w:r>
        <w:t>3.4</w:t>
      </w:r>
      <w:r>
        <w:t>.</w:t>
      </w:r>
    </w:p>
    <w:p>
      <w:r>
        <w:t>[archivo del Arca, bloque de China, verificado por Claude el 5-oct: texto chino de Wikisource, nivel A]</w:t>
      </w:r>
    </w:p>
    <w:p>
      <w:pPr>
        <w:pStyle w:val="Heading2"/>
      </w:pPr>
      <w:r>
        <w:t>F.4 El antiguo Oriente, Egipto, Grecia y Roma</w:t>
      </w:r>
    </w:p>
    <w:p>
      <w:pPr>
        <w:pBdr>
          <w:left w:val="single" w:sz="24" w:space="6" w:color="E2DED6"/>
        </w:pBdr>
        <w:shd w:val="clear" w:color="auto" w:fill="F1EEE8"/>
        <w:spacing w:before="80" w:after="160"/>
        <w:ind w:left="142" w:right="142"/>
      </w:pPr>
      <w:r>
        <w:rPr>
          <w:b/>
        </w:rPr>
        <w:t>La idea: desde los primeros códigos de Mesopotamia hasta Roma, el poder se justifica por proteger al débil; y de la misma época son los textos más antiguos del pan propio.</w:t>
      </w:r>
    </w:p>
    <w:p>
      <w:r>
        <w:t>Fuentes: Hammurabi, en la traducción de L. W. King (Avalon Project); Urukagina y Ur-Namma, en el CDLI (sumerio y traducción línea a línea); Hesíodo (Evelyn-White), Ptahhotep y la Constitución de los atenienses (Kenyon), en Gutenberg; el Campesino Elocuente y la Enseñanza para Merikare, en Erman y Blackman (1927); Cicerón, Séneca y Tácito, en latín (The Latin Library); Platón (Bury), Aristóteles (Rackham) e Isócrates, en Perseus. Se comprobaron 44 frases exactas, y todas coinciden. Nivel A.</w:t>
      </w:r>
    </w:p>
    <w:p>
      <w:pPr>
        <w:pStyle w:val="ListBullet"/>
      </w:pPr>
      <w:r>
        <w:rPr>
          <w:b/>
        </w:rPr>
        <w:t>P1. El gobernante existe para el pueblo.</w:t>
      </w:r>
      <w:r>
        <w:t xml:space="preserve"> </w:t>
      </w:r>
    </w:p>
    <w:p>
      <w:pPr>
        <w:pStyle w:val="ListBullet2"/>
      </w:pPr>
      <w:r>
        <w:t>El epílogo de Hammurabi repite el propósito de su prólogo (</w:t>
      </w:r>
      <w:r>
        <w:t>3.2</w:t>
      </w:r>
      <w:r>
        <w:t>): «para que el fuerte no perjudique al débil, para proteger a viudas y huérfanos»</w:t>
      </w:r>
      <w:r>
        <w:t xml:space="preserve"> [original: «That the strong might not injure the weak, in order to protect the widows and orphans», en la traducción de King]</w:t>
      </w:r>
      <w:r>
        <w:t xml:space="preserve"> (Código de Hammurabi, epílogo)</w:t>
      </w:r>
      <w:r>
        <w:t>.</w:t>
      </w:r>
    </w:p>
    <w:p>
      <w:pPr>
        <w:pStyle w:val="ListBullet2"/>
      </w:pPr>
      <w:r>
        <w:t>«El huérfano no será sometido al rico»</w:t>
      </w:r>
      <w:r>
        <w:t xml:space="preserve"> [original: «The orphan to the rich man should not be made subordinate», en la traducción del CDLI]</w:t>
      </w:r>
      <w:r>
        <w:t xml:space="preserve"> (Código de Ur-Namma, líneas 162-163)</w:t>
      </w:r>
      <w:r>
        <w:t>; y Urukagina dice lo mismo de la viuda y el huérfano frente al poderoso.</w:t>
      </w:r>
    </w:p>
    <w:p>
      <w:pPr>
        <w:pStyle w:val="ListBullet2"/>
      </w:pPr>
      <w:r>
        <w:t>Dios hizo para los hombres gobernantes, «un sostén para sostener la espalda del débil»</w:t>
      </w:r>
      <w:r>
        <w:t xml:space="preserve"> [original: «a supporter to support the back of the weak», en la traducción de Erman y Blackman]</w:t>
      </w:r>
      <w:r>
        <w:t xml:space="preserve"> (Enseñanza para Merikare)</w:t>
      </w:r>
      <w:r>
        <w:t>.</w:t>
      </w:r>
    </w:p>
    <w:p>
      <w:pPr>
        <w:pStyle w:val="ListBullet2"/>
      </w:pPr>
      <w:r>
        <w:t>La administración del Estado como una tutela (Cicerón) y los magistrados, servidores de la ley (Platón), en 3.2.</w:t>
      </w:r>
    </w:p>
    <w:p>
      <w:pPr>
        <w:pStyle w:val="ListBullet"/>
      </w:pPr>
      <w:r>
        <w:rPr>
          <w:b/>
        </w:rPr>
        <w:t>P2. Impuestos moderados.</w:t>
      </w:r>
      <w:r>
        <w:t xml:space="preserve"> </w:t>
      </w:r>
    </w:p>
    <w:p>
      <w:pPr>
        <w:pStyle w:val="ListBullet2"/>
      </w:pPr>
      <w:r>
        <w:t>Empobrecer a los súbditos es recurso de la tiranía (</w:t>
      </w:r>
      <w:r>
        <w:t>3.2</w:t>
      </w:r>
      <w:r>
        <w:t>): en Siracusa, con Dionisio, por los impuestos, «en cinco años la gente había entregado toda su hacienda»</w:t>
      </w:r>
      <w:r>
        <w:t xml:space="preserve"> [original: «in five years men had contributed the whole of their substance», en la traducción de Rackham]</w:t>
      </w:r>
      <w:r>
        <w:t xml:space="preserve"> (Aristóteles, Política V, 1313b)</w:t>
      </w:r>
      <w:r>
        <w:t>.</w:t>
      </w:r>
    </w:p>
    <w:p>
      <w:pPr>
        <w:pStyle w:val="ListBullet2"/>
      </w:pPr>
      <w:r>
        <w:t>Hay que esforzarse para que no haya que imponer el tributo «por la escasez del erario»</w:t>
      </w:r>
      <w:r>
        <w:t xml:space="preserve"> [original: «propter aerarii tenuitatem»]</w:t>
      </w:r>
      <w:r>
        <w:t xml:space="preserve"> (Cicerón, De officiis II, 74)</w:t>
      </w:r>
      <w:r>
        <w:t>.</w:t>
      </w:r>
    </w:p>
    <w:p>
      <w:pPr>
        <w:pStyle w:val="ListBullet2"/>
      </w:pPr>
      <w:r>
        <w:t>Pisístrato «cargó al pueblo lo menos posible»</w:t>
      </w:r>
      <w:r>
        <w:t xml:space="preserve"> [original: «burdened the people as little as possible», en la traducción de Kenyon]</w:t>
      </w:r>
      <w:r>
        <w:t xml:space="preserve"> (Constitución de los atenienses 16)</w:t>
      </w:r>
      <w:r>
        <w:t>.</w:t>
      </w:r>
    </w:p>
    <w:p>
      <w:pPr>
        <w:pStyle w:val="ListBullet"/>
      </w:pPr>
      <w:r>
        <w:rPr>
          <w:b/>
        </w:rPr>
        <w:t>P3. No quitar al pueblo su tiempo.</w:t>
      </w:r>
      <w:r>
        <w:t xml:space="preserve"> Las pirámides (Aristóteles) y la máxima 11 de Ptahhotep, en </w:t>
      </w:r>
      <w:r>
        <w:t>3.2</w:t>
      </w:r>
      <w:r>
        <w:t>.</w:t>
      </w:r>
    </w:p>
    <w:p>
      <w:pPr>
        <w:pStyle w:val="ListBullet"/>
      </w:pPr>
      <w:r>
        <w:rPr>
          <w:b/>
        </w:rPr>
        <w:t>P4. Pesas y medidas justas.</w:t>
      </w:r>
      <w:r>
        <w:t xml:space="preserve"> </w:t>
      </w:r>
    </w:p>
    <w:p>
      <w:pPr>
        <w:pStyle w:val="ListBullet2"/>
      </w:pPr>
      <w:r>
        <w:t>En el Campesino Elocuente, «una balanza que se inclina» es la imagen de la injusticia; y «el engaño empequeñece la justicia; hay que dar buena medida»</w:t>
      </w:r>
      <w:r>
        <w:t xml:space="preserve"> [original: «a balance that tilteth»; «Cheating maketh justice too small; one must give good measure», en la traducción de Erman y Blackman]</w:t>
      </w:r>
      <w:r>
        <w:t xml:space="preserve"> (El Campesino Elocuente)</w:t>
      </w:r>
      <w:r>
        <w:t>.</w:t>
      </w:r>
    </w:p>
    <w:p>
      <w:pPr>
        <w:pStyle w:val="ListBullet2"/>
      </w:pPr>
      <w:r>
        <w:t>En Atenas, los inspectores de pesos y medidas, elegidos por sorteo, «vigilan que los vendedores usen pesos y medidas justos»</w:t>
      </w:r>
      <w:r>
        <w:t xml:space="preserve"> [original: «see that sellers use fair weights and measures», en la traducción de Kenyon]</w:t>
      </w:r>
      <w:r>
        <w:t xml:space="preserve"> (Constitución de los atenienses 51)</w:t>
      </w:r>
      <w:r>
        <w:t>.</w:t>
      </w:r>
    </w:p>
    <w:p>
      <w:pPr>
        <w:pStyle w:val="ListBullet2"/>
      </w:pPr>
      <w:r>
        <w:t>«Toma medida justa de tu vecino y devuélvele con justicia la misma medida»</w:t>
      </w:r>
      <w:r>
        <w:t xml:space="preserve"> [original: «Take fair measure from your neighbour and pay him back fairly with the same measure», en la traducción de Evelyn-White]</w:t>
      </w:r>
      <w:r>
        <w:t xml:space="preserve"> (Hesíodo, Trabajos y días 349-350)</w:t>
      </w:r>
      <w:r>
        <w:t>.</w:t>
      </w:r>
    </w:p>
    <w:p>
      <w:pPr>
        <w:pStyle w:val="ListBullet2"/>
      </w:pPr>
      <w:r>
        <w:t xml:space="preserve">La medida real justa de Ur-Namma, en </w:t>
      </w:r>
      <w:r>
        <w:t>3.2</w:t>
      </w:r>
      <w:r>
        <w:t>. El § 108 de Hammurabi trata del precio del grano, no de pesas falsas, y no se usa.</w:t>
      </w:r>
    </w:p>
    <w:p>
      <w:pPr>
        <w:pStyle w:val="ListBullet"/>
      </w:pPr>
      <w:r>
        <w:rPr>
          <w:b/>
        </w:rPr>
        <w:t>P5. Devolver lo confiado.</w:t>
      </w:r>
      <w:r>
        <w:t xml:space="preserve"> Hammurabi § 124 y la buena fe de Cicerón, en </w:t>
      </w:r>
      <w:r>
        <w:t>3.2</w:t>
      </w:r>
      <w:r>
        <w:t>.</w:t>
      </w:r>
    </w:p>
    <w:p>
      <w:pPr>
        <w:pStyle w:val="ListBullet"/>
      </w:pPr>
      <w:r>
        <w:rPr>
          <w:b/>
        </w:rPr>
        <w:t>P6. Perdonar las deudas.</w:t>
      </w:r>
      <w:r>
        <w:t xml:space="preserve"> Urukagina, Hammurabi y Solón, en </w:t>
      </w:r>
      <w:r>
        <w:t>3.3</w:t>
      </w:r>
      <w:r>
        <w:t>. Solón prohibió además prestar con la persona del deudor como garantía</w:t>
      </w:r>
      <w:r>
        <w:t xml:space="preserve"> (Constitución de los atenienses 6)</w:t>
      </w:r>
      <w:r>
        <w:t>.</w:t>
      </w:r>
    </w:p>
    <w:p>
      <w:pPr>
        <w:pStyle w:val="ListBullet"/>
      </w:pPr>
      <w:r>
        <w:rPr>
          <w:b/>
        </w:rPr>
        <w:t>P7. Cada uno responde de lo suyo; examinar antes de castigar.</w:t>
      </w:r>
      <w:r>
        <w:t xml:space="preserve"> </w:t>
      </w:r>
    </w:p>
    <w:p>
      <w:pPr>
        <w:pStyle w:val="ListBullet2"/>
      </w:pPr>
      <w:r>
        <w:t>La razón da tiempo a las dos partes (</w:t>
      </w:r>
      <w:r>
        <w:t>3.2</w:t>
      </w:r>
      <w:r>
        <w:t>), porque «la ira se precipita»</w:t>
      </w:r>
      <w:r>
        <w:t xml:space="preserve"> [original: «ira festinat»]</w:t>
      </w:r>
      <w:r>
        <w:t xml:space="preserve"> (Séneca, De ira I, 18)</w:t>
      </w:r>
      <w:r>
        <w:t>.</w:t>
      </w:r>
    </w:p>
    <w:p>
      <w:pPr>
        <w:pStyle w:val="ListBullet2"/>
      </w:pPr>
      <w:r>
        <w:t>«Toma al hombre por sus actos»</w:t>
      </w:r>
      <w:r>
        <w:t xml:space="preserve"> [original: «take to thyself a man because of his actions», en la traducción de Erman y Blackman]</w:t>
      </w:r>
      <w:r>
        <w:t xml:space="preserve"> (Enseñanza para Merikare)</w:t>
      </w:r>
      <w:r>
        <w:t>.</w:t>
      </w:r>
    </w:p>
    <w:p>
      <w:pPr>
        <w:pStyle w:val="ListBullet2"/>
      </w:pPr>
      <w:r>
        <w:t>Platón, Merikare («guárdate de castigar injustamente») y Hammurabi § 9, en 3.2.</w:t>
      </w:r>
    </w:p>
    <w:p>
      <w:pPr>
        <w:pStyle w:val="ListBullet"/>
      </w:pPr>
      <w:r>
        <w:rPr>
          <w:b/>
        </w:rPr>
        <w:t>P8. Contra el soborno; el castigo no es un negocio.</w:t>
      </w:r>
      <w:r>
        <w:t xml:space="preserve"> </w:t>
      </w:r>
    </w:p>
    <w:p>
      <w:pPr>
        <w:pStyle w:val="ListBullet2"/>
      </w:pPr>
      <w:r>
        <w:t>Hesíodo llama a los reyes «devoradores de regalos»</w:t>
      </w:r>
      <w:r>
        <w:t xml:space="preserve"> [original: «βασιλῆς […] δωροφάγοι»]</w:t>
      </w:r>
      <w:r>
        <w:t xml:space="preserve"> (Trabajos y días 263-264)</w:t>
      </w:r>
      <w:r>
        <w:t xml:space="preserve">; su «enderezad vuestras sentencias», en </w:t>
      </w:r>
      <w:r>
        <w:t>3.2</w:t>
      </w:r>
      <w:r>
        <w:t>.</w:t>
      </w:r>
    </w:p>
    <w:p>
      <w:pPr>
        <w:pStyle w:val="ListBullet2"/>
      </w:pPr>
      <w:r>
        <w:t>La ley dice: «no prestes ningún servicio a cambio de regalos»</w:t>
      </w:r>
      <w:r>
        <w:t xml:space="preserve"> [original: «Perform no service for gifts», en la traducción de Bury]</w:t>
      </w:r>
      <w:r>
        <w:t xml:space="preserve"> (Platón, Leyes XII, 955d)</w:t>
      </w:r>
      <w:r>
        <w:t>.</w:t>
      </w:r>
    </w:p>
    <w:p>
      <w:pPr>
        <w:pStyle w:val="ListBullet2"/>
      </w:pPr>
      <w:r>
        <w:t xml:space="preserve">La ley endurecida «para aumentar el erario» (Tácito), en </w:t>
      </w:r>
      <w:r>
        <w:t>3.2</w:t>
      </w:r>
      <w:r>
        <w:t>.</w:t>
      </w:r>
    </w:p>
    <w:p>
      <w:pPr>
        <w:pStyle w:val="ListBullet"/>
      </w:pPr>
      <w:r>
        <w:rPr>
          <w:b/>
        </w:rPr>
        <w:t>P9. Más leyes, más pobreza.</w:t>
      </w:r>
      <w:r>
        <w:t xml:space="preserve"> Justo antes del pasaje de Tácito que está en </w:t>
      </w:r>
      <w:r>
        <w:t>3.2</w:t>
      </w:r>
      <w:r>
        <w:t>, el mismo autor escribe: «y como antes el país sufría por sus vicios, ahora sufría por sus leyes»</w:t>
      </w:r>
      <w:r>
        <w:t xml:space="preserve"> [original: «utque antehac flagitiis ita tunc legibus laborabatur»]</w:t>
      </w:r>
      <w:r>
        <w:t xml:space="preserve"> (Tácito, Anales III, 25)</w:t>
      </w:r>
      <w:r>
        <w:t xml:space="preserve">. Isócrates y Platón, en </w:t>
      </w:r>
      <w:r>
        <w:t>3.2</w:t>
      </w:r>
      <w:r>
        <w:t>.</w:t>
      </w:r>
    </w:p>
    <w:p>
      <w:pPr>
        <w:pStyle w:val="ListBullet"/>
      </w:pPr>
      <w:r>
        <w:rPr>
          <w:b/>
        </w:rPr>
        <w:t>La pata coja</w:t>
      </w:r>
      <w:r>
        <w:t xml:space="preserve"> (comprobada). </w:t>
      </w:r>
    </w:p>
    <w:p>
      <w:pPr>
        <w:pStyle w:val="ListBullet2"/>
      </w:pPr>
      <w:r>
        <w:t>Contra P7, el castigo por la culpa ajena: además del hijo del constructor (</w:t>
      </w:r>
      <w:r>
        <w:t>3.2</w:t>
      </w:r>
      <w:r>
        <w:t>), «se dará muerte a la hija de él»</w:t>
      </w:r>
      <w:r>
        <w:t xml:space="preserve"> [original: «his daughter shall be put to death», en la traducción de King]</w:t>
      </w:r>
      <w:r>
        <w:t xml:space="preserve"> (Código de Hammurabi § 210)</w:t>
      </w:r>
      <w:r>
        <w:t>; y «a menudo toda una ciudad sufre por un solo malvado»</w:t>
      </w:r>
      <w:r>
        <w:t xml:space="preserve"> [original: «Often even a whole city suffers for a bad man», en la traducción de Evelyn-White]</w:t>
      </w:r>
      <w:r>
        <w:t xml:space="preserve"> (Hesíodo, Trabajos y días 240)</w:t>
      </w:r>
      <w:r>
        <w:t xml:space="preserve">. Séneca (De ira I, 19), en </w:t>
      </w:r>
      <w:r>
        <w:t>3.2</w:t>
      </w:r>
      <w:r>
        <w:t>.</w:t>
      </w:r>
    </w:p>
    <w:p>
      <w:pPr>
        <w:pStyle w:val="ListBullet2"/>
      </w:pPr>
      <w:r>
        <w:t xml:space="preserve">Contra P5: el depósito que no se devuelve al que ha enloquecido (Cicerón), en </w:t>
      </w:r>
      <w:r>
        <w:t>3.2</w:t>
      </w:r>
      <w:r>
        <w:t>.</w:t>
      </w:r>
    </w:p>
    <w:p>
      <w:r>
        <w:t>[archivo del Arca, bloque del antiguo Oriente, Egipto, Grecia y Roma, verificado por Claude el 5-oct, nivel A; Hesíodo 240 y los traductores ingleses, leídos hoy en local (ant)]</w:t>
      </w:r>
    </w:p>
    <w:p>
      <w:r>
        <w:rPr>
          <w:b/>
        </w:rPr>
        <w:t xml:space="preserve">El pan propio: los tres textos que faltaban en </w:t>
      </w:r>
      <w:r>
        <w:rPr>
          <w:b/>
        </w:rPr>
        <w:t>3.1</w:t>
      </w:r>
      <w:r>
        <w:rPr>
          <w:b/>
        </w:rPr>
        <w:t>.</w:t>
      </w:r>
      <w:r>
        <w:t xml:space="preserve"> Que el pan se gana con el propio trabajo y no con el ajeno lo dicen ya los textos más antiguos de este bloque:</w:t>
      </w:r>
    </w:p>
    <w:p>
      <w:pPr>
        <w:pStyle w:val="ListBullet"/>
      </w:pPr>
      <w:r>
        <w:rPr>
          <w:b/>
        </w:rPr>
        <w:t>Sumeria:</w:t>
      </w:r>
      <w:r>
        <w:t xml:space="preserve"> las Instrucciones de Shuruppak, de los textos literarios más antiguos que se conservan, mandan «no debes robar nada» y «hijo mío, no debes cometer robo»</w:t>
      </w:r>
      <w:r>
        <w:t xml:space="preserve"> [original: «niĝ2 nam-mu-zuḫ-zuḫ»; «dumu-ĝu10 sa gaz nam-mu-u3-ak-e»; en la traducción del ETCSL, «You should not steal anything»; «My son, you should not commit robbery»]</w:t>
      </w:r>
      <w:r>
        <w:t xml:space="preserve"> (Instrucciones de Shuruppak, líneas 28-31 (The Electronic Text Corpus of Sumerian Literature [Corpus electrónico de la literatura sumeria], Universidad de Oxford, c.5.6.1))</w:t>
      </w:r>
      <w:r>
        <w:t>. Sus tablillas más antiguas son de hacia 2600 a. C., una fecha que su editor da como «no más que una sugerencia»</w:t>
      </w:r>
      <w:r>
        <w:t xml:space="preserve"> [original: «are probably to be dated somewhere around 2600 B.C.»; «it is no more than a suggestion»]</w:t>
      </w:r>
      <w:r>
        <w:t xml:space="preserve"> (R. D. Biggs, Inscriptions from Tell Abū Ṣalābīkh (Inscripciones de Tell Abu Salabikh), Chicago, 1974, p. 26)</w:t>
      </w:r>
      <w:r>
        <w:t>.</w:t>
      </w:r>
    </w:p>
    <w:p>
      <w:pPr>
        <w:pStyle w:val="ListBullet"/>
      </w:pPr>
      <w:r>
        <w:rPr>
          <w:b/>
        </w:rPr>
        <w:t>Egipto:</w:t>
      </w:r>
      <w:r>
        <w:t xml:space="preserve"> las Máximas atribuidas al visir Ptahhotep (V dinastía), que se conservan en el Papiro Prisse, una copia de hacia 2000 a. C., piden: «guárdate de la avidez» y «no codicies nada salvo lo que te pertenece»</w:t>
      </w:r>
      <w:r>
        <w:t xml:space="preserve"> [original: «garde-toi de l'avidité»; «ne sois cupide de rien excepté de ce qui t'appartient», en la traducción de Žába]</w:t>
      </w:r>
      <w:r>
        <w:t xml:space="preserve"> (Máximas de Ptahhotep 19 y 20, vv. 300 y 317 (Z. Žába, Les Maximes de Ptahhotep [Las máximas de Ptahhotep], Praga, 1956; la fecha, p. 1))</w:t>
      </w:r>
      <w:r>
        <w:t>. La atribución a la V dinastía se discute: hay quien cree que se compusieron en el Reino Medio (Quirke, 2004; referencia hallada en Wikipedia, sin leer en su fuente). {completo} La traducción inglesa de Gunn dice lo mismo: «Be not covetous as touching shares, in seizing that which is not thine own property» (no seas codicioso en los repartos, tomando lo que no es tuyo; B. G. Gunn, The Instruction of Ptah-hotep [La instrucción de Ptahhotep], Londres, 1906, máxima 20).</w:t>
      </w:r>
    </w:p>
    <w:p>
      <w:pPr>
        <w:pStyle w:val="ListBullet"/>
      </w:pPr>
      <w:r>
        <w:rPr>
          <w:b/>
        </w:rPr>
        <w:t>El estoicismo:</w:t>
      </w:r>
      <w:r>
        <w:t xml:space="preserve"> Musonio Rufo enseñó que «hay que trabajar y pasar fatigas con el propio cuerpo antes que depender de otro que lo alimente a uno»</w:t>
      </w:r>
      <w:r>
        <w:t xml:space="preserve"> [original: «χρὴ πονεῖν καὶ κακοπαθεῖν τῷ σώματι μᾶλλον ἢ ἑτέρου δεῖσθαι τοῦ τρέφοντος»]</w:t>
      </w:r>
      <w:r>
        <w:t xml:space="preserve"> (Musonio Rufo, Disertación XI (O. Hense, C. Musonii Rufi reliquiae [Restos de Musonio Rufo], Leipzig, 1905, p. 60))</w:t>
      </w:r>
      <w:r>
        <w:t>, y tuvo por el medio de vida más apropiado para el filósofo el que sale del campo</w:t>
      </w:r>
      <w:r>
        <w:t xml:space="preserve"> [original: «ὁ πόρος ἐκ γεωργίας φαίνεται ὢν τῷ φιλοσόφῳ πρεπωδέστατος»]</w:t>
      </w:r>
      <w:r>
        <w:t xml:space="preserve"> (ídem, p. 63)</w:t>
      </w:r>
      <w:r>
        <w:t>.</w:t>
      </w:r>
    </w:p>
    <w:p>
      <w:r>
        <w:t xml:space="preserve">Con ellos, el pan propio de </w:t>
      </w:r>
      <w:r>
        <w:t>3.1</w:t>
      </w:r>
      <w:r>
        <w:t xml:space="preserve"> queda en ocho textos de seis civilizaciones (Sumeria, Egipto, Grecia, Israel, la India y el islam), a lo largo de unos tres mil quinientos años: de las tablillas de hacia 2600 a. C. a al-Bujari, que vivió entre 810 y 870</w:t>
      </w:r>
      <w:r>
        <w:t xml:space="preserve"> (Biblioteca del Congreso de Estados Unidos, registro de autoridad de al-Bujari)</w:t>
      </w:r>
      <w:r>
        <w:t>. No todos son independientes: el Talmud comenta la Biblia, Musonio heredó a los griegos y el hadiz nombra a David. Pero al menos tres lo escribieron sin haberse leído entre sí: Grecia, Israel y la India (</w:t>
      </w:r>
      <w:r>
        <w:t>3.1</w:t>
      </w:r>
      <w:r>
        <w:t>).</w:t>
      </w:r>
    </w:p>
    <w:p>
      <w:r>
        <w:t>[07.00-1.1 y 1.2; leído hoy en local (g/otros): ETCSL c.5.6.1, Biggs 1974, p. 26, Žába 1956, p. 1 y vv. 300 y 317, Gunn 1906, máxima 20, Hense 1905, pp. 60 y 63, y el registro de autoridad de la Biblioteca del Congreso; informe del 5-oct, g/INFORME_PAN_Y_OTROS.md, grupo 1]</w:t>
      </w:r>
    </w:p>
    <w:p>
      <w:pPr>
        <w:pStyle w:val="Heading2"/>
      </w:pPr>
      <w:r>
        <w:t>F.5 La India</w:t>
      </w:r>
    </w:p>
    <w:p>
      <w:pPr>
        <w:pBdr>
          <w:left w:val="single" w:sz="24" w:space="6" w:color="E2DED6"/>
        </w:pBdr>
        <w:shd w:val="clear" w:color="auto" w:fill="F1EEE8"/>
        <w:spacing w:before="80" w:after="160"/>
        <w:ind w:left="142" w:right="142"/>
      </w:pPr>
      <w:r>
        <w:rPr>
          <w:b/>
        </w:rPr>
        <w:t>La idea: la épica, las leyes y el canon budista dicen que el rey que no protege es un ladrón y que el impuesto se recoge como la fruta madura; su pata coja es un manual para llenar el tesoro.</w:t>
      </w:r>
    </w:p>
    <w:p>
      <w:r>
        <w:t>Fuentes: el canon pali, en SuttaCentral (pali y traducción inglesa de Sujato; la española de Baron cuando existe); el sánscrito, en GRETIL (el Mahabharata en su edición crítica; Manu, el Arthashastra y Vasishtha, en sus ediciones); las traducciones inglesas de Ganguli (Mahabharata), Bühler (Manu y Vasishtha), Shamasastry (Arthashastra), Tatia (Tattvartha Sutra), Cowell (Jatakas), Burlingame (comentario al Dhammapada) y Dhammika (los edictos de Ashoka, leídos en esa versión inglesa y no en el prácrito); y el Guru Granth Sahib, en BaniDB, con las traducciones de Sant Singh Khalsa y Manmohan Singh. Cada cita, comprobada en el original y en la traducción. Nivel A.</w:t>
      </w:r>
    </w:p>
    <w:p>
      <w:pPr>
        <w:pStyle w:val="ListBullet"/>
      </w:pPr>
      <w:r>
        <w:rPr>
          <w:b/>
        </w:rPr>
        <w:t>P1. El gobernante existe para el pueblo.</w:t>
      </w:r>
      <w:r>
        <w:t xml:space="preserve"> </w:t>
      </w:r>
    </w:p>
    <w:p>
      <w:pPr>
        <w:pStyle w:val="ListBullet2"/>
      </w:pPr>
      <w:r>
        <w:t>El primer gobernante lo elige el pueblo para que censure y destierre a quien lo merezca, y le pagan «con una parte del arroz»; se llama «el Elegido del Pueblo» (</w:t>
      </w:r>
      <w:r>
        <w:t>3.2</w:t>
      </w:r>
      <w:r>
        <w:t>), y «rey» porque «regocija a otros con el Dhamma»</w:t>
      </w:r>
      <w:r>
        <w:t xml:space="preserve"> [original: «dhammena pare rañjeti»]</w:t>
      </w:r>
      <w:r>
        <w:t xml:space="preserve"> (Digha Nikaya 27, traducción de Baron)</w:t>
      </w:r>
      <w:r>
        <w:t>.</w:t>
      </w:r>
    </w:p>
    <w:p>
      <w:pPr>
        <w:pStyle w:val="ListBullet2"/>
      </w:pPr>
      <w:r>
        <w:t>«El rey que no protege a sus súbditos es en verdad un ladrón»</w:t>
      </w:r>
      <w:r>
        <w:t xml:space="preserve"> [original: «na rakṣati prajāḥ samyag yaḥ sa pārthivataskaraḥ»; Ganguli: «That king who does not protect his subjects is truly a thief»]</w:t>
      </w:r>
      <w:r>
        <w:t xml:space="preserve"> (Mahabharata 12.137.96)</w:t>
      </w:r>
      <w:r>
        <w:t>.</w:t>
      </w:r>
    </w:p>
    <w:p>
      <w:pPr>
        <w:pStyle w:val="ListBullet2"/>
      </w:pPr>
      <w:r>
        <w:t>El rey que dice a su pueblo que es su protector, y no lo protege o no puede, «debería morir a manos de sus súbditos unidos»</w:t>
      </w:r>
      <w:r>
        <w:t xml:space="preserve"> [original: «That king who tells his people that he is their protector but who does not or is unable to protect them […] should be slain by his combined subjects», en la traducción de Ganguli]</w:t>
      </w:r>
      <w:r>
        <w:t xml:space="preserve"> (Mahabharata 13.60.20)</w:t>
      </w:r>
      <w:r>
        <w:t xml:space="preserve">. </w:t>
      </w:r>
      <w:r>
        <w:rPr>
          <w:b/>
        </w:rPr>
        <w:t>Cautela:</w:t>
      </w:r>
      <w:r>
        <w:t xml:space="preserve"> es una salida violenta. La obra toma el principio, no esa salida: no exime de ninguna obligación (art. 9.1 de la Constitución), y su vía es la constancia escrita (</w:t>
      </w:r>
      <w:r>
        <w:t>capítulo 10</w:t>
      </w:r>
      <w:r>
        <w:t>).</w:t>
      </w:r>
    </w:p>
    <w:p>
      <w:pPr>
        <w:pStyle w:val="ListBullet2"/>
      </w:pPr>
      <w:r>
        <w:t>El rey está bajo la ley, y con más carga: «donde a un hombre común se le multa con un karshapana, al rey se le multa con mil»</w:t>
      </w:r>
      <w:r>
        <w:t xml:space="preserve"> [original: «where another common man would be fined one karshapana, the king shall be fined one thousand», en la traducción de Bühler]</w:t>
      </w:r>
      <w:r>
        <w:t xml:space="preserve"> (Leyes de Manu VIII, 336)</w:t>
      </w:r>
      <w:r>
        <w:t>.</w:t>
      </w:r>
    </w:p>
    <w:p>
      <w:pPr>
        <w:pStyle w:val="ListBullet2"/>
      </w:pPr>
      <w:r>
        <w:t>Guru Nanak: «los reyes son tigres, y sus oficiales, perros»; y en la Corte del Señor, «los que traicionaron la confianza del pueblo quedarán deshonrados»</w:t>
      </w:r>
      <w:r>
        <w:t xml:space="preserve"> [original: «raaje seeh mukadham kute»; en la traducción de Sant Singh Khalsa, «The kings are tigers, and their officials are dogs»; y «those who have violated the people's trust will be disgraced»]</w:t>
      </w:r>
      <w:r>
        <w:t xml:space="preserve"> (Guru Granth Sahib, Ang 1288)</w:t>
      </w:r>
      <w:r>
        <w:t>.</w:t>
      </w:r>
    </w:p>
    <w:p>
      <w:pPr>
        <w:pStyle w:val="ListBullet2"/>
      </w:pPr>
      <w:r>
        <w:t xml:space="preserve">El rey que no protege, «un rey muerto» (Manu VII, 143), en </w:t>
      </w:r>
      <w:r>
        <w:t>3.2</w:t>
      </w:r>
      <w:r>
        <w:t>.</w:t>
      </w:r>
    </w:p>
    <w:p>
      <w:pPr>
        <w:pStyle w:val="ListBullet"/>
      </w:pPr>
      <w:r>
        <w:rPr>
          <w:b/>
        </w:rPr>
        <w:t>P2. Impuestos moderados.</w:t>
      </w:r>
      <w:r>
        <w:t xml:space="preserve"> </w:t>
      </w:r>
    </w:p>
    <w:p>
      <w:pPr>
        <w:pStyle w:val="ListBullet2"/>
      </w:pPr>
      <w:r>
        <w:t>Bajo un rey de impuestos opresores, «sus súbditos, oprimidos por los impuestos, tomaron a sus mujeres y familias y vagaron por el bosque como fieras», y «donde había aldeas ya no quedaba ninguna»; y la estrofa: «de noche somos presa de los ladrones, y de día, de los recaudadores»</w:t>
      </w:r>
      <w:r>
        <w:t xml:space="preserve"> [original: «His subjects being oppressed by taxation took their wives and families and wandered in the forest like wild beasts»; «where once stood villages, there now were none»; «By night to thieves a prey are we, to publicans by day», en la traducción de Francis, en la edición de Cowell]</w:t>
      </w:r>
      <w:r>
        <w:t xml:space="preserve"> (Jataka 520)</w:t>
      </w:r>
      <w:r>
        <w:t xml:space="preserve">. </w:t>
      </w:r>
      <w:r>
        <w:rPr>
          <w:b/>
        </w:rPr>
        <w:t>Cautela:</w:t>
      </w:r>
      <w:r>
        <w:t xml:space="preserve"> la prosa es un comentario más tardío que la estrofa.</w:t>
      </w:r>
    </w:p>
    <w:p>
      <w:pPr>
        <w:pStyle w:val="ListBullet2"/>
      </w:pPr>
      <w:r>
        <w:t>El impuesto se recoge como la fruta, cuando madura: «así se recogerán los ingresos cada vez que maduren […], para que no se dañe su fuente»</w:t>
      </w:r>
      <w:r>
        <w:t xml:space="preserve"> [original: «so revenue shall be collected as often as it becomes ripe […] lest their source may be injured», en la traducción de Shamasastry]</w:t>
      </w:r>
      <w:r>
        <w:t xml:space="preserve"> (Arthashastra 5.2.70)</w:t>
      </w:r>
      <w:r>
        <w:t>. Es del mismo capítulo que su pata coja.</w:t>
      </w:r>
    </w:p>
    <w:p>
      <w:pPr>
        <w:pStyle w:val="ListBullet2"/>
      </w:pPr>
      <w:r>
        <w:t xml:space="preserve">El florista y el carbonero (Mahabharata 12.72), el Kutadanta Sutta y la abeja de Manu, en </w:t>
      </w:r>
      <w:r>
        <w:t>3.2</w:t>
      </w:r>
      <w:r>
        <w:t>.</w:t>
      </w:r>
    </w:p>
    <w:p>
      <w:pPr>
        <w:pStyle w:val="ListBullet"/>
      </w:pPr>
      <w:r>
        <w:rPr>
          <w:b/>
        </w:rPr>
        <w:t>P3. No quitar al pueblo su tiempo.</w:t>
      </w:r>
      <w:r>
        <w:t xml:space="preserve"> </w:t>
      </w:r>
    </w:p>
    <w:p>
      <w:pPr>
        <w:pStyle w:val="ListBullet2"/>
      </w:pPr>
      <w:r>
        <w:t>Hay que proteger la agricultura «del acoso de las multas opresivas, del trabajo forzado y de los impuestos»</w:t>
      </w:r>
      <w:r>
        <w:t xml:space="preserve"> [original: «from the molestation of oppressive fines, free labour, and taxes», en la traducción de Shamasastry]</w:t>
      </w:r>
      <w:r>
        <w:t xml:space="preserve"> (Arthashastra 2.1)</w:t>
      </w:r>
      <w:r>
        <w:t xml:space="preserve">. </w:t>
      </w:r>
      <w:r>
        <w:rPr>
          <w:b/>
        </w:rPr>
        <w:t>Cautela:</w:t>
      </w:r>
      <w:r>
        <w:t xml:space="preserve"> el motivo que da el texto es fiscal.</w:t>
      </w:r>
    </w:p>
    <w:p>
      <w:pPr>
        <w:pStyle w:val="ListBullet2"/>
      </w:pPr>
      <w:r>
        <w:t>En el jainismo, «sobrecargar» a personas y bestias es una falta contra el voto de no violencia</w:t>
      </w:r>
      <w:r>
        <w:t xml:space="preserve"> [original: «overloading», en la traducción de Tatia]</w:t>
      </w:r>
      <w:r>
        <w:t xml:space="preserve"> (Tattvartha Sutra 7.20)</w:t>
      </w:r>
      <w:r>
        <w:t>. Respalda P3 de lejos.</w:t>
      </w:r>
    </w:p>
    <w:p>
      <w:pPr>
        <w:pStyle w:val="ListBullet2"/>
      </w:pPr>
      <w:r>
        <w:t xml:space="preserve">El descanso del trabajador (Digha Nikaya 31) y el día al mes de Manu, en </w:t>
      </w:r>
      <w:r>
        <w:t>3.2</w:t>
      </w:r>
      <w:r>
        <w:t>.</w:t>
      </w:r>
    </w:p>
    <w:p>
      <w:pPr>
        <w:pStyle w:val="ListBullet"/>
      </w:pPr>
      <w:r>
        <w:rPr>
          <w:b/>
        </w:rPr>
        <w:t>P4. Pesas y medidas justas.</w:t>
      </w:r>
      <w:r>
        <w:t xml:space="preserve"> </w:t>
      </w:r>
    </w:p>
    <w:p>
      <w:pPr>
        <w:pStyle w:val="ListBullet2"/>
      </w:pPr>
      <w:r>
        <w:t>«Falsear el peso de lo que se compra o vende» es una falta contra el voto de no robar</w:t>
      </w:r>
      <w:r>
        <w:t xml:space="preserve"> [original: «misrepresenting the weight of goods one is buying or selling», en la traducción de Tatia]</w:t>
      </w:r>
      <w:r>
        <w:t xml:space="preserve"> (Tattvartha Sutra 7.22)</w:t>
      </w:r>
      <w:r>
        <w:t>.</w:t>
      </w:r>
    </w:p>
    <w:p>
      <w:pPr>
        <w:pStyle w:val="ListBullet2"/>
      </w:pPr>
      <w:r>
        <w:t>Kabir: «no miden con la cinta completa y cobran grandes sobornos»</w:t>
      </w:r>
      <w:r>
        <w:t xml:space="preserve"> [original: «They do not measure with a full tape, and they take huge amounts in bribes», en la traducción de BaniDB]</w:t>
      </w:r>
      <w:r>
        <w:t xml:space="preserve"> (Guru Granth Sahib, Ang 793)</w:t>
      </w:r>
      <w:r>
        <w:t xml:space="preserve">. </w:t>
      </w:r>
      <w:r>
        <w:rPr>
          <w:b/>
        </w:rPr>
        <w:t>Cautela:</w:t>
      </w:r>
      <w:r>
        <w:t xml:space="preserve"> es una alegoría.</w:t>
      </w:r>
    </w:p>
    <w:p>
      <w:pPr>
        <w:pStyle w:val="ListBullet2"/>
      </w:pPr>
      <w:r>
        <w:t xml:space="preserve">El asceta Gotama y las pesas (Digha Nikaya 1) y la revisión de Manu cada seis meses, en </w:t>
      </w:r>
      <w:r>
        <w:t>3.2</w:t>
      </w:r>
      <w:r>
        <w:t>.</w:t>
      </w:r>
    </w:p>
    <w:p>
      <w:pPr>
        <w:pStyle w:val="ListBullet"/>
      </w:pPr>
      <w:r>
        <w:rPr>
          <w:b/>
        </w:rPr>
        <w:t>P5. Devolver lo confiado.</w:t>
      </w:r>
      <w:r>
        <w:t xml:space="preserve"> </w:t>
      </w:r>
    </w:p>
    <w:p>
      <w:pPr>
        <w:pStyle w:val="ListBullet2"/>
      </w:pPr>
      <w:r>
        <w:t>El depositario que no devuelve el depósito, además de devolverlo, queda sujeto «a la pena del robo»</w:t>
      </w:r>
      <w:r>
        <w:t xml:space="preserve"> [original: «to the punishment for theft», en la traducción de Shamasastry]</w:t>
      </w:r>
      <w:r>
        <w:t xml:space="preserve"> (Arthashastra 3.12)</w:t>
      </w:r>
      <w:r>
        <w:t>.</w:t>
      </w:r>
    </w:p>
    <w:p>
      <w:pPr>
        <w:pStyle w:val="ListBullet2"/>
      </w:pPr>
      <w:r>
        <w:t>Quien, al reclamarle la deuda, huye diciendo «¡no te debo nada!» es un paria</w:t>
      </w:r>
      <w:r>
        <w:t xml:space="preserve"> [original: «I don't owe you anything!», en la traducción de Sujato]</w:t>
      </w:r>
      <w:r>
        <w:t xml:space="preserve"> (Sutta Nipata 1.7:8)</w:t>
      </w:r>
      <w:r>
        <w:t>.</w:t>
      </w:r>
    </w:p>
    <w:p>
      <w:pPr>
        <w:pStyle w:val="ListBullet2"/>
      </w:pPr>
      <w:r>
        <w:t xml:space="preserve">Manu VIII, 180, y el Tattvartha Sutra 7.21, en </w:t>
      </w:r>
      <w:r>
        <w:t>3.2</w:t>
      </w:r>
      <w:r>
        <w:t>.</w:t>
      </w:r>
    </w:p>
    <w:p>
      <w:pPr>
        <w:pStyle w:val="ListBullet"/>
      </w:pPr>
      <w:r>
        <w:rPr>
          <w:b/>
        </w:rPr>
        <w:t>P6. Contra la usura; perdonar las deudas.</w:t>
      </w:r>
      <w:r>
        <w:t xml:space="preserve"> Manu, Vasishtha 2.42 y el Anguttara Nikaya, en </w:t>
      </w:r>
      <w:r>
        <w:t>3.3</w:t>
      </w:r>
      <w:r>
        <w:t>. Y «la muerte del rey detendrá el interés del dinero prestado»</w:t>
      </w:r>
      <w:r>
        <w:t xml:space="preserve"> [original: «the king's death shall stop the interest on money (lent)», en la traducción de Bühler]</w:t>
      </w:r>
      <w:r>
        <w:t xml:space="preserve"> (Vasishtha 2.49)</w:t>
      </w:r>
      <w:r>
        <w:t>: es lo más parecido a una remisión que hay en estos textos. {completo} En 2.48, el mismo texto fija tipos de interés según la casta; no se usa.</w:t>
      </w:r>
    </w:p>
    <w:p>
      <w:pPr>
        <w:pStyle w:val="ListBullet"/>
      </w:pPr>
      <w:r>
        <w:rPr>
          <w:b/>
        </w:rPr>
        <w:t>P7. Cada uno responde de lo suyo; examinar antes de castigar.</w:t>
      </w:r>
      <w:r>
        <w:t xml:space="preserve"> </w:t>
      </w:r>
    </w:p>
    <w:p>
      <w:pPr>
        <w:pStyle w:val="ListBullet2"/>
      </w:pPr>
      <w:r>
        <w:t>«Al matar a un solo ladrón, mueren con él su mujer, su madre, su padre y sus hijos»</w:t>
      </w:r>
      <w:r>
        <w:t xml:space="preserve"> [original: «by slaying a single robber, his wife, mother, father and children are all slain», en la traducción de Ganguli]</w:t>
      </w:r>
      <w:r>
        <w:t xml:space="preserve"> (Mahabharata 12.259.9-10)</w:t>
      </w:r>
      <w:r>
        <w:t>: por eso el rey debe reflexionar a fondo antes de castigar.</w:t>
      </w:r>
    </w:p>
    <w:p>
      <w:pPr>
        <w:pStyle w:val="ListBullet2"/>
      </w:pPr>
      <w:r>
        <w:t>Antes de castigar hay que averiguar el motivo, el tiempo y el lugar</w:t>
      </w:r>
      <w:r>
        <w:t xml:space="preserve"> (Leyes de Manu VIII, 126)</w:t>
      </w:r>
      <w:r>
        <w:t>; y si se castiga a un inocente, el rey ayuna tres días</w:t>
      </w:r>
      <w:r>
        <w:t xml:space="preserve"> [original: «if an innocent man is punished», en la traducción de Bühler]</w:t>
      </w:r>
      <w:r>
        <w:t xml:space="preserve"> (Vasishtha 19.42-43)</w:t>
      </w:r>
      <w:r>
        <w:t>.</w:t>
      </w:r>
    </w:p>
    <w:p>
      <w:pPr>
        <w:pStyle w:val="ListBullet2"/>
      </w:pPr>
      <w:r>
        <w:t>Ashoka: «aun cumpliendo la ley, algunos son encarcelados, maltratados e incluso muertos sin causa»</w:t>
      </w:r>
      <w:r>
        <w:t xml:space="preserve"> [original: «while being completely law-abiding, some people are imprisoned, treated harshly and even killed without cause», en la versión de Dhammika]</w:t>
      </w:r>
      <w:r>
        <w:t xml:space="preserve"> (Ashoka, edicto separado de Kalinga I)</w:t>
      </w:r>
      <w:r>
        <w:t>; y pide «igualdad en la ley y en las penas»</w:t>
      </w:r>
      <w:r>
        <w:t xml:space="preserve"> [original: «uniformity in law and uniformity in sentencing», en la versión de Dhammika]</w:t>
      </w:r>
      <w:r>
        <w:t xml:space="preserve"> (Ashoka, edicto de la columna IV)</w:t>
      </w:r>
      <w:r>
        <w:t>.</w:t>
      </w:r>
    </w:p>
    <w:p>
      <w:pPr>
        <w:pStyle w:val="ListBullet2"/>
      </w:pPr>
      <w:r>
        <w:t xml:space="preserve">El castigo sin la debida consideración lo destruye todo (Manu VII, 19), en </w:t>
      </w:r>
      <w:r>
        <w:t>3.2</w:t>
      </w:r>
      <w:r>
        <w:t>.</w:t>
      </w:r>
    </w:p>
    <w:p>
      <w:pPr>
        <w:pStyle w:val="ListBullet"/>
      </w:pPr>
      <w:r>
        <w:rPr>
          <w:b/>
        </w:rPr>
        <w:t>P8. El castigo no es un negocio; contra el soborno.</w:t>
      </w:r>
      <w:r>
        <w:t xml:space="preserve"> </w:t>
      </w:r>
    </w:p>
    <w:p>
      <w:pPr>
        <w:pStyle w:val="ListBullet2"/>
      </w:pPr>
      <w:r>
        <w:t>Donde el rey se abstiene de tomar los bienes del culpable (</w:t>
      </w:r>
      <w:r>
        <w:t>3.2</w:t>
      </w:r>
      <w:r>
        <w:t>), los hombres viven largo tiempo</w:t>
      </w:r>
      <w:r>
        <w:t xml:space="preserve"> (Leyes de Manu IX, 246)</w:t>
      </w:r>
      <w:r>
        <w:t>.</w:t>
      </w:r>
    </w:p>
    <w:p>
      <w:pPr>
        <w:pStyle w:val="ListBullet2"/>
      </w:pPr>
      <w:r>
        <w:t>«No eres justo por juzgar con precipitación»</w:t>
      </w:r>
      <w:r>
        <w:t xml:space="preserve"> [original: «You don't become just by passing hasty judgment», en la traducción de Sujato]</w:t>
      </w:r>
      <w:r>
        <w:t xml:space="preserve"> (Dhammapada 256-257)</w:t>
      </w:r>
      <w:r>
        <w:t>; según el comentario, los versos nacen al ver a unos «señores de la justicia que aceptaban sobornos»</w:t>
      </w:r>
      <w:r>
        <w:t xml:space="preserve"> [original: «lords of justice taking bribes», en la traducción de Burlingame]</w:t>
      </w:r>
      <w:r>
        <w:t xml:space="preserve"> (comentario al Dhammapada)</w:t>
      </w:r>
      <w:r>
        <w:t>.</w:t>
      </w:r>
    </w:p>
    <w:p>
      <w:pPr>
        <w:pStyle w:val="ListBullet2"/>
      </w:pPr>
      <w:r>
        <w:t>Guru Nanak: «se hacen jueces y se sientan a impartir justicia […]; aceptan sobornos y niegan el derecho»</w:t>
      </w:r>
      <w:r>
        <w:t xml:space="preserve"> [original: «Becoming judges, they sit and administer justice […] They accept bribes, and block justice», en la traducción de BaniDB]</w:t>
      </w:r>
      <w:r>
        <w:t xml:space="preserve"> (Guru Granth Sahib, Ang 951)</w:t>
      </w:r>
      <w:r>
        <w:t>.</w:t>
      </w:r>
    </w:p>
    <w:p>
      <w:pPr>
        <w:pStyle w:val="ListBullet2"/>
      </w:pPr>
      <w:r>
        <w:t xml:space="preserve">El Kutadanta Sutta, en </w:t>
      </w:r>
      <w:r>
        <w:t>3.2</w:t>
      </w:r>
      <w:r>
        <w:t xml:space="preserve">; la multa que se arroja al agua o se da a un brahmán (Manu IX, 244), en </w:t>
      </w:r>
      <w:r>
        <w:t>3.4</w:t>
      </w:r>
      <w:r>
        <w:t>.</w:t>
      </w:r>
    </w:p>
    <w:p>
      <w:pPr>
        <w:pStyle w:val="ListBullet"/>
      </w:pPr>
      <w:r>
        <w:rPr>
          <w:b/>
        </w:rPr>
        <w:t>P9. Más leyes, más pobreza.</w:t>
      </w:r>
      <w:r>
        <w:t xml:space="preserve"> Ningún texto indio lo dice directamente; lo que sigue es lectura. </w:t>
      </w:r>
    </w:p>
    <w:p>
      <w:pPr>
        <w:pStyle w:val="ListBullet2"/>
      </w:pPr>
      <w:r>
        <w:t>«Cuando los seres decaen y la verdadera enseñanza desaparece, hay más reglas»</w:t>
      </w:r>
      <w:r>
        <w:t xml:space="preserve"> [original: «when sentient beings are in decline and the true teaching is disappearing there are more training rules», en la traducción de Sujato]</w:t>
      </w:r>
      <w:r>
        <w:t xml:space="preserve"> (Majjhima Nikaya 65)</w:t>
      </w:r>
      <w:r>
        <w:t xml:space="preserve">. </w:t>
      </w:r>
      <w:r>
        <w:rPr>
          <w:b/>
        </w:rPr>
        <w:t>Cautela:</w:t>
      </w:r>
      <w:r>
        <w:t xml:space="preserve"> habla de las reglas de los monjes, no de las leyes civiles.</w:t>
      </w:r>
    </w:p>
    <w:p>
      <w:pPr>
        <w:pStyle w:val="ListBullet2"/>
      </w:pPr>
      <w:r>
        <w:t>Mientras los vajjis «no dicten decretos nuevos ni deroguen los existentes» y sigan sus antiguos principios, prosperarán</w:t>
      </w:r>
      <w:r>
        <w:t xml:space="preserve"> [original: «don't make new decrees or abolish existing decrees», en la traducción de Sujato]</w:t>
      </w:r>
      <w:r>
        <w:t xml:space="preserve"> (Digha Nikaya 16)</w:t>
      </w:r>
      <w:r>
        <w:t>.</w:t>
      </w:r>
    </w:p>
    <w:p>
      <w:pPr>
        <w:pStyle w:val="ListBullet2"/>
      </w:pPr>
      <w:r>
        <w:t xml:space="preserve">Al principio no había rey ni castigo (Mahabharata 12.59.14), en </w:t>
      </w:r>
      <w:r>
        <w:t>3.2</w:t>
      </w:r>
      <w:r>
        <w:t>.</w:t>
      </w:r>
    </w:p>
    <w:p>
      <w:pPr>
        <w:pStyle w:val="ListBullet"/>
      </w:pPr>
      <w:r>
        <w:rPr>
          <w:b/>
        </w:rPr>
        <w:t>La pata coja</w:t>
      </w:r>
      <w:r>
        <w:t xml:space="preserve"> (comprobada). </w:t>
      </w:r>
    </w:p>
    <w:p>
      <w:pPr>
        <w:pStyle w:val="ListBullet2"/>
      </w:pPr>
      <w:r>
        <w:t>El Arthashastra enseña a llenar el tesoro con falsos pretextos y con depósitos robados (</w:t>
      </w:r>
      <w:r>
        <w:t>3.2</w:t>
      </w:r>
      <w:r>
        <w:t>), pero el propio texto lo limita: son medidas «solo contra los sediciosos y los malvados», y hay que hacerlas «una sola vez y nunca dos»</w:t>
      </w:r>
      <w:r>
        <w:t xml:space="preserve"> [original: «only against the seditious and the wicked»; «only once and never twice», en la traducción de Shamasastry]</w:t>
      </w:r>
      <w:r>
        <w:t xml:space="preserve"> (Arthashastra 5.2)</w:t>
      </w:r>
      <w:r>
        <w:t>.</w:t>
      </w:r>
    </w:p>
    <w:p>
      <w:pPr>
        <w:pStyle w:val="ListBullet2"/>
      </w:pPr>
      <w:r>
        <w:t>Contra P7: «estas son las dieciocho clases de tortura»</w:t>
      </w:r>
      <w:r>
        <w:t xml:space="preserve"> [original: «These are the 18 kinds of torture», en la traducción de Shamasastry]</w:t>
      </w:r>
      <w:r>
        <w:t xml:space="preserve"> (Arthashastra 4.8)</w:t>
      </w:r>
      <w:r>
        <w:t>; pero el mismo capítulo pide «pruebas concluyentes»</w:t>
      </w:r>
      <w:r>
        <w:t xml:space="preserve"> [original: «conclusive evidences»]</w:t>
      </w:r>
      <w:r>
        <w:t>, y quien acusa a un inocente sufre la pena del robo.</w:t>
      </w:r>
    </w:p>
    <w:p>
      <w:pPr>
        <w:pStyle w:val="ListBullet2"/>
      </w:pPr>
      <w:r>
        <w:t xml:space="preserve">Subir la carga poco a poco y dividir al pueblo (Mahabharata 12.89), en </w:t>
      </w:r>
      <w:r>
        <w:t>3.2</w:t>
      </w:r>
      <w:r>
        <w:t>. {completo} La imagen del ratón que muerde sin que se note es un añadido que la edición crítica deja fuera (12.89.5d*0212); la subida gradual y la división sí están en el texto.</w:t>
      </w:r>
    </w:p>
    <w:p>
      <w:pPr>
        <w:pStyle w:val="ListBullet2"/>
      </w:pPr>
      <w:r>
        <w:t xml:space="preserve">El rey, «una gran deidad» (Manu VII, 8), en </w:t>
      </w:r>
      <w:r>
        <w:t>3.2</w:t>
      </w:r>
      <w:r>
        <w:t xml:space="preserve">; la exención de los sabios de los Vedas (Manu VII, 133), en </w:t>
      </w:r>
      <w:r>
        <w:t>3.4</w:t>
      </w:r>
      <w:r>
        <w:t>; y el tesoro se llena «tomando de todos menos de los brahmanes»</w:t>
      </w:r>
      <w:r>
        <w:t xml:space="preserve"> [original: «taking wealth from all except Brahmanas», en la traducción de Ganguli]</w:t>
      </w:r>
      <w:r>
        <w:t xml:space="preserve"> (Mahabharata 12.72.21)</w:t>
      </w:r>
      <w:r>
        <w:t>.</w:t>
      </w:r>
    </w:p>
    <w:p>
      <w:r>
        <w:t>[archivo del Arca, bloque de la India, verificado por Claude el 5-oct, nivel A]</w:t>
      </w:r>
    </w:p>
    <w:p>
      <w:pPr>
        <w:pStyle w:val="Heading2"/>
      </w:pPr>
      <w:r>
        <w:t>F.6 África, América y Oceanía</w:t>
      </w:r>
    </w:p>
    <w:p>
      <w:pPr>
        <w:pBdr>
          <w:left w:val="single" w:sz="24" w:space="6" w:color="E2DED6"/>
        </w:pBdr>
        <w:shd w:val="clear" w:color="auto" w:fill="F1EEE8"/>
        <w:spacing w:before="80" w:after="160"/>
        <w:ind w:left="142" w:right="142"/>
      </w:pPr>
      <w:r>
        <w:rPr>
          <w:b/>
        </w:rPr>
        <w:t>La idea: hawaianos, basutos, yorubas, iroqueses, ashanti, mexicas, incas y etíopes contaban de sí mismos que el jefe debe sostener al pueblo, y también dejaron escrita su pata coja.</w:t>
      </w:r>
    </w:p>
    <w:p>
      <w:r>
        <w:rPr>
          <w:b/>
        </w:rPr>
        <w:t>Con cautela.</w:t>
      </w:r>
      <w:r>
        <w:t xml:space="preserve"> Casi ninguna de estas fuentes es un texto indígena «puro»: Malo, Garcilaso y Johnson son autores nativos o mestizos formados en el cristianismo; Sahagún, Cortés, Casalis y Rattray, observadores europeos; la Kebra Nagast reformula la Torá; y Garcilaso escribe para defender a los incas, e idealiza. Valen como constancia de lo que esas tradiciones contaban de sí mismas.</w:t>
      </w:r>
    </w:p>
    <w:p>
      <w:r>
        <w:t xml:space="preserve">Fuentes (archive.org; cada cita comprobada, y todas coinciden, salvo erratas del reconocimiento de texto): David Malo, </w:t>
      </w:r>
      <w:r>
        <w:rPr>
          <w:i/>
        </w:rPr>
        <w:t>Hawaiian Antiquities</w:t>
      </w:r>
      <w:r>
        <w:t xml:space="preserve"> (Antigüedades hawaianas), trad. de N. B. Emerson, Honolulu, 1903; Samuel Johnson, </w:t>
      </w:r>
      <w:r>
        <w:rPr>
          <w:i/>
        </w:rPr>
        <w:t>The History of the Yorubas</w:t>
      </w:r>
      <w:r>
        <w:t xml:space="preserve"> (Historia de los yorubas), 1921; A. C. Parker, </w:t>
      </w:r>
      <w:r>
        <w:rPr>
          <w:i/>
        </w:rPr>
        <w:t>The Constitution of the Five Nations</w:t>
      </w:r>
      <w:r>
        <w:t xml:space="preserve"> (La Constitución de las Cinco Naciones, la Gran Ley iroquesa), Albany, 1916; el Inca Garcilaso, </w:t>
      </w:r>
      <w:r>
        <w:rPr>
          <w:i/>
        </w:rPr>
        <w:t>Comentarios reales</w:t>
      </w:r>
      <w:r>
        <w:t xml:space="preserve">, ed. Urteaga, Lima, 1918; Sahagún, </w:t>
      </w:r>
      <w:r>
        <w:rPr>
          <w:i/>
        </w:rPr>
        <w:t>Historia general de las cosas de Nueva España</w:t>
      </w:r>
      <w:r>
        <w:t xml:space="preserve">, ed. Bustamante, México, 1829; Hernán Cortés, </w:t>
      </w:r>
      <w:r>
        <w:rPr>
          <w:i/>
        </w:rPr>
        <w:t>Cartas y relaciones</w:t>
      </w:r>
      <w:r>
        <w:t xml:space="preserve">, ed. Gayangos, París, 1866; la </w:t>
      </w:r>
      <w:r>
        <w:rPr>
          <w:i/>
        </w:rPr>
        <w:t>Kebra Nagast</w:t>
      </w:r>
      <w:r>
        <w:t xml:space="preserve">, trad. de Budge, 1922; R. S. Rattray, </w:t>
      </w:r>
      <w:r>
        <w:rPr>
          <w:i/>
        </w:rPr>
        <w:t>Ashanti Law and Constitution</w:t>
      </w:r>
      <w:r>
        <w:t xml:space="preserve"> (Derecho y constitución ashanti), 1929; E. Casalis, </w:t>
      </w:r>
      <w:r>
        <w:rPr>
          <w:i/>
        </w:rPr>
        <w:t>The Basutos</w:t>
      </w:r>
      <w:r>
        <w:t xml:space="preserve"> (Los basutos), 1861. Las traducciones de los textos ingleses son de esta edición, con el inglés al lado. Nivel A.</w:t>
      </w:r>
    </w:p>
    <w:p>
      <w:pPr>
        <w:pStyle w:val="ListBullet"/>
      </w:pPr>
      <w:r>
        <w:rPr>
          <w:b/>
        </w:rPr>
        <w:t>P1. El gobernante existe para el pueblo.</w:t>
      </w:r>
      <w:r>
        <w:t xml:space="preserve"> </w:t>
      </w:r>
    </w:p>
    <w:p>
      <w:pPr>
        <w:pStyle w:val="ListBullet2"/>
      </w:pPr>
      <w:r>
        <w:rPr>
          <w:b/>
        </w:rPr>
        <w:t>Hawái:</w:t>
      </w:r>
      <w:r>
        <w:t xml:space="preserve"> el rey era el ejecutivo supremo, «pero solo mientras obrase con rectitud»</w:t>
      </w:r>
      <w:r>
        <w:t xml:space="preserve"> [original: «so long, however, as he did right»]</w:t>
      </w:r>
      <w:r>
        <w:t xml:space="preserve"> (Malo, Antigüedades hawaianas XVIII, 3)</w:t>
      </w:r>
      <w:r>
        <w:t>; y «antiguamente el pueblo hacía la guerra a los malos reyes»</w:t>
      </w:r>
      <w:r>
        <w:t xml:space="preserve"> [original: «The people made war against bad kings in old times»]</w:t>
      </w:r>
      <w:r>
        <w:t xml:space="preserve"> (Malo, Antigüedades hawaianas XVIII, 45)</w:t>
      </w:r>
      <w:r>
        <w:t xml:space="preserve">. El deber del rey con el pueblo llano (XXXVIII, 67), en </w:t>
      </w:r>
      <w:r>
        <w:t>3.2</w:t>
      </w:r>
      <w:r>
        <w:t>.</w:t>
      </w:r>
    </w:p>
    <w:p>
      <w:pPr>
        <w:pStyle w:val="ListBullet2"/>
      </w:pPr>
      <w:r>
        <w:rPr>
          <w:b/>
        </w:rPr>
        <w:t>Los basutos:</w:t>
      </w:r>
      <w:r>
        <w:t xml:space="preserve"> «los soberanos, en vez de ser sostenidos por la comunidad, son su principal sostén»</w:t>
      </w:r>
      <w:r>
        <w:t xml:space="preserve"> [original: «the sovereigns, instead of being supported by the community, are the chief supporters of it»]</w:t>
      </w:r>
      <w:r>
        <w:t xml:space="preserve"> (Casalis, Los basutos, p. 155)</w:t>
      </w:r>
      <w:r>
        <w:t>, y deben, con sus rebaños, «alimentar a los pobres»</w:t>
      </w:r>
      <w:r>
        <w:t xml:space="preserve"> [original: «feed the poor»]</w:t>
      </w:r>
      <w:r>
        <w:t xml:space="preserve"> (Casalis, Los basutos, p. 216)</w:t>
      </w:r>
      <w:r>
        <w:t>.</w:t>
      </w:r>
    </w:p>
    <w:p>
      <w:pPr>
        <w:pStyle w:val="ListBullet2"/>
      </w:pPr>
      <w:r>
        <w:rPr>
          <w:b/>
        </w:rPr>
        <w:t>Los yorubas de Oyó:</w:t>
      </w:r>
      <w:r>
        <w:t xml:space="preserve"> el poder del rey «debe ejercerse dentro del límite de la constitución no escrita»</w:t>
      </w:r>
      <w:r>
        <w:t xml:space="preserve"> [original: «must be exercised within the limit of the unwritten constitution»]</w:t>
      </w:r>
      <w:r>
        <w:t>, y si es tiránico, el Basorun, «como portavoz del pueblo», propone su rechazo</w:t>
      </w:r>
      <w:r>
        <w:t xml:space="preserve"> [original: «as the mouth-piece of the people»]</w:t>
      </w:r>
      <w:r>
        <w:t xml:space="preserve"> (Johnson, Historia de los yorubas, p. 70)</w:t>
      </w:r>
      <w:r>
        <w:t>.</w:t>
      </w:r>
    </w:p>
    <w:p>
      <w:pPr>
        <w:pStyle w:val="ListBullet2"/>
      </w:pPr>
      <w:r>
        <w:rPr>
          <w:b/>
        </w:rPr>
        <w:t>Los iroqueses:</w:t>
      </w:r>
      <w:r>
        <w:t xml:space="preserve"> «esta sarta de wampum da al pueblo el derecho de corregir a sus señores extraviados»</w:t>
      </w:r>
      <w:r>
        <w:t xml:space="preserve"> [original: «This string of wampum vests the people with the right to correct their erring Lords»]</w:t>
      </w:r>
      <w:r>
        <w:t xml:space="preserve"> (Gran Ley de la Paz, art. 59)</w:t>
      </w:r>
      <w:r>
        <w:t>. El señor que no mira por el pueblo pierde su título (art. 19), en 3.2. La fecha de la Gran Ley se discute y su texto escrito es reciente: la versión que se cita es de 1916 (</w:t>
      </w:r>
      <w:r>
        <w:t>3.2</w:t>
      </w:r>
      <w:r>
        <w:t>, P1).</w:t>
      </w:r>
    </w:p>
    <w:p>
      <w:pPr>
        <w:pStyle w:val="ListBullet2"/>
      </w:pPr>
      <w:r>
        <w:rPr>
          <w:b/>
        </w:rPr>
        <w:t>Los ashanti:</w:t>
      </w:r>
      <w:r>
        <w:t xml:space="preserve"> entre las amonestaciones al jefe entronizado está «no queremos codicia»</w:t>
      </w:r>
      <w:r>
        <w:t xml:space="preserve"> [original: «We do not wish greediness»]</w:t>
      </w:r>
      <w:r>
        <w:t>, y no aceptar el consejo de los suyos «era causa legítima de destronamiento»</w:t>
      </w:r>
      <w:r>
        <w:t xml:space="preserve"> [original: «was a legitimate cause for destoolment»]</w:t>
      </w:r>
      <w:r>
        <w:t xml:space="preserve"> (Rattray, Derecho y constitución ashanti, p. 82)</w:t>
      </w:r>
      <w:r>
        <w:t>.</w:t>
      </w:r>
    </w:p>
    <w:p>
      <w:pPr>
        <w:pStyle w:val="ListBullet2"/>
      </w:pPr>
      <w:r>
        <w:rPr>
          <w:b/>
        </w:rPr>
        <w:t>Los mexicas:</w:t>
      </w:r>
      <w:r>
        <w:t xml:space="preserve"> el señor es nombrado «padre y madre de este reino», y ha de sustentar al pueblo «como á niños que están en la cuna»</w:t>
      </w:r>
      <w:r>
        <w:t xml:space="preserve"> (Sahagún, Historia general VI, cap. X)</w:t>
      </w:r>
      <w:r>
        <w:t>.</w:t>
      </w:r>
    </w:p>
    <w:p>
      <w:pPr>
        <w:pStyle w:val="ListBullet2"/>
      </w:pPr>
      <w:r>
        <w:rPr>
          <w:b/>
        </w:rPr>
        <w:t>Cautela:</w:t>
      </w:r>
      <w:r>
        <w:t xml:space="preserve"> en Oyó y en la Gran Ley el remedio era violento (el veneno, la muerte a mazazos). La obra toma el principio, no esa salida (</w:t>
      </w:r>
      <w:r>
        <w:t>F.5</w:t>
      </w:r>
      <w:r>
        <w:t>).</w:t>
      </w:r>
    </w:p>
    <w:p>
      <w:pPr>
        <w:pStyle w:val="ListBullet"/>
      </w:pPr>
      <w:r>
        <w:rPr>
          <w:b/>
        </w:rPr>
        <w:t>P2. Impuestos moderados.</w:t>
      </w:r>
      <w:r>
        <w:t xml:space="preserve"> </w:t>
      </w:r>
    </w:p>
    <w:p>
      <w:pPr>
        <w:pStyle w:val="ListBullet2"/>
      </w:pPr>
      <w:r>
        <w:rPr>
          <w:b/>
        </w:rPr>
        <w:t>Los incas:</w:t>
      </w:r>
      <w:r>
        <w:t xml:space="preserve"> sus tributos «eran tan moderados» (</w:t>
      </w:r>
      <w:r>
        <w:t>3.2</w:t>
      </w:r>
      <w:r>
        <w:t>) que «parece que no recebían pechos ni tributos de sus vasallos, o los imponían para el provecho de los mismos vasallos», y se pagaban «solamente […] con su trabajo»</w:t>
      </w:r>
      <w:r>
        <w:t xml:space="preserve"> (Garcilaso, Comentarios reales V, cap. XV)</w:t>
      </w:r>
      <w:r>
        <w:t>; y «no era justo pedir a los vasallos lo que no tenían de cosecha»</w:t>
      </w:r>
      <w:r>
        <w:t xml:space="preserve"> (Garcilaso, Comentarios reales V, cap. VI)</w:t>
      </w:r>
      <w:r>
        <w:t xml:space="preserve">. </w:t>
      </w:r>
      <w:r>
        <w:rPr>
          <w:b/>
        </w:rPr>
        <w:t>Cautela:</w:t>
      </w:r>
      <w:r>
        <w:t xml:space="preserve"> Garcilaso idealiza.</w:t>
      </w:r>
    </w:p>
    <w:p>
      <w:pPr>
        <w:pStyle w:val="ListBullet2"/>
      </w:pPr>
      <w:r>
        <w:rPr>
          <w:b/>
        </w:rPr>
        <w:t>Hawái:</w:t>
      </w:r>
      <w:r>
        <w:t xml:space="preserve"> el rey prudente acampa junto al camino y come la comida que trae, sin ordenar a los distritos que le den de comer</w:t>
      </w:r>
      <w:r>
        <w:t xml:space="preserve"> [original: «issue any orders to the districts for food»]</w:t>
      </w:r>
      <w:r>
        <w:t xml:space="preserve"> (Malo XXXVIII, 52)</w:t>
      </w:r>
      <w:r>
        <w:t>; y varios reyes perdieron la vida «por sus crueles exacciones sobre el pueblo llano»</w:t>
      </w:r>
      <w:r>
        <w:t xml:space="preserve"> [original: «on account of their cruel exactions on the commoners»]</w:t>
      </w:r>
      <w:r>
        <w:t xml:space="preserve"> (Malo XXXVIII, 68)</w:t>
      </w:r>
      <w:r>
        <w:t>.</w:t>
      </w:r>
    </w:p>
    <w:p>
      <w:pPr>
        <w:pStyle w:val="ListBullet2"/>
      </w:pPr>
      <w:r>
        <w:t>«Mirad que no gastéis con profanidad los sudores y trabajos de vuestros vasallos» (Sahagún VI, cap. X), en 3.2.</w:t>
      </w:r>
    </w:p>
    <w:p>
      <w:pPr>
        <w:pStyle w:val="ListBullet"/>
      </w:pPr>
      <w:r>
        <w:rPr>
          <w:b/>
        </w:rPr>
        <w:t>P3. No quitar al pueblo su tiempo.</w:t>
      </w:r>
      <w:r>
        <w:t xml:space="preserve"> Las tres citas son de un mismo autor, Garcilaso (que en una copia a Blas Valera): es un punto débil. </w:t>
      </w:r>
    </w:p>
    <w:p>
      <w:pPr>
        <w:pStyle w:val="ListBullet2"/>
      </w:pPr>
      <w:r>
        <w:t>El oficial debía al Estado «dos meses, y cuando mucho tres, los cuales cumplidos no era obligado a trabajar más»</w:t>
      </w:r>
      <w:r>
        <w:t xml:space="preserve"> (Garcilaso V, cap. XV)</w:t>
      </w:r>
      <w:r>
        <w:t>.</w:t>
      </w:r>
    </w:p>
    <w:p>
      <w:pPr>
        <w:pStyle w:val="ListBullet2"/>
      </w:pPr>
      <w:r>
        <w:t>Había jueces en cada pueblo para que el pobre no tuviera que salir a pleitear, porque «muchas veces monta más esto que lo que van a pedir»</w:t>
      </w:r>
      <w:r>
        <w:t xml:space="preserve"> (Garcilaso II, cap. XIII)</w:t>
      </w:r>
      <w:r>
        <w:t>.</w:t>
      </w:r>
    </w:p>
    <w:p>
      <w:pPr>
        <w:pStyle w:val="ListBullet2"/>
      </w:pPr>
      <w:r>
        <w:t>La ley que mandaba trabajar «lo que le pertenecía y no más» (V, cap. XI), en 3.2.</w:t>
      </w:r>
    </w:p>
    <w:p>
      <w:pPr>
        <w:pStyle w:val="ListBullet"/>
      </w:pPr>
      <w:r>
        <w:rPr>
          <w:b/>
        </w:rPr>
        <w:t>P4. Pesas y medidas justas.</w:t>
      </w:r>
      <w:r>
        <w:t xml:space="preserve"> </w:t>
      </w:r>
    </w:p>
    <w:p>
      <w:pPr>
        <w:pStyle w:val="ListBullet2"/>
      </w:pPr>
      <w:r>
        <w:t>En el mercado de Tenochtitlan, además de los oficiales que quebraban las medidas falsas (</w:t>
      </w:r>
      <w:r>
        <w:t>3.2</w:t>
      </w:r>
      <w:r>
        <w:t>), «no se ha visto vender cosa alguna por peso»</w:t>
      </w:r>
      <w:r>
        <w:t xml:space="preserve"> (Hernán Cortés, Segunda carta, 1520)</w:t>
      </w:r>
      <w:r>
        <w:t>.</w:t>
      </w:r>
    </w:p>
    <w:p>
      <w:pPr>
        <w:pStyle w:val="ListBullet2"/>
      </w:pPr>
      <w:r>
        <w:t>El señor cuidaba el mercado «por amor de la gente popular […] para que nadie los hiciese fraude»</w:t>
      </w:r>
      <w:r>
        <w:t xml:space="preserve"> (Sahagún VIII, cap. XXXVI)</w:t>
      </w:r>
      <w:r>
        <w:t>.</w:t>
      </w:r>
    </w:p>
    <w:p>
      <w:pPr>
        <w:pStyle w:val="ListBullet"/>
      </w:pPr>
      <w:r>
        <w:rPr>
          <w:b/>
        </w:rPr>
        <w:t>P5. Devolver lo confiado</w:t>
      </w:r>
      <w:r>
        <w:t xml:space="preserve"> (un punto débil). </w:t>
      </w:r>
    </w:p>
    <w:p>
      <w:pPr>
        <w:pStyle w:val="ListBullet2"/>
      </w:pPr>
      <w:r>
        <w:t>Si el animal del vecino entra entre tus bienes, «hazlo volver a él»</w:t>
      </w:r>
      <w:r>
        <w:t xml:space="preserve"> [original: «make it go back to him»]</w:t>
      </w:r>
      <w:r>
        <w:t>; y si no sabes de quién es, cuídalo hasta saberlo, y entonces devuélveselo</w:t>
      </w:r>
      <w:r>
        <w:t xml:space="preserve"> (Kebra Nagast, cap. 90)</w:t>
      </w:r>
      <w:r>
        <w:t>.</w:t>
      </w:r>
    </w:p>
    <w:p>
      <w:pPr>
        <w:pStyle w:val="ListBullet2"/>
      </w:pPr>
      <w:r>
        <w:t>El súbdito que guarda los rebaños del jefe debe «presentarlos a su verdadero dueño»</w:t>
      </w:r>
      <w:r>
        <w:t xml:space="preserve"> [original: «present the flocks to their real owners»]</w:t>
      </w:r>
      <w:r>
        <w:t xml:space="preserve"> cuando este quiera</w:t>
      </w:r>
      <w:r>
        <w:t xml:space="preserve"> (Casalis, p. 155)</w:t>
      </w:r>
      <w:r>
        <w:t>; y el robo se repara con restitución y multa, en algunas tribus «de cuatro a uno»</w:t>
      </w:r>
      <w:r>
        <w:t xml:space="preserve"> [original: «in the proportion of four to one»]</w:t>
      </w:r>
      <w:r>
        <w:t xml:space="preserve"> (Casalis, p. 228)</w:t>
      </w:r>
      <w:r>
        <w:t>.</w:t>
      </w:r>
    </w:p>
    <w:p>
      <w:pPr>
        <w:pStyle w:val="ListBullet"/>
      </w:pPr>
      <w:r>
        <w:rPr>
          <w:b/>
        </w:rPr>
        <w:t>P6. Contra la usura.</w:t>
      </w:r>
      <w:r>
        <w:t xml:space="preserve"> </w:t>
      </w:r>
    </w:p>
    <w:p>
      <w:pPr>
        <w:pStyle w:val="ListBullet2"/>
      </w:pPr>
      <w:r>
        <w:t>Tras dos años de hambre, Moctezuma rescató a los que habían sido vendidos y pagó a sus dueños el «doble del precio»</w:t>
      </w:r>
      <w:r>
        <w:t xml:space="preserve"> (Sahagún VIII, cap. XIV)</w:t>
      </w:r>
      <w:r>
        <w:t xml:space="preserve">. </w:t>
      </w:r>
      <w:r>
        <w:rPr>
          <w:b/>
        </w:rPr>
        <w:t>Cautela:</w:t>
      </w:r>
      <w:r>
        <w:t xml:space="preserve"> es rescate de personas, no remisión de deudas.</w:t>
      </w:r>
    </w:p>
    <w:p>
      <w:pPr>
        <w:pStyle w:val="ListBullet2"/>
      </w:pPr>
      <w:r>
        <w:t>La «ley de hermandad», la ayuda entre vecinos para sembrar y cosechar, «sin llevar paga ninguna»</w:t>
      </w:r>
      <w:r>
        <w:t xml:space="preserve"> (Garcilaso V, cap. XI)</w:t>
      </w:r>
      <w:r>
        <w:t>.</w:t>
      </w:r>
    </w:p>
    <w:p>
      <w:pPr>
        <w:pStyle w:val="ListBullet2"/>
      </w:pPr>
      <w:r>
        <w:t xml:space="preserve">La Kebra Nagast contra la usura, en </w:t>
      </w:r>
      <w:r>
        <w:t>3.3</w:t>
      </w:r>
      <w:r>
        <w:t>.</w:t>
      </w:r>
    </w:p>
    <w:p>
      <w:pPr>
        <w:pStyle w:val="ListBullet"/>
      </w:pPr>
      <w:r>
        <w:rPr>
          <w:b/>
        </w:rPr>
        <w:t>P7. Cada uno responde de lo suyo; examinar antes de castigar.</w:t>
      </w:r>
      <w:r>
        <w:t xml:space="preserve"> </w:t>
      </w:r>
    </w:p>
    <w:p>
      <w:pPr>
        <w:pStyle w:val="ListBullet2"/>
      </w:pPr>
      <w:r>
        <w:t>El juez inca debía resolver «en oyendo las partes, dentro de cinco días»</w:t>
      </w:r>
      <w:r>
        <w:t xml:space="preserve"> (Garcilaso II, cap. XIII)</w:t>
      </w:r>
      <w:r>
        <w:t>; al heredero del culpable no le quitaban el señorío (</w:t>
      </w:r>
      <w:r>
        <w:t>3.2</w:t>
      </w:r>
      <w:r>
        <w:t>).</w:t>
      </w:r>
    </w:p>
    <w:p>
      <w:pPr>
        <w:pStyle w:val="ListBullet2"/>
      </w:pPr>
      <w:r>
        <w:t>Entre los basutos, el derecho del jefe sobre cada persona protege a los acusados «hasta que sus casos se hayan examinado conforme a derecho»</w:t>
      </w:r>
      <w:r>
        <w:t xml:space="preserve"> [original: «until their cases have been lawfully examined»]</w:t>
      </w:r>
      <w:r>
        <w:t xml:space="preserve"> (Casalis, p. 226)</w:t>
      </w:r>
      <w:r>
        <w:t>, y «las causas se discuten siempre en público»</w:t>
      </w:r>
      <w:r>
        <w:t xml:space="preserve"> [original: «Causes are always discussed in public»]</w:t>
      </w:r>
      <w:r>
        <w:t xml:space="preserve"> (Casalis, p. 230)</w:t>
      </w:r>
      <w:r>
        <w:t>.</w:t>
      </w:r>
    </w:p>
    <w:p>
      <w:pPr>
        <w:pStyle w:val="ListBullet2"/>
      </w:pPr>
      <w:r>
        <w:t>Los jueces mexicas pedían primero «la pintura en que estaban escritas ó pintadas las causas», y después los testigos</w:t>
      </w:r>
      <w:r>
        <w:t xml:space="preserve"> (Sahagún VIII, cap. XV)</w:t>
      </w:r>
      <w:r>
        <w:t>; y al señor se le aconsejaba: «antes debes quedar atrás en el castigo y ejecución del que no pasar adelante»</w:t>
      </w:r>
      <w:r>
        <w:t xml:space="preserve"> (Sahagún VI, cap. X)</w:t>
      </w:r>
      <w:r>
        <w:t>.</w:t>
      </w:r>
    </w:p>
    <w:p>
      <w:pPr>
        <w:pStyle w:val="ListBullet"/>
      </w:pPr>
      <w:r>
        <w:rPr>
          <w:b/>
        </w:rPr>
        <w:t>P8. Contra el soborno; el castigo no es un negocio.</w:t>
      </w:r>
      <w:r>
        <w:t xml:space="preserve"> </w:t>
      </w:r>
    </w:p>
    <w:p>
      <w:pPr>
        <w:pStyle w:val="ListBullet2"/>
      </w:pPr>
      <w:r>
        <w:t>Los incas no dejaban arbitrar al juez, porque «era hacer venales los jueces»</w:t>
      </w:r>
      <w:r>
        <w:t xml:space="preserve"> (Garcilaso II, cap. XIII)</w:t>
      </w:r>
      <w:r>
        <w:t xml:space="preserve">; la pena sin multa ni confiscación y los jueces que reciben dádivas, «tenidos por ladrones», en </w:t>
      </w:r>
      <w:r>
        <w:t>3.2</w:t>
      </w:r>
      <w:r>
        <w:t>.</w:t>
      </w:r>
    </w:p>
    <w:p>
      <w:pPr>
        <w:pStyle w:val="ListBullet2"/>
      </w:pPr>
      <w:r>
        <w:t>Los jueces mexicas «no recibian cohechos», y a los que alargaban los pleitos «por los cohechos» los encerraban en jaulas</w:t>
      </w:r>
      <w:r>
        <w:t xml:space="preserve"> (Sahagún VIII, caps. XIV y XV)</w:t>
      </w:r>
      <w:r>
        <w:t>.</w:t>
      </w:r>
    </w:p>
    <w:p>
      <w:pPr>
        <w:pStyle w:val="ListBullet2"/>
      </w:pPr>
      <w:r>
        <w:t>«Cuando te pongas a juzgar, no ames los regalos, es decir, los sobornos»</w:t>
      </w:r>
      <w:r>
        <w:t xml:space="preserve"> [original: «When thou undertakest to judge, love not gifts (i.e., bribes)»]</w:t>
      </w:r>
      <w:r>
        <w:t xml:space="preserve"> (Kebra Nagast, cap. 41)</w:t>
      </w:r>
      <w:r>
        <w:t>.</w:t>
      </w:r>
    </w:p>
    <w:p>
      <w:pPr>
        <w:pStyle w:val="ListBullet"/>
      </w:pPr>
      <w:r>
        <w:rPr>
          <w:b/>
        </w:rPr>
        <w:t>P9. Más leyes, más pobreza.</w:t>
      </w:r>
      <w:r>
        <w:t xml:space="preserve"> No hay nada sólido; solo un apunte lateral: según Casalis, las leyes de los jefes son «en general, temporales», y por encima de ellas están «los usos y costumbres, que son las verdaderas leyes del país»</w:t>
      </w:r>
      <w:r>
        <w:t xml:space="preserve"> [original: «generally temporary»; «the use and wont, which constitute the real laws of the country»]</w:t>
      </w:r>
      <w:r>
        <w:t xml:space="preserve"> (Casalis, p. 228)</w:t>
      </w:r>
      <w:r>
        <w:t>. Es el orden de la obra: la costumbre por encima de la ley escrita (</w:t>
      </w:r>
      <w:r>
        <w:t>1.1</w:t>
      </w:r>
      <w:r>
        <w:t xml:space="preserve">). El matiz de Malo, que sin leyes todo dependía del capricho del rey, en </w:t>
      </w:r>
      <w:r>
        <w:t>3.2</w:t>
      </w:r>
      <w:r>
        <w:t>.</w:t>
      </w:r>
    </w:p>
    <w:p>
      <w:pPr>
        <w:pStyle w:val="ListBullet"/>
      </w:pPr>
      <w:r>
        <w:rPr>
          <w:b/>
        </w:rPr>
        <w:t>La pata coja</w:t>
      </w:r>
      <w:r>
        <w:t xml:space="preserve"> (comprobada). </w:t>
      </w:r>
    </w:p>
    <w:p>
      <w:pPr>
        <w:pStyle w:val="ListBullet2"/>
      </w:pPr>
      <w:r>
        <w:rPr>
          <w:b/>
        </w:rPr>
        <w:t>Contra P1:</w:t>
      </w:r>
      <w:r>
        <w:t xml:space="preserve"> «solo una pequeña parte de los reyes y jefes gobernó con bondad; la gran mayoría se enseñoreó del pueblo»</w:t>
      </w:r>
      <w:r>
        <w:t xml:space="preserve"> [original: «Only a small portion of the kings and chiefs ruled with kindness; the large majority simply lorded it over the people»]</w:t>
      </w:r>
      <w:r>
        <w:t xml:space="preserve"> (Malo XVIII, 65)</w:t>
      </w:r>
      <w:r>
        <w:t xml:space="preserve">. La elección del señor mexica «por ordenación divina» y la resistencia de los jefes basutos a enriquecer a sus súbditos, en </w:t>
      </w:r>
      <w:r>
        <w:t>3.4</w:t>
      </w:r>
      <w:r>
        <w:t>.</w:t>
      </w:r>
    </w:p>
    <w:p>
      <w:pPr>
        <w:pStyle w:val="ListBullet2"/>
      </w:pPr>
      <w:r>
        <w:rPr>
          <w:b/>
        </w:rPr>
        <w:t>Contra P2 y P3:</w:t>
      </w:r>
      <w:r>
        <w:t xml:space="preserve"> lo que los jefes hawaianos sacaban del pueblo era en parte impuestos y en parte «fruto del robo y la extorsión»</w:t>
      </w:r>
      <w:r>
        <w:t xml:space="preserve"> [original: «the fruit of robbery and extortion»]</w:t>
      </w:r>
      <w:r>
        <w:t xml:space="preserve"> (Malo XVIII, 46)</w:t>
      </w:r>
      <w:r>
        <w:t>, y el pueblo vivía «siempre cargado con una exacción u otra»</w:t>
      </w:r>
      <w:r>
        <w:t xml:space="preserve"> [original: «constantly burdened with one exaction or another»]</w:t>
      </w:r>
      <w:r>
        <w:t xml:space="preserve"> (Malo XIX, 6)</w:t>
      </w:r>
      <w:r>
        <w:t>. La «ley común» y la «ley casera» de los incas, en 3.2; y la misma ley mandaba comer «las puertas abiertas», para que los ministros de los jueces entraran a inspeccionar las casas</w:t>
      </w:r>
      <w:r>
        <w:t xml:space="preserve"> (Garcilaso V, cap. XI)</w:t>
      </w:r>
      <w:r>
        <w:t>.</w:t>
      </w:r>
    </w:p>
    <w:p>
      <w:pPr>
        <w:pStyle w:val="ListBullet2"/>
      </w:pPr>
      <w:r>
        <w:rPr>
          <w:b/>
        </w:rPr>
        <w:t>Contra P6:</w:t>
      </w:r>
      <w:r>
        <w:t xml:space="preserve"> el hijo empeñado por deudas entre los ashanti, en </w:t>
      </w:r>
      <w:r>
        <w:t>3.3</w:t>
      </w:r>
      <w:r>
        <w:t>; y entre los basutos, los jefes se quedan a veces con toda una herencia «a cambio de un préstamo de mucho menor valor»</w:t>
      </w:r>
      <w:r>
        <w:t xml:space="preserve"> [original: «in return for a loan of much less value»]</w:t>
      </w:r>
      <w:r>
        <w:t xml:space="preserve"> (Casalis, p. 231)</w:t>
      </w:r>
      <w:r>
        <w:t>.</w:t>
      </w:r>
    </w:p>
    <w:p>
      <w:pPr>
        <w:pStyle w:val="ListBullet2"/>
      </w:pPr>
      <w:r>
        <w:rPr>
          <w:b/>
        </w:rPr>
        <w:t>Contra P7:</w:t>
      </w:r>
      <w:r>
        <w:t xml:space="preserve"> por la culpa del mayordomo, echaban de la casa a sus hijos y parientes, y «la casa con toda la hacienda se aplicaba al señor»</w:t>
      </w:r>
      <w:r>
        <w:t xml:space="preserve"> (Sahagún VIII, cap. XIX)</w:t>
      </w:r>
      <w:r>
        <w:t>; y en la Kebra Nagast, «él, su mujer y sus hijos serán condenados»</w:t>
      </w:r>
      <w:r>
        <w:t xml:space="preserve"> [original: «he and his wife and his children shall be condemned»]</w:t>
      </w:r>
      <w:r>
        <w:t xml:space="preserve"> (Kebra Nagast, cap. 89)</w:t>
      </w:r>
      <w:r>
        <w:t>.</w:t>
      </w:r>
    </w:p>
    <w:p>
      <w:pPr>
        <w:pStyle w:val="ListBullet2"/>
      </w:pPr>
      <w:r>
        <w:rPr>
          <w:b/>
        </w:rPr>
        <w:t>Contra P8:</w:t>
      </w:r>
      <w:r>
        <w:t xml:space="preserve"> las multas ashanti como fuente de ingresos, en </w:t>
      </w:r>
      <w:r>
        <w:t>3.2</w:t>
      </w:r>
      <w:r>
        <w:t>; el precio por librarse de la pena de muerte (</w:t>
      </w:r>
      <w:r>
        <w:rPr>
          <w:i/>
        </w:rPr>
        <w:t>atitodie</w:t>
      </w:r>
      <w:r>
        <w:t>) era «la suma que el jefe quisiera exigir»</w:t>
      </w:r>
      <w:r>
        <w:t xml:space="preserve"> [original: «any sum which a Chief cared to demand»]</w:t>
      </w:r>
      <w:r>
        <w:t xml:space="preserve"> (Rattray, cap. XIV)</w:t>
      </w:r>
      <w:r>
        <w:t>; y entre los basutos, la pena de muerte por homicidio se conmutaba, por lo general, «por la confiscación»</w:t>
      </w:r>
      <w:r>
        <w:t xml:space="preserve"> [original: «into confiscation»]</w:t>
      </w:r>
      <w:r>
        <w:t xml:space="preserve"> (Casalis, p. 228)</w:t>
      </w:r>
      <w:r>
        <w:t>.</w:t>
      </w:r>
    </w:p>
    <w:p>
      <w:r>
        <w:t>[archivo del Arca, bloque de África, América y Oceanía, verificado por Claude el 5-oct, nivel A]</w:t>
      </w:r>
    </w:p>
    <w:p>
      <w:pPr>
        <w:pStyle w:val="Heading2"/>
      </w:pPr>
      <w:r>
        <w:t>F.7 Los órdenes de costumbre</w:t>
      </w:r>
    </w:p>
    <w:p>
      <w:pPr>
        <w:pBdr>
          <w:left w:val="single" w:sz="24" w:space="6" w:color="E2DED6"/>
        </w:pBdr>
        <w:shd w:val="clear" w:color="auto" w:fill="F1EEE8"/>
        <w:spacing w:before="80" w:after="160"/>
        <w:ind w:left="142" w:right="142"/>
      </w:pPr>
      <w:r>
        <w:rPr>
          <w:b/>
        </w:rPr>
        <w:t>La idea: pueblos que se dieron su orden por su cuenta coinciden en la tierra en común, la compensación del daño y la decisión en consejo; el parecido no prueba un mismo origen, pero muestra que el orden no nació con la ley de los Estados modernos.</w:t>
      </w:r>
    </w:p>
    <w:p>
      <w:r>
        <w:rPr>
          <w:b/>
        </w:rPr>
        <w:t>La cautela, primero.</w:t>
      </w:r>
      <w:r>
        <w:t xml:space="preserve"> Cuando culturas separadas por océanos y por siglos llegan a formas de orden parecidas, la antropología no da por hecho un origen común: «cuando hallamos rasgos culturales análogos en pueblos lejanos, la presunción no es que haya una fuente histórica común, sino que han surgido de forma independiente»</w:t>
      </w:r>
      <w:r>
        <w:t xml:space="preserve"> [original: «when we find analogous single traits of culture among distant peoples, the presumption is not that there has been a common historical source, but that they have arisen independently»]</w:t>
      </w:r>
      <w:r>
        <w:t>, escribió Franz Boas en 1896. Y el mismo Boas pone el límite: «los mismos fenómenos pueden desarrollarse de muchísimas maneras»</w:t>
      </w:r>
      <w:r>
        <w:t xml:space="preserve"> [original: «the same phenomena may develop in a multitude of ways»]</w:t>
      </w:r>
      <w:r>
        <w:t xml:space="preserve"> (F. Boas, «The Limitations of the Comparative Method of Anthropology» (Los límites del método comparativo en antropología), Science, 1896, en Race, Language and Culture, 1940, pp. 271 y 273)</w:t>
      </w:r>
      <w:r>
        <w:t>, de modo que el parecido no prueba una misma causa. Con esa doble cautela se leen las tradiciones que siguen, cada una con su fuente.</w:t>
      </w:r>
    </w:p>
    <w:p>
      <w:r>
        <w:t>[07.00-2.1]</w:t>
      </w:r>
    </w:p>
    <w:p>
      <w:r>
        <w:rPr>
          <w:b/>
        </w:rPr>
        <w:t>Los inuit.</w:t>
      </w:r>
      <w:r>
        <w:t xml:space="preserve"> «Los ancianos describen los maligait, las leyes naturales, como las leyes más fundamentales arraigadas en la sociedad inuit»</w:t>
      </w:r>
      <w:r>
        <w:t xml:space="preserve"> [original: «Elders describe maligait (natural laws) as the most fundamental laws entrenched in Inuit society»]</w:t>
      </w:r>
      <w:r>
        <w:t>. El marco educativo del Gobierno de Nunavut los resume en cuatro: trabajar por el bien común, respetar a todos los seres vivos, mantener la armonía, y planificar y prepararse continuamente para un futuro mejor</w:t>
      </w:r>
      <w:r>
        <w:t xml:space="preserve"> (Departamento de Educación de Nunavut, Inuit Qaujimajatuqangit Education Framework for Nunavut Curriculum (Marco educativo del conocimiento tradicional inuit), 2007)</w:t>
      </w:r>
      <w:r>
        <w:t xml:space="preserve">. Los maligait, junto con los </w:t>
      </w:r>
      <w:r>
        <w:rPr>
          <w:i/>
        </w:rPr>
        <w:t>piqujait</w:t>
      </w:r>
      <w:r>
        <w:t xml:space="preserve"> y los </w:t>
      </w:r>
      <w:r>
        <w:rPr>
          <w:i/>
        </w:rPr>
        <w:t>tirigusuusiit</w:t>
      </w:r>
      <w:r>
        <w:t>, son lo que debía seguirse, hacerse o no hacerse; hoy se usan a menudo como equivalentes de «ley», aunque nacen de una perspectiva cultural distinta de la occidental</w:t>
      </w:r>
      <w:r>
        <w:t xml:space="preserve"> (J. Oosten y otros, Inuit Laws: Tirigusuusiit, Piqujait and Maligait (Leyes inuit), Nunavut Arctic College Media, 2017, ficha editorial)</w:t>
      </w:r>
      <w:r>
        <w:t>.</w:t>
      </w:r>
    </w:p>
    <w:p>
      <w:r>
        <w:t>[07.00-3.1]</w:t>
      </w:r>
    </w:p>
    <w:p>
      <w:r>
        <w:rPr>
          <w:b/>
        </w:rPr>
        <w:t>Los lakota, la Gran Ley haudenosaunee y el calpulli mexica.</w:t>
      </w:r>
      <w:r>
        <w:t xml:space="preserve"> Entre los lakota, pueblo de las llanuras de Norteamérica, la tierra era de todos: cuando un jefe vendió tierras sin consultar, el escritor lakota Luther Standing Bear dejó escrito que «la tierra no era suya, sino el coto de caza de todos los sioux»</w:t>
      </w:r>
      <w:r>
        <w:t xml:space="preserve"> [original: «The land was not his, but was the hunting ground of all the Sioux»]</w:t>
      </w:r>
      <w:r>
        <w:t xml:space="preserve"> (Luther Standing Bear, My People the Sioux (Mi pueblo, los sioux), 1928, p. 158)</w:t>
      </w:r>
      <w:r>
        <w:t>; el mismo autor valoró después la propiedad de los lotes individuales, y así se dice</w:t>
      </w:r>
      <w:r>
        <w:t xml:space="preserve"> (ídem, pp. 216-217)</w:t>
      </w:r>
      <w:r>
        <w:t>. La Confederación Haudenosaunee (iroquesa), de los Bosques del Este, en el norte del actual estado de Nueva York</w:t>
      </w:r>
      <w:r>
        <w:t xml:space="preserve"> (P. G. Ramsden, «Haudenosaunee (Iroquois)», The Canadian Encyclopedia, 2006; fuente secundaria)</w:t>
      </w:r>
      <w:r>
        <w:t>, fijó en su Gran Ley de la Paz que los clanes son «los únicos dueños y poseedores del suelo del país», que les corresponde «como derecho de nacimiento»</w:t>
      </w:r>
      <w:r>
        <w:t xml:space="preserve"> [original: «the sole owners and holders of the soil of the country»; «and in them is it vested as a birthright»]</w:t>
      </w:r>
      <w:r>
        <w:t xml:space="preserve"> (Gran Ley de la Paz, art. 42, en Parker, 1916)</w:t>
      </w:r>
      <w:r>
        <w:t>, y que las mujeres «serán dueñas de la tierra y del suelo»</w:t>
      </w:r>
      <w:r>
        <w:t xml:space="preserve"> [original: «They shall own the land and the soil»]</w:t>
      </w:r>
      <w:r>
        <w:t xml:space="preserve"> (Gran Ley de la Paz, art. 44)</w:t>
      </w:r>
      <w:r>
        <w:t>: una propiedad colectiva, no privada. La fecha de la Gran Ley se discute y su texto escrito es reciente: la versión que se cita es de 1916 (</w:t>
      </w:r>
      <w:r>
        <w:t>3.2</w:t>
      </w:r>
      <w:r>
        <w:t>, P1). Cada nación tiene su consejo, con jefes elegidos por las madres de clan, y la Confederación busca la decisión unánime</w:t>
      </w:r>
      <w:r>
        <w:t xml:space="preserve"> (Gran Ley de la Paz, art. 8; Confederación Haudenosaunee, «Who we are» (Quiénes somos))</w:t>
      </w:r>
      <w:r>
        <w:t>. En Mesoamérica, los mexicas organizaban su tejido social en calpulli: «barrio de gente conocida ó linaje antiguo», cuyas tierras «no son en particular de cada uno del barrio, sino en común del calpulli, y el que las posee no las puede enajenar»</w:t>
      </w:r>
      <w:r>
        <w:t xml:space="preserve"> (Alonso de Zorita, Breve y sumaria relación de los señores de la Nueva España, siglo XVI (ed. García Icazbalceta, 1891), pp. 93-94)</w:t>
      </w:r>
      <w:r>
        <w:t>.</w:t>
      </w:r>
    </w:p>
    <w:p>
      <w:r>
        <w:t>[07.00-4.1; «as a birthright», leído hoy en Parker, art. 42 (g/costumbre): el fleco queda resuelto; la situación de los haudenosaunee, fuente secundaria (The Canadian Encyclopedia y la web de la Confederación)]</w:t>
      </w:r>
    </w:p>
    <w:p>
      <w:r>
        <w:rPr>
          <w:b/>
        </w:rPr>
        <w:t xml:space="preserve">El derecho </w:t>
      </w:r>
      <w:r>
        <w:rPr>
          <w:b/>
          <w:i/>
        </w:rPr>
        <w:t>brehon</w:t>
      </w:r>
      <w:r>
        <w:rPr>
          <w:b/>
        </w:rPr>
        <w:t xml:space="preserve"> (Irlanda).</w:t>
      </w:r>
      <w:r>
        <w:t xml:space="preserve"> El derecho irlandés antiguo trataba los delitos sobre todo como daños que se saldaban con compensaciones (fuente secundaria): la restitución, la </w:t>
      </w:r>
      <w:r>
        <w:rPr>
          <w:i/>
        </w:rPr>
        <w:t>éraic</w:t>
      </w:r>
      <w:r>
        <w:t xml:space="preserve"> por muerte o daño corporal, y otra multa según el precio de honor de la víctima (</w:t>
      </w:r>
      <w:r>
        <w:rPr>
          <w:i/>
        </w:rPr>
        <w:t>lóg n-enech</w:t>
      </w:r>
      <w:r>
        <w:t xml:space="preserve">, más tarde </w:t>
      </w:r>
      <w:r>
        <w:rPr>
          <w:i/>
        </w:rPr>
        <w:t>enechlann</w:t>
      </w:r>
      <w:r>
        <w:t>), que se graduaba por su rango</w:t>
      </w:r>
      <w:r>
        <w:t xml:space="preserve"> (S. Bryant, Liberty, Order and Law under Native Irish Rule (Libertad, orden y ley bajo el gobierno irlandés nativo), 1923, pp. 33-35; Electronic Dictionary of the Irish Language (Diccionario electrónico de la lengua irlandesa), s. v. éric, enech y eneclann; fuente secundaria)</w:t>
      </w:r>
      <w:r>
        <w:t>. La cárcel, al modo de hoy, no era la vía: la retención por el rey fue su sustituto arcaico</w:t>
      </w:r>
      <w:r>
        <w:t xml:space="preserve"> (Bryant, p. 284)</w:t>
      </w:r>
      <w:r>
        <w:t>.</w:t>
      </w:r>
    </w:p>
    <w:p>
      <w:r>
        <w:t>[07.00-5.1, sin la remisión a la figura «Geis y Brehon Law» de la Biblioteca, que la edición no tiene; el rango de la víctima, ya en 3, «Límite honesto de la prueba»]</w:t>
      </w:r>
    </w:p>
    <w:p>
      <w:r>
        <w:rPr>
          <w:b/>
        </w:rPr>
        <w:t xml:space="preserve">El </w:t>
      </w:r>
      <w:r>
        <w:rPr>
          <w:b/>
          <w:i/>
        </w:rPr>
        <w:t>xeer</w:t>
      </w:r>
      <w:r>
        <w:rPr>
          <w:b/>
        </w:rPr>
        <w:t xml:space="preserve"> somalí.</w:t>
      </w:r>
      <w:r>
        <w:t xml:space="preserve"> Es el derecho consuetudinario oral de los somalíes, y no hay uno solo: «cada grupo que paga </w:t>
      </w:r>
      <w:r>
        <w:rPr>
          <w:i/>
        </w:rPr>
        <w:t>mag</w:t>
      </w:r>
      <w:r>
        <w:t>, la compensación de sangre, tiene su propio cuerpo de derecho, plasmado en su código xeer»</w:t>
      </w:r>
      <w:r>
        <w:t xml:space="preserve"> [original: «every mag-paying group has its own body of law embodied in its xeer code»]</w:t>
      </w:r>
      <w:r>
        <w:t>. Los ancianos de los clanes son a la vez sus legisladores, sus ejecutores y sus jueces, y deciden teniendo en cuenta el delito, su pena prevista y el precedente</w:t>
      </w:r>
      <w:r>
        <w:t xml:space="preserve"> (J. Gundel, The predicament of the 'Oday' (El aprieto de los oday), 2006, pp. iv, 8 y 11)</w:t>
      </w:r>
      <w:r>
        <w:t>. Sigue en uso: en 2024 la UNESCO inscribió en la Lista Representativa del Patrimonio Cultural Inmaterial el Xeer Ciise, «las leyes consuetudinarias orales de las comunidades somalíes issa de Etiopía, Yibuti y Somalia»</w:t>
      </w:r>
      <w:r>
        <w:t xml:space="preserve"> [original: «the oral customary laws of the Somali-Issa communities in Ethiopia, Djibouti and Somalia»]</w:t>
      </w:r>
      <w:r>
        <w:t>, con tres componentes: una constitución política que reparte el poder y los procesos de decisión, un código penal centrado en la reconciliación y la compensación, y un código de conducta social</w:t>
      </w:r>
      <w:r>
        <w:t xml:space="preserve"> (UNESCO, Patrimonio Cultural Inmaterial, Xeer Ciise (RL 02087, 2024))</w:t>
      </w:r>
      <w:r>
        <w:t>. No es una costumbre aislada: «la sharía islámica está en gran parte integrada en el desarrollo del xeer»</w:t>
      </w:r>
      <w:r>
        <w:t xml:space="preserve"> [original: «Islamic Sharia is to a large extent integrated in the development of xeer»]</w:t>
      </w:r>
      <w:r>
        <w:t xml:space="preserve"> (Gundel, p. 8)</w:t>
      </w:r>
      <w:r>
        <w:t>.</w:t>
      </w:r>
    </w:p>
    <w:p>
      <w:r>
        <w:t>[07.00-6.1]</w:t>
      </w:r>
    </w:p>
    <w:p>
      <w:r>
        <w:rPr>
          <w:b/>
        </w:rPr>
        <w:t>Los Andes, los aborígenes australianos y Sudáfrica.</w:t>
      </w:r>
      <w:r>
        <w:t xml:space="preserve"> En los Andes, el ayni y la mita sostuvieron una economía sin moneda: los incas «ni supieron arrendar, ni comprar ni vender, porque no tuvieron moneda»</w:t>
      </w:r>
      <w:r>
        <w:t xml:space="preserve"> (Garcilaso, Comentarios reales VI, 8)</w:t>
      </w:r>
      <w:r>
        <w:t>. Había ferias de trueque, que «ellos llaman Catu»</w:t>
      </w:r>
      <w:r>
        <w:t xml:space="preserve"> (Garcilaso, Comentarios reales VI, 35)</w:t>
      </w:r>
      <w:r>
        <w:t>, pero no producción para vender</w:t>
      </w:r>
      <w:r>
        <w:t xml:space="preserve"> (J. V. Murra, Reciprocity and Redistribution in Andean Civilizations (Reciprocidad y redistribución en las civilizaciones andinas), 2017, pp. 49-51)</w:t>
      </w:r>
      <w:r>
        <w:t>. El ayni es un servicio que se presta esperando una reciprocidad medida, entre iguales y vecinos; la mita, el trabajo «prestado» por turnos a la comunidad o al Estado</w:t>
      </w:r>
      <w:r>
        <w:t xml:space="preserve"> (Murra, pp. 74-75)</w:t>
      </w:r>
      <w:r>
        <w:t>.</w:t>
      </w:r>
    </w:p>
    <w:p>
      <w:r>
        <w:t>El derecho consuetudinario aborigen australiano es el de pueblos que ocupan el continente desde hace «al menos 40.000 años»</w:t>
      </w:r>
      <w:r>
        <w:t xml:space="preserve"> [original: «at least 40 000 years»]</w:t>
      </w:r>
      <w:r>
        <w:t xml:space="preserve"> (Comisión de Reforma Legal de Australia, Recognition of Aboriginal Customary Laws (El reconocimiento del derecho consuetudinario aborigen), ALRC 31, 1986, § 22)</w:t>
      </w:r>
      <w:r>
        <w:t>, y que hablaban unas 250 lenguas y más de 500 dialectos a la llegada de los europeos</w:t>
      </w:r>
      <w:r>
        <w:t xml:space="preserve"> (Oficina de Estadística de Australia, Australian Social Trends 1999)</w:t>
      </w:r>
      <w:r>
        <w:t>. Para ellos, «el Tiempo del Sueño es la Ley»</w:t>
      </w:r>
      <w:r>
        <w:t xml:space="preserve"> [original: «The Dreaming is the Law»]</w:t>
      </w:r>
      <w:r>
        <w:t xml:space="preserve"> (ALRC 31, § 103)</w:t>
      </w:r>
      <w:r>
        <w:t xml:space="preserve">. Sus </w:t>
      </w:r>
      <w:r>
        <w:rPr>
          <w:i/>
        </w:rPr>
        <w:t>songlines</w:t>
      </w:r>
      <w:r>
        <w:t xml:space="preserve"> son «mapas orales del paisaje»</w:t>
      </w:r>
      <w:r>
        <w:t xml:space="preserve"> [original: «oral maps of the landscape»]</w:t>
      </w:r>
      <w:r>
        <w:t xml:space="preserve"> (R. P. Norris y B. Y. Harney, «Songlines and Navigation in Wardaman and other Australian Aboriginal Cultures» (Las songlines y la navegación entre los wardaman y otras culturas aborígenes australianas), 2014)</w:t>
      </w:r>
      <w:r>
        <w:t xml:space="preserve"> que transmiten la navegación, los territorios de los clanes y la Ley, incluida la que regula la tierra y cómo tratarse unos a otros</w:t>
      </w:r>
      <w:r>
        <w:t xml:space="preserve"> (R. P. Norris, Dawes Review 5, 2016, p. 17; N. Higgins, «Songlines and Land Claims; Space and Place» (Songlines y reclamaciones de tierras; espacio y lugar), 2021, pp. 724-725)</w:t>
      </w:r>
      <w:r>
        <w:t>.</w:t>
      </w:r>
    </w:p>
    <w:p>
      <w:r>
        <w:t>Y en Sudáfrica, tras el apartheid, la Constitución de 1993 pidió «comprensión, no venganza; reparación, no represalia; ubuntu, no victimización»</w:t>
      </w:r>
      <w:r>
        <w:t xml:space="preserve"> [original: «a need for understanding but not for vengeance, a need for reparation but not for retaliation, a need for ubuntu but not for victimisation»]</w:t>
      </w:r>
      <w:r>
        <w:t xml:space="preserve"> (Constitución de la República de Sudáfrica (Ley 200 de 1993), epílogo)</w:t>
      </w:r>
      <w:r>
        <w:t>, y la Ley 34 de 1995 creó la Comisión de la Verdad y la Reconciliación</w:t>
      </w:r>
      <w:r>
        <w:t xml:space="preserve"> (Ley 34 de 1995, de Promoción de la Unidad Nacional y la Reconciliación)</w:t>
      </w:r>
      <w:r>
        <w:t>.</w:t>
      </w:r>
    </w:p>
    <w:p>
      <w:r>
        <w:t>[07.00-7.1; 01.00-13.4, las songlines, leídas hoy en local (g/otros)]</w:t>
      </w:r>
    </w:p>
    <w:p>
      <w:r>
        <w:rPr>
          <w:b/>
        </w:rPr>
        <w:t>El Althing, el derecho azteca, el mir, el Vinaya y la Yassa.</w:t>
      </w:r>
      <w:r>
        <w:t xml:space="preserve"> El Althing de Islandia se estableció en Þingvellir en 930, y su ley se hizo sobre el modelo de la del Gulaþing noruego</w:t>
      </w:r>
      <w:r>
        <w:t xml:space="preserve"> (Ari Þorgilsson, Íslendingabók (Libro de los islandeses), caps. 2 y 3)</w:t>
      </w:r>
      <w:r>
        <w:t>. Tenía poderes legislativos y judiciales, y la ley la hacía un cuerpo selecto dentro de la asamblea, la lögrétta: decidían jefes y jueces, ante la asamblea de hombres libres. Fue suprimido en 1800 y restablecido en 1845, como órgano consultivo, en Reikiavik</w:t>
      </w:r>
      <w:r>
        <w:t xml:space="preserve"> (K. Gjerset, History of Iceland (Historia de Islandia), 1924, pp. 33-34, 346 y 377)</w:t>
      </w:r>
      <w:r>
        <w:t>.</w:t>
      </w:r>
    </w:p>
    <w:p>
      <w:r>
        <w:t>El derecho azteca tenía tribunales escalonados: jueces ordinarios para los pleitos menores, y apelaciones ante doce jueces superiores que «sentenciaban con parecer del Señor»</w:t>
      </w:r>
      <w:r>
        <w:t xml:space="preserve"> (Zorita, pp. 111-113)</w:t>
      </w:r>
      <w:r>
        <w:t>; un juez de barrio que, según Clavijero (siglo XVIII), «se elegía anualmente por los vecinos»; y el cihuacóatl, de cuyas sentencias no se podía apelar «ni aun al mismo rey»</w:t>
      </w:r>
      <w:r>
        <w:t xml:space="preserve"> (F. J. Clavijero, Historia antigua de México, lib. VII, pp. 358-359)</w:t>
      </w:r>
      <w:r>
        <w:t>. Se juzgaba según «las leyes del reino, como las expresaban las pinturas»</w:t>
      </w:r>
      <w:r>
        <w:t xml:space="preserve"> (ídem, p. 360)</w:t>
      </w:r>
      <w:r>
        <w:t>. Nezahualcóyotl, señor de Tezcoco en el siglo XV, «estableció ochenta leyes»</w:t>
      </w:r>
      <w:r>
        <w:t xml:space="preserve"> (F. de Alva Ixtlilxóchitl, Historia de la nación chichimeca, cap. XXXVIII)</w:t>
      </w:r>
      <w:r>
        <w:t>.</w:t>
      </w:r>
    </w:p>
    <w:p>
      <w:r>
        <w:t>El mir u obshchina rusa se gobernaba por la asamblea de aldea (</w:t>
      </w:r>
      <w:r>
        <w:rPr>
          <w:i/>
        </w:rPr>
        <w:t>mirskoi skhod</w:t>
      </w:r>
      <w:r>
        <w:t>), con pastos comunes; es una institución de origen incierto, sobrevivió a la emancipación de 1861, y el Estado se sirvió de ella para cobrar impuestos</w:t>
      </w:r>
      <w:r>
        <w:t xml:space="preserve"> (A. Kimball, «The Russian Peasant Obshchina in the Political Culture of the Era of Great Reforms» (La obshchina campesina rusa en la cultura política de la era de las grandes reformas), Universidad de Oregón)</w:t>
      </w:r>
      <w:r>
        <w:t>. El Vinaya budista regulaba la convivencia monástica con un código propio y siete principios para resolver las cuestiones legales, entre ellos la decisión por mayoría</w:t>
      </w:r>
      <w:r>
        <w:t xml:space="preserve"> (Vinaya, Adhikaraṇasamatha, traducción de Bhikkhu Brahmali)</w:t>
      </w:r>
      <w:r>
        <w:t>, aunque remite a la ley del rey para medir el robo grave</w:t>
      </w:r>
      <w:r>
        <w:t xml:space="preserve"> (Vinaya, Pārājika 2)</w:t>
      </w:r>
      <w:r>
        <w:t>. Y la Yassa de Gengis Kan mandaba, según Juvaini, «considerar todas las confesiones como una sola y no distinguirlas entre sí»</w:t>
      </w:r>
      <w:r>
        <w:t xml:space="preserve"> [original: «to consider all sects as one and not to distinguish them from one another»]</w:t>
      </w:r>
      <w:r>
        <w:t>; se escribía en rollos que «se guardan en el tesoro de los príncipes principales»</w:t>
      </w:r>
      <w:r>
        <w:t xml:space="preserve"> [original: «are kept in the treasury of the chief princes»]</w:t>
      </w:r>
      <w:r>
        <w:t>, y cada kan que subía al trono ajustaba a ellos sus actos</w:t>
      </w:r>
      <w:r>
        <w:t xml:space="preserve"> (Juvaini, The History of the World-Conqueror (Historia del conquistador del mundo), trad. de J. A. Boyle, 1958, vol. I, cap. II, pp. 25-26)</w:t>
      </w:r>
      <w:r>
        <w:t>. Es la ley de un conquistador, y entra con esa cautela.</w:t>
      </w:r>
    </w:p>
    <w:p>
      <w:r>
        <w:t>[07.00-8.1; que el Althing sea «uno de los parlamentos más antiguos del mundo», fuera: sin fuente leída]</w:t>
      </w:r>
    </w:p>
    <w:p>
      <w:r>
        <w:rPr>
          <w:b/>
        </w:rPr>
        <w:t>El tikanga maorí.</w:t>
      </w:r>
      <w:r>
        <w:t xml:space="preserve"> El tikanga maorí de Nueva Zelanda tiene valores y reglas, pero mandan los valores: «son esos valores los que dan la guía principal de conducta»</w:t>
      </w:r>
      <w:r>
        <w:t xml:space="preserve"> [original: «it is these values which provide the primary guide to behaviour»]</w:t>
      </w:r>
      <w:r>
        <w:t xml:space="preserve"> (Comisión de Derecho de Nueva Zelanda, Māori Custom and Values in New Zealand Law (La costumbre y los valores maoríes en el derecho de Nueva Zelanda), 2001, § 75)</w:t>
      </w:r>
      <w:r>
        <w:t>. Entre ellos está el utu, que no es solo venganza: es reciprocidad (</w:t>
      </w:r>
      <w:r>
        <w:rPr>
          <w:i/>
        </w:rPr>
        <w:t>tau utuutu</w:t>
      </w:r>
      <w:r>
        <w:t>) y equilibrio, con instituciones como el muru, que trasladaba bienes a los agraviados por la falta de otro</w:t>
      </w:r>
      <w:r>
        <w:t xml:space="preserve"> (ídem, §§ 135 y 156)</w:t>
      </w:r>
      <w:r>
        <w:t xml:space="preserve">. En 2022, el Tribunal Supremo de Nueva Zelanda declaró por unanimidad que el tikanga ha sido y seguirá siendo reconocido en el desarrollo de su </w:t>
      </w:r>
      <w:r>
        <w:rPr>
          <w:i/>
        </w:rPr>
        <w:t>common law</w:t>
      </w:r>
      <w:r>
        <w:t xml:space="preserve"> (derecho común de origen judicial), y la mayoría aceptó que el tikanga «fue el primer derecho de Aotearoa/Nueva Zelanda»</w:t>
      </w:r>
      <w:r>
        <w:t xml:space="preserve"> [original: «was the first law of Aotearoa/New Zealand»]</w:t>
      </w:r>
      <w:r>
        <w:t xml:space="preserve"> (Ellis v R [2022] NZSC 114, §§ 19 y 22)</w:t>
      </w:r>
      <w:r>
        <w:t>.</w:t>
      </w:r>
    </w:p>
    <w:p>
      <w:r>
        <w:t>[07.00-9.1]</w:t>
      </w:r>
    </w:p>
    <w:p>
      <w:r>
        <w:rPr>
          <w:b/>
        </w:rPr>
        <w:t>Conclusión, lo que arrojan los datos:</w:t>
      </w:r>
      <w:r>
        <w:t xml:space="preserve"> con la vara de la convergencia, que separa las patas independientes (</w:t>
      </w:r>
      <w:r>
        <w:t>1.4</w:t>
      </w:r>
      <w:r>
        <w:t xml:space="preserve"> y </w:t>
      </w:r>
      <w:r>
        <w:t>3.1</w:t>
      </w:r>
      <w:r>
        <w:t xml:space="preserve">) de las piezas de refuerzo, cuentan como patas los pueblos que se dieron su orden por su cuenta: inuit, lakota, haudenosaunee, mexicas, irlandeses, andinos, aborígenes australianos y maoríes. Coinciden, cada uno leído en su fuente, en la tierra en común, la compensación del daño y la decisión en consejo. Quedan como refuerzo, porque no son costumbre propia e independiente: el Althing, que tomó la ley noruega; el </w:t>
      </w:r>
      <w:r>
        <w:rPr>
          <w:i/>
        </w:rPr>
        <w:t>xeer</w:t>
      </w:r>
      <w:r>
        <w:t>, que integra la sharía; el Vinaya, que es un código monástico; la Yassa, que es la ley de un conquistador; el mir, de origen incierto y del que el Estado se sirvió para cobrar; y el ubuntu, que llegó a la reconciliación por una constitución moderna. El parecido no prueba un mismo origen (Boas). Lo que sí muestran es que el orden no nació con la ley de los Estados modernos.</w:t>
      </w:r>
    </w:p>
    <w:p>
      <w:r>
        <w:t>[07.00-10.1; todas las fuentes del apartado, en 07.00-10.2; informe de procedencia del 5-oct, g/INFORME_COSTUMBRE.md, y el paso 2 bis, nivel A]</w:t>
      </w:r>
    </w:p>
    <w:p>
      <w:pPr>
        <w:pStyle w:val="Heading2"/>
      </w:pPr>
      <w:r>
        <w:t>F.8 Errar el blanco, en una tercera lengua</w:t>
      </w:r>
    </w:p>
    <w:p>
      <w:pPr>
        <w:pBdr>
          <w:left w:val="single" w:sz="24" w:space="6" w:color="E2DED6"/>
        </w:pBdr>
        <w:shd w:val="clear" w:color="auto" w:fill="F1EEE8"/>
        <w:spacing w:before="80" w:after="160"/>
        <w:ind w:left="142" w:right="142"/>
      </w:pPr>
      <w:r>
        <w:rPr>
          <w:b/>
        </w:rPr>
        <w:t>La idea: el sánscrito, como el griego y el hebreo, nombra la falta con la imagen del tiro que yerra el blanco.</w:t>
      </w:r>
    </w:p>
    <w:p>
      <w:r>
        <w:t>El griego y el hebreo de la Biblia nombran el pecado con una imagen de tiro (</w:t>
      </w:r>
      <w:r>
        <w:t>3.2</w:t>
      </w:r>
      <w:r>
        <w:t xml:space="preserve">). La tercera lengua es el sánscrito: el verbo </w:t>
      </w:r>
      <w:r>
        <w:rPr>
          <w:i/>
        </w:rPr>
        <w:t>apa-rādh</w:t>
      </w:r>
      <w:r>
        <w:t xml:space="preserve"> significa «errar el blanco», ya en el Atharvaveda, y también «agraviar, ofender» y «pecar»; y su sustantivo, </w:t>
      </w:r>
      <w:r>
        <w:rPr>
          <w:i/>
        </w:rPr>
        <w:t>aparādha</w:t>
      </w:r>
      <w:r>
        <w:t>, «ofensa, transgresión, falta; error»</w:t>
      </w:r>
      <w:r>
        <w:t xml:space="preserve"> [original: «apa-√ rādh […] to miss (one's aim, &amp;c.), AV. &amp;c.; to wrong, offend against […]; to offend, sin»; «apa-rādha, m. offence, transgression, fault; mistake»]</w:t>
      </w:r>
      <w:r>
        <w:t xml:space="preserve"> (Monier-Williams, A Sanskrit-English Dictionary (Diccionario sánscrito-inglés), Oxford, 1899, p. 51)</w:t>
      </w:r>
      <w:r>
        <w:t>.</w:t>
      </w:r>
    </w:p>
    <w:p>
      <w:r>
        <w:t>[07.00-18.5; leído hoy en local (g/otros, en el archivo del Diccionario Digital de Sánscrito de Colonia)]</w:t>
      </w:r>
    </w:p>
    <w:p>
      <w:r>
        <w:rPr>
          <w:b/>
        </w:rPr>
        <w:t>Conclusión, lo que arrojan los datos:</w:t>
      </w:r>
      <w:r>
        <w:t xml:space="preserve"> tres lenguas antiguas, el griego, el hebreo y el sánscrito, nombran la falta con la imagen del tiro que yerra: el error moral como una falta de dirección, que se puede corregir.</w:t>
      </w:r>
    </w:p>
    <w:p>
      <w:r>
        <w:rPr>
          <w:b/>
        </w:rPr>
        <w:t>Lectura del autor:</w:t>
      </w:r>
      <w:r>
        <w:t xml:space="preserve"> el Arca es el blanco (</w:t>
      </w:r>
      <w:r>
        <w:t>3.2</w:t>
      </w:r>
      <w:r>
        <w:t>); por eso la obra ofrece siempre una salida para rectificar antes de suponer mala fe (</w:t>
      </w:r>
      <w:r>
        <w:t>10.5</w:t>
      </w:r>
      <w:r>
        <w:t>).</w:t>
      </w:r>
    </w:p>
    <w:p>
      <w:r>
        <w:t>[07.00-18.6]</w:t>
      </w:r>
    </w:p>
    <w:p>
      <w:pPr>
        <w:pStyle w:val="Heading2"/>
      </w:pPr>
      <w:r>
        <w:t>F.9 Las reglas del juego de la vida, tradición por tradición</w:t>
      </w:r>
    </w:p>
    <w:p>
      <w:pPr>
        <w:pBdr>
          <w:left w:val="single" w:sz="24" w:space="6" w:color="E2DED6"/>
        </w:pBdr>
        <w:shd w:val="clear" w:color="auto" w:fill="F1EEE8"/>
        <w:spacing w:before="80" w:after="160"/>
        <w:ind w:left="142" w:right="142"/>
      </w:pPr>
      <w:r>
        <w:rPr>
          <w:b/>
        </w:rPr>
        <w:t xml:space="preserve">La idea: aquí están los pasajes de </w:t>
      </w:r>
      <w:r>
        <w:rPr>
          <w:b/>
        </w:rPr>
        <w:t>3.7</w:t>
      </w:r>
      <w:r>
        <w:rPr>
          <w:b/>
        </w:rPr>
        <w:t>, en sus doce tradiciones, cada uno con su fuente: qué se dio, qué se perdió y por dónde se vuelve; los del cribado, que el camino lo anda cada uno, el aviso antes de la consecuencia y quién la ejecuta; los del remate, que todo se ve y, en la mayoría, todo queda escrito; los del séptimo sello, tal como lo dice el texto; los del ungido; y dónde el texto dice algo distinto de lo que se esperaba.</w:t>
      </w:r>
    </w:p>
    <w:p>
      <w:r>
        <w:rPr>
          <w:b/>
        </w:rPr>
        <w:t>Cómo se leyó.</w:t>
      </w:r>
      <w:r>
        <w:t xml:space="preserve"> Un agente buscó los textos el 12-oct-2026 y la obra comprobó por programa que cada frase está tal cual en su archivo: 188 de 188. Para el cribado se leyeron después, el mismo día, tres lotes más con dos preguntas nuevas (si hay aviso antes de la consecuencia y quién la ejecuta), y se comprobaron igual: 456 de 456 frases. Para el remate se leyó, el mismo día, un lote más con otra pregunta (si todo se ve y si todo queda escrito), y se comprobó igual: 209 de 209 frases. Los del séptimo sello salieron de un encargo más, el 12-oct-2026, en la Reina-Valera Antigua, con el griego de la edición SBLGNT y el hebreo del códice de Leningrado, todo ya en local, y se comprobaron igual: 119 de 119 frases. Los del ungido salieron de dos lotes más del mismo encargo (D y E), el 12-oct-2026, y se comprobaron igual por programa. Lo que ya está en un capítulo no se repite: se nombra, con su remisión. La Biblia va en la Reina-Valera Antigua, el Corán en la traducción de Julio Cortés y el Popol Vuh en el castellano de Ximénez; las demás traducciones al español son de esta edición, con el texto del que se han hecho al lado (</w:t>
      </w:r>
      <w:r>
        <w:t>0.3</w:t>
      </w:r>
      <w:r>
        <w:t>). Todo es nivel A (original leído), salvo Génesis Rabbah 21, que va en una versión inglesa sin traductor nombrado: fuente secundaria. Los pasajes enteros, tradición por tradición, están en «Lo extenso».</w:t>
      </w:r>
    </w:p>
    <w:p>
      <w:r>
        <w:t>Fuentes: la Reina-Valera Antigua (eBible, edición de 1909); el Corán de Julio Cortés (Tanzil); Pirkei Avot en hebreo (Sefaria, Torat Emet) y Génesis Rabbah en la versión inglesa de Sefaria; el Vendidad en la traducción inglesa de Darmesteter y el Yasna en la de avesta.org; la Bhagavad Gita en sánscrito (GRETIL), cotejada con las traducciones inglesas de Telang y Arnold; el Dhammapada en la traducción inglesa de Max Müller; el Daodejing, las Analectas y Mencio en las de Legge, con el chino de Wikisource; las Instrucciones de Shuruppak en la del ETCSL (Oxford); Gilgamesh en la de Thompson; Ptahhotep en la de Gunn (1906) y Amenemope en la de Budge (1924); Hesíodo en la de Evelyn-White y Platón en la de Jowett; y el Popol Vuh en el castellano de Ximénez (edición de Scherzer, Viena, 1857). Para el cribado, además: el Protágoras en el griego de Burnet (Perseus); la Misná, Sanhedrín y Makkot, en hebreo (Sefaria); las Leyes de Manu en la traducción inglesa de Bühler; la Bṛhadāraṇyaka Upanishad en la de Max Müller; el Daodejing con el chino de Wang Bi (Wikisource); las Leyes y la República de Platón en la de Jowett; la Gran Ley de la Paz en la de Parker (1916); y la revista Lucifer de H. P. Blavatsky, tomo 1 (1887-1888), en Gutenberg. Para el remate, además: el Rig Veda y el Atharva Veda en la traducción inglesa de Griffith (OCR de archive.org); el Shujing en la de Legge; el Mihr Yasht en la de Darmesteter; el Papiro de Ani en la de Budge (1895, OCR); el Ganying Pian en la de Legge (1891, OCR), con la introducción del mismo Legge (Sacred Books of the East, 39, 1891); las Euménides de Esquilo en la de Smyth, con el griego (Perseus); la Edda poética en la de Bellows (1923, OCR); y Diógenes Laercio en la de Hicks (Perseus).</w:t>
      </w:r>
    </w:p>
    <w:p>
      <w:r>
        <w:rPr>
          <w:b/>
        </w:rPr>
        <w:t>Lo que dice de otro modo, tradición por tradición.</w:t>
      </w:r>
    </w:p>
    <w:p>
      <w:pPr>
        <w:pStyle w:val="ListBullet"/>
      </w:pPr>
      <w:r>
        <w:rPr>
          <w:b/>
        </w:rPr>
        <w:t>La Biblia:</w:t>
      </w:r>
      <w:r>
        <w:t xml:space="preserve"> Ezequiel 47:12, que se esperaba que nombrara el árbol de la vida, no lo nombra en la Reina-Valera: habla de árboles de comer junto al arroyo que sale del santuario, con hojas para medicina; el árbol de la vida con hojas para la sanidad de las naciones está en el Apocalipsis (Ap 22:2). Lc 17:21 dice </w:t>
      </w:r>
      <w:r>
        <w:rPr>
          <w:i/>
        </w:rPr>
        <w:t>entre vosotros</w:t>
      </w:r>
      <w:r>
        <w:t xml:space="preserve">, no </w:t>
      </w:r>
      <w:r>
        <w:rPr>
          <w:i/>
        </w:rPr>
        <w:t>dentro de vosotros</w:t>
      </w:r>
      <w:r>
        <w:t>. Y Ap 22:14 dice que se llega al árbol de la vida guardando sus mandamientos; las variantes del griego no se han mirado.</w:t>
      </w:r>
    </w:p>
    <w:p>
      <w:pPr>
        <w:pStyle w:val="ListBullet"/>
      </w:pPr>
      <w:r>
        <w:rPr>
          <w:b/>
        </w:rPr>
        <w:t>La tradición rabínica:</w:t>
      </w:r>
      <w:r>
        <w:t xml:space="preserve"> Génesis Rabbah 21 comenta la espada que guarda el camino del árbol de la vida, y los sabios la leen como la espada de la Torá, pero no dice que ese camino sea la Torá.</w:t>
      </w:r>
    </w:p>
    <w:p>
      <w:pPr>
        <w:pStyle w:val="ListBullet"/>
      </w:pPr>
      <w:r>
        <w:rPr>
          <w:b/>
        </w:rPr>
        <w:t>Persia:</w:t>
      </w:r>
      <w:r>
        <w:t xml:space="preserve"> el Vendidad 2 no habla de elegir: cuenta que Yima no quiso predicar la Religión. La elección está en el Yasna 30.</w:t>
      </w:r>
    </w:p>
    <w:p>
      <w:pPr>
        <w:pStyle w:val="ListBullet"/>
      </w:pPr>
      <w:r>
        <w:rPr>
          <w:b/>
        </w:rPr>
        <w:t>La India y el budismo:</w:t>
      </w:r>
      <w:r>
        <w:t xml:space="preserve"> la Bhagavad Gita, en sus versos 4.1 a 4.3, sin que se pidiera, dice que la enseñanza se perdió con el tiempo. Y el Dhammapada 276 dice, en la traducción de Müller, que los Budas </w:t>
      </w:r>
      <w:r>
        <w:rPr>
          <w:i/>
        </w:rPr>
        <w:t>are only preachers</w:t>
      </w:r>
      <w:r>
        <w:t xml:space="preserve"> (son solo predicadores), no que </w:t>
      </w:r>
      <w:r>
        <w:rPr>
          <w:i/>
        </w:rPr>
        <w:t>solo señalan el camino</w:t>
      </w:r>
      <w:r>
        <w:t>.</w:t>
      </w:r>
    </w:p>
    <w:p>
      <w:pPr>
        <w:pStyle w:val="ListBullet"/>
      </w:pPr>
      <w:r>
        <w:rPr>
          <w:b/>
        </w:rPr>
        <w:t>China:</w:t>
      </w:r>
      <w:r>
        <w:t xml:space="preserve"> el Daodejing 38 tiene cuatro peldaños tras la pérdida del Tao, no tres: tras la benevolencia viene la justicia, y después los ritos. Y la frase que se buscaba como Analectas 15.29 lleva el número 15.28 en la numeración de Legge.</w:t>
      </w:r>
    </w:p>
    <w:p>
      <w:pPr>
        <w:pStyle w:val="ListBullet"/>
      </w:pPr>
      <w:r>
        <w:rPr>
          <w:b/>
        </w:rPr>
        <w:t>Mesopotamia:</w:t>
      </w:r>
      <w:r>
        <w:t xml:space="preserve"> lo que Gilgamesh pierde es la planta de la vida, no unas instrucciones.</w:t>
      </w:r>
    </w:p>
    <w:p>
      <w:pPr>
        <w:pStyle w:val="ListBullet"/>
      </w:pPr>
      <w:r>
        <w:rPr>
          <w:b/>
        </w:rPr>
        <w:t>Egipto:</w:t>
      </w:r>
      <w:r>
        <w:t xml:space="preserve"> el traductor de Ptahhotep escribe </w:t>
      </w:r>
      <w:r>
        <w:rPr>
          <w:i/>
        </w:rPr>
        <w:t>Truth</w:t>
      </w:r>
      <w:r>
        <w:t xml:space="preserve"> (Verdad) y </w:t>
      </w:r>
      <w:r>
        <w:rPr>
          <w:i/>
        </w:rPr>
        <w:t>justice</w:t>
      </w:r>
      <w:r>
        <w:t xml:space="preserve"> (justicia) donde se esperaba Maat: la palabra no aparece en su traducción. De la Enseñanza para Merikare solo se leyó el resumen de Budge, y ni ella ni Amenemope hablan, en lo leído, de perder el camino.</w:t>
      </w:r>
    </w:p>
    <w:p>
      <w:pPr>
        <w:pStyle w:val="ListBullet"/>
      </w:pPr>
      <w:r>
        <w:rPr>
          <w:b/>
        </w:rPr>
        <w:t>Grecia:</w:t>
      </w:r>
      <w:r>
        <w:t xml:space="preserve"> Jowett traduce </w:t>
      </w:r>
      <w:r>
        <w:rPr>
          <w:i/>
        </w:rPr>
        <w:t>aidós</w:t>
      </w:r>
      <w:r>
        <w:t xml:space="preserve"> por </w:t>
      </w:r>
      <w:r>
        <w:rPr>
          <w:i/>
        </w:rPr>
        <w:t>reverence</w:t>
      </w:r>
      <w:r>
        <w:t xml:space="preserve"> (reverencia), no por pudor, y su traducción no trae la numeración de Stephanus: por eso los pasajes de Platón se citan por su mito, salvo los del Protágoras que pide el cribado, que se leyeron también en el griego de Burnet, que sí la trae. Y donde Jowett dice que Zeus manda dar muerte a </w:t>
      </w:r>
      <w:r>
        <w:rPr>
          <w:i/>
        </w:rPr>
        <w:t>el que no tenga parte</w:t>
      </w:r>
      <w:r>
        <w:t xml:space="preserve"> en la reverencia y la justicia, el griego dice </w:t>
      </w:r>
      <w:r>
        <w:rPr>
          <w:i/>
        </w:rPr>
        <w:t>el que no pueda</w:t>
      </w:r>
      <w:r>
        <w:t xml:space="preserve"> participar (τὸν μὴ δυνάμενον). Y Hesíodo, sin que se pidiera, da la ley que Zeus dio a los hombres (Trabajos y días 276-280).</w:t>
      </w:r>
    </w:p>
    <w:p>
      <w:pPr>
        <w:pStyle w:val="ListBullet"/>
      </w:pPr>
      <w:r>
        <w:rPr>
          <w:b/>
        </w:rPr>
        <w:t>América:</w:t>
      </w:r>
      <w:r>
        <w:t xml:space="preserve"> el resumen de Spence (1908), que la obra tenía, no trae la imagen del espejo: está en el castellano de Ximénez, que se leyó para esto.</w:t>
      </w:r>
    </w:p>
    <w:p>
      <w:r>
        <w:t>[parlamento de la arqueología (08/21), apartados 4 y 6; el índice del agente reglas_del_juego, 12-oct-2026, con sus archivos; el Corán de Cortés, 06/10 FUENTES LEIDAS, c4; los pasajes, sacados del índice por programa (construir_B19.py) y comprobados en su archivo; los del 14, del índice el_registro_de_todo, por programa (construir_todo_se_ve.py); los del 15, del índice el_septimo_sello, por programa (construir_B22.py); los del 16, de los índices D y E de el_camino_y_el_aviso, por programa (construir_B23.py)]</w:t>
      </w:r>
    </w:p>
    <w:p>
      <w:pPr>
        <w:pStyle w:val="Heading2"/>
      </w:pPr>
      <w:r>
        <w:t>Límite honesto de la prueba</w:t>
      </w:r>
    </w:p>
    <w:p>
      <w:pPr>
        <w:pStyle w:val="ListBullet"/>
      </w:pPr>
      <w:r>
        <w:rPr>
          <w:b/>
        </w:rPr>
        <w:t>La convergencia no es unanimidad.</w:t>
      </w:r>
      <w:r>
        <w:t xml:space="preserve"> Cada bloque tiene su pata coja, y se dice entera; algunos principios son débiles en algún bloque: P3 en América (tres citas de un mismo autor), P5 en África y América, y P9 en la India y en África, América y Oceanía, donde ningún texto lo dice directamente. Ninguna tradición tiene un texto expreso contra las multas como ingreso del poder.</w:t>
      </w:r>
    </w:p>
    <w:p>
      <w:pPr>
        <w:pStyle w:val="ListBullet"/>
      </w:pPr>
      <w:r>
        <w:rPr>
          <w:b/>
        </w:rPr>
        <w:t>La salida violenta no es la de la obra.</w:t>
      </w:r>
      <w:r>
        <w:t xml:space="preserve"> Algunos textos admiten acabar con el mal gobernante (Mencio 1B8, Mahabharata 13.60.20, Oyó y la Gran Ley iroquesa). La obra toma el principio, no esa salida: no invita a desobedecer, y su vía es la constancia escrita (</w:t>
      </w:r>
      <w:r>
        <w:t>capítulo 10</w:t>
      </w:r>
      <w:r>
        <w:t>).</w:t>
      </w:r>
    </w:p>
    <w:p>
      <w:pPr>
        <w:pStyle w:val="ListBullet"/>
      </w:pPr>
      <w:r>
        <w:rPr>
          <w:b/>
        </w:rPr>
        <w:t>Los hadices</w:t>
      </w:r>
      <w:r>
        <w:t xml:space="preserve"> se leyeron en una copia de datos, no en su edición impresa: van como fuente secundaria hasta cotejarlos. Y quedan sin examinar con la prueba de quién escribe la pata coja (</w:t>
      </w:r>
      <w:r>
        <w:t>3.4</w:t>
      </w:r>
      <w:r>
        <w:t>) los hadices de obediencia, los textos rabínicos de la pata coja y el Avesta.</w:t>
      </w:r>
    </w:p>
    <w:p>
      <w:pPr>
        <w:pStyle w:val="ListBullet"/>
      </w:pPr>
      <w:r>
        <w:rPr>
          <w:b/>
        </w:rPr>
        <w:t>Lo que no se leyó no entra.</w:t>
      </w:r>
      <w:r>
        <w:t xml:space="preserve"> Los agentes que buscaron los textos trajeron otros que no se leyeron en su fuente: el Popol Vuh (para los principios del Arca; se leyó después para otras cosas: </w:t>
      </w:r>
      <w:r>
        <w:t>2.3</w:t>
      </w:r>
      <w:r>
        <w:t xml:space="preserve"> y </w:t>
      </w:r>
      <w:r>
        <w:t>F.9</w:t>
      </w:r>
      <w:r>
        <w:t xml:space="preserve">), Grinnell sobre los cheyenes, la Constitución de Hawái (la ley del remo astillado), la Fetha Nagast, un estudio del </w:t>
      </w:r>
      <w:r>
        <w:rPr>
          <w:i/>
        </w:rPr>
        <w:t>xeer</w:t>
      </w:r>
      <w:r>
        <w:t xml:space="preserve"> de 2023, la Udyoga Parva 5.34, la Sabha Parva 2.5, la Brihadaranyaka 1.4.14, el edicto en roca 6 de Ashoka y los Angs 1032 y 145 del Guru Granth Sahib. Y dos que serían pata coja de P6, contra la cancelación de deudas: Cicerón, De officiis II, 78 y 84, que no apareció en la copia del latín, y Platón, Leyes V. No se encontraron el edicto de Ammisaduqa, cuyas traducciones tienen derechos de autor, ni la frase de Urukagina sobre «el recaudador de impuestos» que circula, que solo está en fuentes secundarias.</w:t>
      </w:r>
    </w:p>
    <w:p>
      <w:pPr>
        <w:pStyle w:val="ListBullet"/>
      </w:pPr>
      <w:r>
        <w:rPr>
          <w:b/>
        </w:rPr>
        <w:t>Los órdenes de costumbre</w:t>
      </w:r>
      <w:r>
        <w:t xml:space="preserve"> se leen con la cautela de Boas: el parecido no prueba un mismo origen. El juez de barrio elegido por los vecinos es de una sola fuente, del siglo XVIII (Clavijero), y Zorita, del siglo XVI, dice que los jueces de las cabeceras eran «hombres escogidos para ello» por los señores. Y que el Althing sea «uno de los parlamentos más antiguos del mundo» no entra: no se ha leído su fuente.</w:t>
      </w:r>
    </w:p>
    <w:p>
      <w:pPr>
        <w:pStyle w:val="ListBullet"/>
      </w:pPr>
      <w:r>
        <w:rPr>
          <w:b/>
        </w:rPr>
        <w:t>De la tabla de errar el blanco</w:t>
      </w:r>
      <w:r>
        <w:t xml:space="preserve"> quedan fuera dos filas que tenía la pieza, quitadas al leerlas en los diccionarios: la budista, porque </w:t>
      </w:r>
      <w:r>
        <w:rPr>
          <w:i/>
        </w:rPr>
        <w:t>akusala</w:t>
      </w:r>
      <w:r>
        <w:t>, que la pieza daba por «no maldad», es también «demérito, pecado»</w:t>
      </w:r>
      <w:r>
        <w:t xml:space="preserve"> [original: «(with Buddhists) demerit, sin»]</w:t>
      </w:r>
      <w:r>
        <w:t xml:space="preserve"> (Monier-Williams, p. 1308)</w:t>
      </w:r>
      <w:r>
        <w:t xml:space="preserve">; y la japonesa, porque </w:t>
      </w:r>
      <w:r>
        <w:rPr>
          <w:i/>
        </w:rPr>
        <w:t>giri</w:t>
      </w:r>
      <w:r>
        <w:t xml:space="preserve"> nombra el deber, no la falta.</w:t>
      </w:r>
    </w:p>
    <w:p>
      <w:r>
        <w:t>[archivo del Arca, «Pata coja», «No comprobado por Claude», «Lo que no se encontró», «Aún sin examinar» y «Pendiente»; 07.00-8.1 y 18.5 a 18.7; informes del 5-oct, g/INFORME_COSTUMBRE.md (8.1-h) y g/INFORME_PAN_Y_OTROS.md (2.2 y 2.3)]</w:t>
      </w:r>
    </w:p>
    <w:p>
      <w:pPr>
        <w:pStyle w:val="Heading2"/>
      </w:pPr>
      <w:r>
        <w:t>Dónde se oye la defensa del Estado</w:t>
      </w:r>
    </w:p>
    <w:p>
      <w:r>
        <w:t>La defensa del Estado frente al Arca, y lo que la obra le responde, se oyen en el juicio (</w:t>
      </w:r>
      <w:r>
        <w:t>capítulo 11</w:t>
      </w:r>
      <w:r>
        <w:t>):</w:t>
      </w:r>
    </w:p>
    <w:p>
      <w:pPr>
        <w:pStyle w:val="ListBullet"/>
      </w:pPr>
      <w:r>
        <w:rPr>
          <w:b/>
        </w:rPr>
        <w:t>en las cuestiones previas (</w:t>
      </w:r>
      <w:r>
        <w:rPr>
          <w:b/>
        </w:rPr>
        <w:t>11.2</w:t>
      </w:r>
      <w:r>
        <w:rPr>
          <w:b/>
        </w:rPr>
        <w:t>):</w:t>
      </w:r>
      <w:r>
        <w:t xml:space="preserve"> «El Estado es aconfesional» (n.º 5) y «Tres pilares son pocos, y la convergencia es una selección interesada» (n.º 9);</w:t>
      </w:r>
    </w:p>
    <w:p>
      <w:pPr>
        <w:pStyle w:val="ListBullet"/>
      </w:pPr>
      <w:r>
        <w:rPr>
          <w:b/>
        </w:rPr>
        <w:t xml:space="preserve">y en el </w:t>
      </w:r>
      <w:r>
        <w:rPr>
          <w:b/>
        </w:rPr>
        <w:t>cargo 1</w:t>
      </w:r>
      <w:r>
        <w:rPr>
          <w:b/>
        </w:rPr>
        <w:t xml:space="preserve"> («La ley humana, primera fuente»).</w:t>
      </w:r>
    </w:p>
    <w:p>
      <w:r>
        <w:t xml:space="preserve">Las que miran al </w:t>
      </w:r>
      <w:r>
        <w:t>capítulo 3</w:t>
      </w:r>
      <w:r>
        <w:t>, en su lugar (3, «Dónde se oye la defensa del Estado»).</w:t>
      </w:r>
    </w:p>
    <w:p>
      <w:r>
        <w:t>[clasificación de las defensas, aprobada; 11.2 y 11.3]</w:t>
      </w:r>
    </w:p>
    <w:p>
      <w:pPr>
        <w:pStyle w:val="Heading2"/>
      </w:pPr>
      <w:r>
        <w:t>Para recordar</w:t>
      </w:r>
    </w:p>
    <w:p>
      <w:pPr>
        <w:pStyle w:val="ListBullet"/>
      </w:pPr>
      <w:r>
        <w:t xml:space="preserve">Los nueve principios del Arca se leen en seis bloques de tradiciones, cada texto con su fuente; los más fuertes están en el </w:t>
      </w:r>
      <w:r>
        <w:t>capítulo 3</w:t>
      </w:r>
      <w:r>
        <w:t>, y aquí, todos los demás.</w:t>
      </w:r>
    </w:p>
    <w:p>
      <w:pPr>
        <w:pStyle w:val="ListBullet"/>
      </w:pPr>
      <w:r>
        <w:t>Cada bloque tiene su pata coja, y se dice.</w:t>
      </w:r>
    </w:p>
    <w:p>
      <w:pPr>
        <w:pStyle w:val="ListBullet"/>
      </w:pPr>
      <w:r>
        <w:t>El rey que no protege es un ladrón, y el tirano deja de ser rey; la obra toma el principio, no la salida violenta.</w:t>
      </w:r>
    </w:p>
    <w:p>
      <w:pPr>
        <w:pStyle w:val="ListBullet"/>
      </w:pPr>
      <w:r>
        <w:t>El pan propio lo mandan ocho textos de seis civilizaciones, desde las tablillas de Shuruppak.</w:t>
      </w:r>
    </w:p>
    <w:p>
      <w:pPr>
        <w:pStyle w:val="ListBullet"/>
      </w:pPr>
      <w:r>
        <w:t>Pueblos que se dieron su orden por su cuenta coinciden en la tierra en común, la compensación del daño y la decisión en consejo: el orden no nació con la ley de los Estados modernos.</w:t>
      </w:r>
    </w:p>
    <w:p>
      <w:pPr>
        <w:pStyle w:val="ListBullet"/>
      </w:pPr>
      <w:r>
        <w:t>Tres lenguas antiguas llaman a la falta errar el blanco: un tiro que se puede corregir.</w:t>
      </w:r>
    </w:p>
    <w:p>
      <w:pPr>
        <w:pStyle w:val="ListBullet"/>
      </w:pPr>
      <w:r>
        <w:t>Las reglas del juego de la vida, en doce tradiciones: qué se dio, qué se perdió y por dónde se vuelve, cada pasaje con su fuente (</w:t>
      </w:r>
      <w:r>
        <w:t>F.9</w:t>
      </w:r>
      <w:r>
        <w:t>).</w:t>
      </w:r>
    </w:p>
    <w:p>
      <w:pPr>
        <w:keepNext/>
        <w:pBdr>
          <w:top w:val="single" w:sz="6" w:space="8" w:color="1F1D1A"/>
        </w:pBdr>
        <w:spacing w:before="480"/>
        <w:jc w:val="center"/>
      </w:pPr>
      <w:r>
        <w:drawing>
          <wp:inline xmlns:a="http://schemas.openxmlformats.org/drawingml/2006/main" xmlns:pic="http://schemas.openxmlformats.org/drawingml/2006/picture">
            <wp:extent cx="792000" cy="792000"/>
            <wp:docPr id="1" name="Picture 1"/>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792000" cy="792000"/>
                    </a:xfrm>
                    <a:prstGeom prst="rect"/>
                  </pic:spPr>
                </pic:pic>
              </a:graphicData>
            </a:graphic>
          </wp:inline>
        </w:drawing>
      </w:r>
    </w:p>
    <w:p>
      <w:pPr>
        <w:spacing w:after="20"/>
        <w:jc w:val="center"/>
      </w:pPr>
      <w:r>
        <w:rPr>
          <w:rFonts w:ascii="Segoe UI" w:hAnsi="Segoe UI" w:eastAsia="Segoe UI" w:cs="Segoe UI"/>
          <w:b/>
          <w:color w:val="1F1D1A"/>
          <w:sz w:val="19"/>
        </w:rPr>
        <w:t>Apocalipsis del Sistema · Edición de lectura · Kiko Orozco Rocamora</w:t>
      </w:r>
    </w:p>
    <w:p>
      <w:pPr>
        <w:spacing w:after="20"/>
        <w:jc w:val="center"/>
      </w:pPr>
      <w:r>
        <w:rPr>
          <w:rFonts w:ascii="Segoe UI" w:hAnsi="Segoe UI" w:eastAsia="Segoe UI" w:cs="Segoe UI"/>
          <w:b w:val="0"/>
          <w:color w:val="6B665E"/>
          <w:sz w:val="17"/>
        </w:rPr>
        <w:t>La obra entera: completo · versión del 13 de octubre de 2026 · huella SHA-256 de los textos 2a4fcfc34e05630b…</w:t>
      </w:r>
    </w:p>
    <w:p>
      <w:pPr>
        <w:spacing w:after="20"/>
        <w:jc w:val="center"/>
      </w:pPr>
      <w:r>
        <w:rPr>
          <w:rFonts w:ascii="Segoe UI" w:hAnsi="Segoe UI" w:eastAsia="Segoe UI" w:cs="Segoe UI"/>
          <w:b w:val="0"/>
          <w:color w:val="6B665E"/>
          <w:sz w:val="17"/>
        </w:rPr>
        <w:t>La versión completa y comprobable, con cada cita en su fuente, está en la edición publicada.</w:t>
      </w:r>
    </w:p>
    <w:p>
      <w:pPr>
        <w:spacing w:after="40" w:before="40"/>
      </w:pPr>
      <w:r>
        <w:rPr>
          <w:rFonts w:ascii="Segoe UI" w:hAnsi="Segoe UI" w:eastAsia="Segoe UI" w:cs="Segoe UI"/>
          <w:color w:val="6B665E"/>
          <w:sz w:val="16"/>
        </w:rPr>
        <w:t>El juicio popular de la verdad es un tribunal de opinión: no tiene carácter oficial ni fuerza legal.</w:t>
      </w:r>
    </w:p>
    <w:p>
      <w:pPr>
        <w:spacing w:after="40" w:before="40"/>
      </w:pPr>
      <w:r>
        <w:rPr>
          <w:rFonts w:ascii="Segoe UI" w:hAnsi="Segoe UI" w:eastAsia="Segoe UI" w:cs="Segoe UI"/>
          <w:color w:val="6B665E"/>
          <w:sz w:val="16"/>
        </w:rPr>
        <w:t>Si lees esto en otro idioma, es una traducción automática, no revisada. La obra se escribió en España, en español; en caso de duda prevalece el español.</w:t>
      </w:r>
    </w:p>
    <w:p>
      <w:pPr>
        <w:spacing w:after="40" w:before="40"/>
      </w:pPr>
      <w:r>
        <w:rPr>
          <w:rFonts w:ascii="Segoe UI" w:hAnsi="Segoe UI" w:eastAsia="Segoe UI" w:cs="Segoe UI"/>
          <w:color w:val="6B665E"/>
          <w:sz w:val="16"/>
        </w:rPr>
        <w:t>Esta obra no da asesoramiento financiero ni jurídico y no exime de ninguna obligación vigente.</w:t>
      </w:r>
    </w:p>
    <w:sectPr w:rsidR="00FC693F" w:rsidRPr="0006063C" w:rsidSect="00034616">
      <w:footerReference w:type="default" r:id="rId9"/>
      <w:pgSz w:w="11906" w:h="16838"/>
      <w:pgMar w:top="1304" w:right="1361" w:bottom="1304"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184" w:val="right"/>
      </w:tabs>
    </w:pPr>
    <w:r>
      <w:rPr>
        <w:rFonts w:ascii="Segoe UI" w:hAnsi="Segoe UI" w:eastAsia="Segoe UI" w:cs="Segoe UI"/>
        <w:color w:val="6B665E"/>
        <w:sz w:val="17"/>
      </w:rPr>
      <w:t>Apocalipsis del Sistema · Edición de lectura · La obra entera: completo · Anexo F. El Arca: los textos de cada tradición, con su fuent</w:t>
      <w:tab/>
    </w:r>
    <w:r>
      <w:rPr>
        <w:rFonts w:ascii="Segoe UI" w:hAnsi="Segoe UI" w:eastAsia="Segoe UI" w:cs="Segoe UI"/>
        <w:color w:val="6B665E"/>
        <w:sz w:val="17"/>
      </w:rPr>
      <w:fldChar w:fldCharType="begin"/>
      <w:instrText xml:space="preserve"> PAGE </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312" w:lineRule="auto"/>
    </w:pPr>
    <w:rPr>
      <w:rFonts w:ascii="Georgia" w:hAnsi="Georgia" w:eastAsia="Georgia" w:cs="Georgia"/>
      <w:color w:val="1F1D1A"/>
      <w:sz w:val="22"/>
      <w:lang w:val="es-ES" w:eastAsia="es-E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160" w:line="276" w:lineRule="auto"/>
      <w:outlineLvl w:val="0"/>
    </w:pPr>
    <w:rPr>
      <w:rFonts w:asciiTheme="majorHAnsi" w:eastAsiaTheme="majorEastAsia" w:hAnsiTheme="majorHAnsi" w:cstheme="majorBidi" w:ascii="Georgia" w:hAnsi="Georgia" w:eastAsia="Georgia" w:cs="Georgia"/>
      <w:b/>
      <w:bCs/>
      <w:i w:val="0"/>
      <w:color w:val="1F1D1A"/>
      <w:sz w:val="42"/>
      <w:szCs w:val="28"/>
    </w:rPr>
  </w:style>
  <w:style w:type="paragraph" w:styleId="Heading2">
    <w:name w:val="heading 2"/>
    <w:basedOn w:val="Normal"/>
    <w:next w:val="Normal"/>
    <w:link w:val="Heading2Char"/>
    <w:uiPriority w:val="9"/>
    <w:unhideWhenUsed/>
    <w:qFormat/>
    <w:rsid w:val="00FC693F"/>
    <w:pPr>
      <w:keepNext/>
      <w:keepLines/>
      <w:spacing w:before="320" w:after="80" w:line="276" w:lineRule="auto"/>
      <w:outlineLvl w:val="1"/>
    </w:pPr>
    <w:rPr>
      <w:rFonts w:asciiTheme="majorHAnsi" w:eastAsiaTheme="majorEastAsia" w:hAnsiTheme="majorHAnsi" w:cstheme="majorBidi" w:ascii="Georgia" w:hAnsi="Georgia" w:eastAsia="Georgia" w:cs="Georgia"/>
      <w:b/>
      <w:bCs/>
      <w:i w:val="0"/>
      <w:color w:val="1F1D1A"/>
      <w:sz w:val="30"/>
      <w:szCs w:val="26"/>
    </w:rPr>
  </w:style>
  <w:style w:type="paragraph" w:styleId="Heading3">
    <w:name w:val="heading 3"/>
    <w:basedOn w:val="Normal"/>
    <w:next w:val="Normal"/>
    <w:link w:val="Heading3Char"/>
    <w:uiPriority w:val="9"/>
    <w:unhideWhenUsed/>
    <w:qFormat/>
    <w:rsid w:val="00FC693F"/>
    <w:pPr>
      <w:keepNext/>
      <w:keepLines/>
      <w:spacing w:before="240" w:after="60" w:line="276" w:lineRule="auto"/>
      <w:outlineLvl w:val="2"/>
    </w:pPr>
    <w:rPr>
      <w:rFonts w:asciiTheme="majorHAnsi" w:eastAsiaTheme="majorEastAsia" w:hAnsiTheme="majorHAnsi" w:cstheme="majorBidi" w:ascii="Georgia" w:hAnsi="Georgia" w:eastAsia="Georgia" w:cs="Georgia"/>
      <w:b/>
      <w:bCs/>
      <w:i w:val="0"/>
      <w:color w:val="1F1D1A"/>
      <w:sz w:val="25"/>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rPr>
      <w:rFonts w:ascii="Georgia" w:hAnsi="Georgia" w:eastAsia="Georgia" w:cs="Georgia"/>
      <w:color w:val="1F1D1A"/>
      <w:sz w:val="22"/>
    </w:rPr>
  </w:style>
  <w:style w:type="paragraph" w:styleId="ListBullet2">
    <w:name w:val="List Bullet 2"/>
    <w:basedOn w:val="Normal"/>
    <w:uiPriority w:val="99"/>
    <w:unhideWhenUsed/>
    <w:rsid w:val="00326F90"/>
    <w:pPr>
      <w:numPr>
        <w:numId w:val="2"/>
      </w:numPr>
      <w:spacing w:after="60"/>
      <w:contextualSpacing/>
    </w:pPr>
    <w:rPr>
      <w:rFonts w:ascii="Georgia" w:hAnsi="Georgia" w:eastAsia="Georgia" w:cs="Georgia"/>
      <w:color w:val="1F1D1A"/>
      <w:sz w:val="22"/>
    </w:rPr>
  </w:style>
  <w:style w:type="paragraph" w:styleId="ListBullet3">
    <w:name w:val="List Bullet 3"/>
    <w:basedOn w:val="Normal"/>
    <w:uiPriority w:val="99"/>
    <w:unhideWhenUsed/>
    <w:rsid w:val="00326F90"/>
    <w:pPr>
      <w:numPr>
        <w:numId w:val="3"/>
      </w:numPr>
      <w:spacing w:after="60"/>
      <w:contextualSpacing/>
    </w:pPr>
    <w:rPr>
      <w:rFonts w:ascii="Georgia" w:hAnsi="Georgia" w:eastAsia="Georgia" w:cs="Georgia"/>
      <w:color w:val="1F1D1A"/>
      <w:sz w:val="22"/>
    </w:r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Anexo F. El Arca: los textos de cada tradición, con su fuente · La obra entera: completo</dc:title>
  <dc:subject/>
  <dc:creator>Kiko Orozco Rocamora</dc:creator>
  <cp:keywords/>
  <dc:description>generated by python-docx</dc:description>
  <cp:lastModifiedBy/>
  <cp:revision>1</cp:revision>
  <dcterms:created xsi:type="dcterms:W3CDTF">2026-10-12T22:21:46Z</dcterms:created>
  <dcterms:modified xsi:type="dcterms:W3CDTF">2026-10-12T22:21:46Z</dcterms:modified>
  <cp:category/>
  <dc:language>es-ES</dc:language>
</cp:coreProperties>
</file>