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keepNext/>
      </w:pPr>
      <w:r>
        <w:rPr>
          <w:rFonts w:ascii="Segoe UI" w:hAnsi="Segoe UI" w:eastAsia="Segoe UI" w:cs="Segoe UI"/>
          <w:b/>
          <w:color w:val="6B665E"/>
          <w:sz w:val="20"/>
        </w:rPr>
        <w:t>Notas de trabajo (estado y trazabilidad)</w:t>
      </w:r>
    </w:p>
    <w:p>
      <w:r>
        <w:t>ESTADO: APROBADO por Kiko el 7-oct-2026 («si»; conversación del aviso PASO 3.4, ya en Sonnet 5.5); sus marcas, en 04 CAPITULOS/marcas/marcas del anexo B.txt. Paso 3. Sale de la pieza 21.00 (§2 bis, §3 bis, §5, §7 a §10 y §13; archivo congelado). Plan aprobado por Kiko («si a las dos»): estructura B.0 a B.6; las horquillas del tiempo de los trámites sin la gestoría (de 2.763 a 4.778 €), con la gestoría nombrada sin cifra y su cifra a flecos; y B.5 con las comisiones bancarias «con lo que hay»: los documentos del Banco Santander son de 2021 a 2025 y el único dato de 2026 es la media de ASUFIN; la experiencia de Kiko (20 € al mes por una cuenta personal, Santander One; 30 € al mes por la de su actividad, Santander One Empresas), como experiencia del autor, sin fecha de verificación, con su permiso y con el NOMBRE DEL BANCO y los ENLACES de cada documento (Kiko, 7-oct: «el nombre del banco lo debes poner, y de dónde sacas el dato, el enlace»). No es anexo de consulta: sin defensa propia; la defensa del Estado se oye en el cargo 25 (la carga) y en el 4 (el ahorro). Escrito en tres niveles y con remisiones enlazables. Leído hoy en su original (en local): - INE, índice general de precios de consumo, base 2025 (c9a, tabla 24077): agosto de 2026, 104,638 frente a 100,345 en agosto de 2025: +4,28 % (cálculo); la tasa más alta desde febrero de 2023 (6,0 %: todas las intermedias, por debajo del 4,3); media de los doce meses hasta agosto de 2026, 3,14 %; media de 2025, 2,67 %; de 2024, 2,77 %; diciembre de 2025, 2,92 %. Todo cálculo de la obra con el índice. - AIReF, informe sobre los presupuestos iniciales de 2026, 15-4-2026 (c8b): convenios, 3,56 % en 2025 y 2,9 % en marzo de 2026; «se espera que en el conjunto de 2026 los salarios reales disminuyan de manera moderada»: remuneración por asalariado del 3 %, «algo por debajo de la inflación (3,2 %)». - INE, Encuesta de Presupuestos Familiares 2025 (c9e, tabla 73779): agua y otros servicios de la vivienda, 952,47 €; electricidad, gas y otros combustibles, 1.254,63 €; servicios financieros, 16,96 € (gasto total medio por hogar). La nota de prensa da 35.101 € por hogar y 14.066 por persona: unas 2,5 personas por hogar (cálculo). - Ley 38/1992, de Impuestos Especiales (c10): art. 99.1, electricidad, «el 5,11269632 por ciento»; art. 70, tipos del impuesto de matriculación por epígrafes de emisiones de CO2. - Texto refundido de la Ley Reguladora de las Haciendas Locales (c9e): art. 72.1 (IBI, 0,4 % y 1,10 % en urbanos) y art. 95.1 (cuota de turismos de 12,62 a 112,00 €) y 95.4 (coeficiente que no podrá ser superior a 2). - Ley General de la Seguridad Social (c5): art. 136.2.ñ) y o) (altos cargos que no sean funcionarios, y miembros de las corporaciones locales con dedicación, en el Régimen General) y art. 264.1 (personas protegidas por desempleo: los funcionarios de carrera no figuran). - Instituto Juan de Mariana, Impuestómetro 2026 (c8b): la lista de las categorías, la tasa de basuras fuera de su cifra y los 705 € municipales (IBI, IVTM, ICIO, plusvalía municipal e IAE). Estudio privado. - Banco Santander (lote nuevo 10 FUENTES LEIDAS/b_santander, bajado hoy con permiso de Kiko): cuatro documentos de información precontractual (2021, 2022 y los dos de particulares, con metadatos de 2025), la página de autónomos leída hoy y una nota de prensa de 2024; ver B.5. Hallado al escribir (erratas ya en el 07, salvo la primera, que va con él; la edición lleva la versión de la fuente): - 21.00-10.2: la pieza dice que la tasa de basuras «ya está contada» en las capas, con el Impuestómetro como apoyo. El Impuestómetro dice lo contrario: la nueva tasa de basuras, «que ronda los 200 euros por hogar en determinados municipios», no entra en su cifra «a la espera de estudios que concreten su impacto»; los 705 € municipales son IBI, IVTM, ICIO, plusvalía municipal e IAE. Coincide con 21.00-3.24. Va la versión de la fuente. - 21.00-4.4: el 15,6 % de autónomos es el 15,7 % de 21.844.414 afiliados. - 21.00-4.5: el Boletín de enero de 2025 da 3.033.304 personas (no 3.037.432), con sus porcentajes y sus cifras de carrera, laboral y otro personal. - 21.00-4.10 y 4.11: con el 31,50 % de la Orden de cotización (no el 31,4 % del modelo), 46,9, 48,9, 51,1, 53,2 y 27,5; de ahí lo que queda a la base máxima, 46,8. - 21.00-5.1: 2.531,22 € es el coste salarial del cuarto trimestre de 2025 (con la paga extra), no la media del año (2.376,55 €, +3,2 %); 27.447 € no está en el INE (ETCL de 2024, 27.622,20 €, +3,85 %). - 21.00-5.4 y 5.5: el depósito a plazo era del 1,77 % en marzo de 2026, no del 1,82 %; con él, los 10.000 € dejan 9,60 € y no 14,73 € frente a la media de ASUFIN. - 21.00-8.2: el art. 34.1 del Estatuto no da horas al año; las 1.826 de jornada son un cálculo de la obra. No entra todavía, y queda en 05 FLECOS para leerlo en su fuente (Kiko: «nunca fuera»): - 21.00-4.7: el efecto de los altos cargos sobre la media, «unos 11 euros» (cálculo anterior sin sumandos). - 21.00-4.15: que los funcionarios de carrera tampoco coticen por el Fondo de Garantía Salarial ni por formación (supuesto del cuadro, no verificado): la Orden PJC/297/2026 no dice nada de esas dos cotizaciones para ellos. - 21.00-5.5: que el agregado de depósitos de los hogares esté concentrado en las rentas altas. - 21.00-10.2 y 10.10: el 42 al 50 % de impuestos de la gasolina (Repsol y RACE), los tipos de IVA de la luz, la gasolina y el agua (los del alquiler, la alimentación y la hostelería se leyeron el 7-oct en la Ley 37/1992 y están en B.4); la comparación con las facturas de suministros. - 21.00-8.5 a 8.7 y 10.5: la gestoría de 700 a 1.500 euros al año (comparadores, no oficial). Y la tarifa vigente en 2026 del Banco Santander, que consta en el registro del Banco de España (su portal no se pudo leer desde fuera de un navegador). Conceptos que usa, ya anclados: la carga, las cinco capas, los tres perfiles y los costes indirectos (8.4); la pérdida de valor de la moneda (8.1 a 8.3); el sistema de reparto (5.1, n.º 1); el juicio y sus cargos (11). Lo que no se repite: la cifra oficial de presión fiscal, el asalariado medio con sus cinco capas y las dos bases, la cuota del autónomo y sus tipos, los costes indirectos y las 226 horas de ATA (8.4); lo que cuestan las nóminas públicas, las pensiones y los cargos políticos (anexo C).</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 </w:t>
      </w:r>
      <w:r>
        <w:t>[21.00-4.1]</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 xml:space="preserve">INE, Encuesta de Población Activa </w:t>
            </w:r>
            <w:r>
              <w:rPr>
                <w:rFonts w:ascii="Segoe UI" w:hAnsi="Segoe UI" w:eastAsia="Segoe UI" w:cs="Segoe UI"/>
                <w:color w:val="1F1D1A"/>
                <w:sz w:val="18"/>
              </w:rPr>
              <w:t>[21.00-4.2; 21.00-4.3]</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 xml:space="preserve">Agencia Tributaria, Modelo 190 </w:t>
            </w:r>
            <w:r>
              <w:rPr>
                <w:rFonts w:ascii="Segoe UI" w:hAnsi="Segoe UI" w:eastAsia="Segoe UI" w:cs="Segoe UI"/>
                <w:color w:val="1F1D1A"/>
                <w:sz w:val="18"/>
              </w:rPr>
              <w:t>[21.00-4.6]</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 xml:space="preserve">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 </w:t>
      </w:r>
      <w:r>
        <w:t>[21.00-4.7]</w:t>
      </w:r>
    </w:p>
    <w:p>
      <w:r>
        <w:t xml:space="preserve">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 </w:t>
      </w:r>
      <w:r>
        <w:t>[21.00-4.7]</w:t>
      </w:r>
    </w:p>
    <w:p>
      <w:r>
        <w:t>Los altos cargos que no son funcionarios cotizan en el Régimen General</w:t>
      </w:r>
      <w:r>
        <w:t xml:space="preserve"> (Ley General de la Seguridad Social, art. 136.2.ñ)</w:t>
      </w:r>
      <w:r>
        <w:t xml:space="preserve">; cuántos son y qué cobran está en C.1. </w:t>
      </w:r>
      <w:r>
        <w:t>[21.00-4.7]</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 xml:space="preserve">). </w:t>
      </w:r>
      <w:r>
        <w:t>[21.00-4.8; 21.00-9.6]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[21.00-4.9; 21.00-4.10; 21.00-4.11; 21.00-4.12; 21.00-4.13; 21.00-4.14; 21.00-9.7; 21.00-9.8; 21.00-9.9, con las erratas del 07: 46,9, 48,9, 51,1, 53,2 y 27,5]</w:t>
      </w: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r>
        <w:t>[21.00-4.10]</w:t>
      </w:r>
    </w:p>
    <w:p>
      <w:pPr>
        <w:pStyle w:val="ListBullet"/>
      </w:pPr>
      <w:r>
        <w:rPr>
          <w:i/>
        </w:rPr>
        <w:t>Autónomo con sociedad.</w:t>
      </w:r>
      <w:r>
        <w:t xml:space="preserve"> La capa 4 es el Impuesto de Sociedades real de la sociedad, no una hipótesis; por eso no es comparable capa a capa con los demás perfiles. </w:t>
      </w:r>
      <w:r>
        <w:t>[21.00-4.11]</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r>
        <w:t>[21.00-4.12; 21.00-4.13; 21.00-4.14; 21.00-9.7; 21.00-9.8; 21.00-9.9]</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t xml:space="preserve"> (Ley General de la Seguridad Social, art. 264.1; lectura de la obra del texto)</w:t>
      </w:r>
      <w:r>
        <w:t>. La Orden PJC/297/2026 es coherente con ello: los reservistas voluntarios cotizan por desempleo «salvo cuando sean funcionarios de carrera»</w:t>
      </w:r>
      <w:r>
        <w:t xml:space="preserve"> (Orden PJC/297/2026, art. 33.2.a), 10.º)</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xml:space="preserve">). El cuadro mide lo que el funcionario y su empleador aportan, no lo que costará pagar su pensión ni si lo aportado alcanza. </w:t>
      </w:r>
      <w:r>
        <w:t>[21.00-4.15; 21.00-9.10]</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 xml:space="preserve">). </w:t>
      </w:r>
      <w:r>
        <w:t>[21.00-4.16]</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 xml:space="preserve">. </w:t>
      </w:r>
      <w:r>
        <w:t>[21.00-4.17; 21.00-4.18]</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t xml:space="preserve"> (Instituto Juan de Mariana, Impuestómetro 2026, Anexo 1)</w:t>
      </w:r>
      <w:r>
        <w:t xml:space="preserve">.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 </w:t>
      </w:r>
      <w:r>
        <w:t>[21.00-10.1; 21.00-10.2]</w:t>
      </w:r>
    </w:p>
    <w:p>
      <w:r>
        <w:t>Con la electricidad pasa lo mismo: el impuesto especial es del 5,11269632 % sobre la base</w:t>
      </w:r>
      <w:r>
        <w:t xml:space="preserve"> (Ley 38/1992, art. 99.1)</w:t>
      </w:r>
      <w:r>
        <w:t xml:space="preserve">, y está dentro de los impuestos especiales de la capa 3. Cuánto pesa el de los hidrocarburos en el precio de la gasolina y qué tipos de IVA llevan la luz, la gasolina y el agua no se han leído en su fuente: no entran todavía. </w:t>
      </w:r>
      <w:r>
        <w:t>[21.00-10.2]</w:t>
      </w:r>
    </w:p>
    <w:p>
      <w:r>
        <w:rPr>
          <w:b/>
        </w:rPr>
        <w:t>El IVA de la vida cotidiana.</w:t>
      </w:r>
      <w:r>
        <w:t xml:space="preserve"> No está solo el de la luz y el agua: es la parte principal de la capa del IVA. La recaudación de IVA sobre el consumo de los hogares fue de 61.289 millones de euros en 2022</w:t>
      </w:r>
      <w:r>
        <w:t xml:space="preserve"> (Fedea)</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t xml:space="preserve"> (Ley 37/1992, del IVA)</w:t>
      </w:r>
      <w:r>
        <w:t xml:space="preserve">. </w:t>
      </w:r>
      <w:r>
        <w:t>[21.00-10.10]</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t xml:space="preserve"> (Eurostat, cuentas nacionales)</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t xml:space="preserve"> (Instituto Juan de Mariana, Impuestómetro 2026, con datos del Institut économique Molinari)</w:t>
      </w:r>
      <w:r>
        <w:t xml:space="preserve">, y supone, por decisión de la obra, que gasta entre el 88 y el 100 % (de 20.525 a 23.324 euros): ese reparto es un supuesto, no un dato. </w:t>
      </w:r>
      <w:r>
        <w:t>[21.00-3.9]</w:t>
      </w:r>
    </w:p>
    <w:p>
      <w:r>
        <w:rPr>
          <w:b/>
        </w:rPr>
        <w:t>Lo que no está en las capas.</w:t>
      </w:r>
      <w:r>
        <w:t xml:space="preserve"> La nueva tasa de basuras, que ronda los 200 euros por hogar en determinados municipios, según el propio Impuestómetro, que no la suma a la espera de estudios</w:t>
      </w:r>
      <w:r>
        <w:t xml:space="preserve"> (Instituto Juan de Mariana, Impuestómetro 2026)</w:t>
      </w:r>
      <w:r>
        <w:t>; las tasas de ITV y de tráfico; el impuesto de matriculación</w:t>
      </w:r>
      <w:r>
        <w:t xml:space="preserve"> (Ley 38/1992, art. 70, con tipos por epígrafes de emisiones de CO2)</w:t>
      </w:r>
      <w:r>
        <w:t xml:space="preserve">; el impuesto sobre las primas de seguros; el efecto de no deflactar el IRPF, que el informe cuenta como subida encubierta pero no cuantifica en euros; y las tasas y aranceles de notarios y registros. </w:t>
      </w:r>
      <w:r>
        <w:t>[21.00-3.24; 21.00-10.2, con la errata del 07: la tasa de basuras no está contada]</w:t>
      </w:r>
    </w:p>
    <w:p>
      <w:r>
        <w:rPr>
          <w:b/>
        </w:rPr>
        <w:t>Los tributos de la vida diaria, con lo que consta.</w:t>
      </w:r>
      <w:r>
        <w:t xml:space="preserve"> El IBI tiene un tipo mínimo del 0,4 % y máximo del 1,10 % del valor catastral en los inmuebles urbanos</w:t>
      </w:r>
      <w:r>
        <w:t xml:space="preserve"> (Texto refundido de la Ley Reguladora de las Haciendas Locales, art. 72.1)</w:t>
      </w:r>
      <w:r>
        <w:t>. El impuesto sobre vehículos de tracción mecánica tiene una cuota base por caballos fiscales —en turismos, de 12,62 a 112,00 euros— que los ayuntamientos pueden subir con un coeficiente no superior a 2</w:t>
      </w:r>
      <w:r>
        <w:t xml:space="preserve"> (art. 95.1 y 95.4)</w:t>
      </w:r>
      <w:r>
        <w:t xml:space="preserve">; ambos están dentro de los tributos municipales. Del permiso de circulación, las tasas de tráfico, la ITV (cuyas tarifas fijan las comunidades autónomas) y el seguro obligatorio no se han verificado los importes, y no están en las capas: se citan como existentes, sin cifra. </w:t>
      </w:r>
      <w:r>
        <w:t>[21.00-10.3]</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t xml:space="preserve"> (INE, EPF 2025)</w:t>
      </w:r>
      <w:r>
        <w:t xml:space="preserve">. Son medias por hogar, de unas 2,5 personas, no por trabajador (cálculo de la obra con la nota del INE). </w:t>
      </w:r>
      <w:r>
        <w:t>[21.00-10.4]</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xml:space="preserve">): quien sea autónomo debe tenerla en cuenta aparte. Cuánto cuesta no se ha leído en una fuente oficial: no entra todavía. </w:t>
      </w:r>
      <w:r>
        <w:t>[21.00-10.5]</w:t>
      </w:r>
    </w:p>
    <w:p>
      <w:r>
        <w:t xml:space="preserve">Fuentes: Instituto Juan de Mariana, Impuestómetro (metodología y categorías); Ley 38/1992, arts. 70 y 99; Texto refundido de la Ley Reguladora de las Haciendas Locales, arts. 72 y 95; INE, Encuesta de Presupuestos Familiares 2025; Eurostat, cuentas nacionales; Fedea, brecha del IVA en los hogares españoles. </w:t>
      </w:r>
      <w:r>
        <w:t>[21.00-10.11]</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xml:space="preserve">, nunca se compara con 100 lo que suma 130,6. </w:t>
      </w:r>
      <w:r>
        <w:t>[21.00-10.6; 21.00-10.8]</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xml:space="preserve">). Son euros nominales de 2025 y 2026. Los gastos fijos de vivienda y banco no se restan aquí: son costes de un hogar, no de un individuo, y mezclarían dos bases. </w:t>
      </w:r>
      <w:r>
        <w:t>[21.00-10.6; 21.00-10.7; 21.00-10.8]</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t xml:space="preserve"> (Eurostat, índice armonizado de precios de consumo)</w:t>
      </w:r>
      <w:r>
        <w:t xml:space="preserve">.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 </w:t>
      </w:r>
      <w:r>
        <w:t>[21.00-10.9]</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t xml:space="preserve"> (INE, Encuesta Trimestral de Coste Laboral; índice de precios de consumo, cálculo de la obra)</w:t>
      </w:r>
      <w:r>
        <w:t xml:space="preserve">. </w:t>
      </w:r>
      <w:r>
        <w:t>[21.00-5.1, con las erratas del 07: 27.622 y 28.519 euros, no 27.447 ni 30.375; la subida del 3,6 % que se citaba es la del cuarto trimestre, 2.531,22 euros al mes con la paga extra]</w:t>
      </w:r>
    </w:p>
    <w:p>
      <w:r>
        <w:t>Esa ganancia no está garantizada en 2026. La inflación interanual de agosto de 2026 fue del 4,3 %, la más alta desde febrero de 2023; la media de los últimos doce meses es del 3,1 %</w:t>
      </w:r>
      <w:r>
        <w:t xml:space="preserve"> (INE, índice general, cálculo de la obra)</w:t>
      </w:r>
      <w:r>
        <w:t>. El INE atribuye la subida del grupo Transporte, hasta el 9,5 %, «principalmente, al incremento de los precios de los combustibles y lubricantes para vehículos personales»</w:t>
      </w:r>
      <w:r>
        <w:t xml:space="preserve"> (INE, nota de prensa del IPC de agosto de 2026)</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t xml:space="preserve"> (AIReF, informe sobre los presupuestos iniciales de 2026, 15-4-2026)</w:t>
      </w:r>
      <w:r>
        <w:t xml:space="preserve">. Lo que queda tras las capas es una fotografía nominal de un año concreto, y la inflación erosiona ese margen en cada año en que los precios suben más deprisa que el salario. </w:t>
      </w:r>
      <w:r>
        <w:t>[21.00-5.2]</w:t>
      </w:r>
    </w:p>
    <w:p>
      <w:r>
        <w:rPr>
          <w:b/>
        </w:rPr>
        <w:t>El ahorrador paga tres veces por el mismo dinero.</w:t>
      </w:r>
      <w:r>
        <w:t xml:space="preserve"> </w:t>
      </w:r>
      <w:r>
        <w:t>[21.00-5.4; 21.00-5.5]</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t xml:space="preserve"> (Banco de España, tipos de depósitos a plazo de hogares; cálculo de la obra)</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t xml:space="preserve"> (ASUFIN, Barómetro de Comisiones Bancarias, nota de 18-5-2026, https://www.asufin.com/escalada-precios-comisiones-bancarias/; asociación de usuarios, fuente privada)</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t xml:space="preserve"> (Banco Santander, información precontractual de la Cuenta Santander One, de particulares, 28-7-2022, https://wcm.bancosantander.es/wce/documentos-cms/do-info-precontractual-santander-one.pdf; de la Cuenta Santander One Empresas (autónomos), 14-1-2021, https://wcm.bancosantander.es/wce/documentos-cms/do-cuenta-santander-one-autonomos-julio-2021.pdf; y de la Cuenta Santander, de particulares, con metadatos de 2025, https://wcm.bancosantander.es/wce/documentos-cms/do-info-precontractual-cuenta-santander.pdf)</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t xml:space="preserve"> (Banco Santander, nota de prensa de 13-6-2024, https://www.santander.com/es/sala-de-comunicacion/notas-de-prensa/2024/06/santander-lanza-la-cuenta-negocios-sin-comisiones-para-autonomos-comercios-y-microempresas)</w:t>
      </w:r>
      <w:r>
        <w:t>; su página de autónomos, leída el 7-10-2026, la ofrece sin comisión</w:t>
      </w:r>
      <w:r>
        <w:t xml:space="preserve"> (Banco Santander, https://www.bancosantander.es/empresas/autonomos/cuenta-online/)</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 xml:space="preserve">Para ilustrarlo se usan dos importes redondos, no una media: sobre 5.000 euros, el interés de 88,44 no cubre ni la media de ASUFIN (167,27), y quedan −78,83. </w:t>
      </w:r>
      <w:r>
        <w:t>[21.00-5.5]</w:t>
      </w:r>
    </w:p>
    <w:p>
      <w:r>
        <w:t xml:space="preserve">Banco Santander, documentos leídos (en 10 FUENTES LEIDAS/b_santander), con su enlace: Cuenta Santander, particulares, https://wcm.bancosantander.es/wce/documentos-cms/do-info-precontractual-cuenta-santander.pdf (comisión de 20 euros al mes, sin intereses); su versión de microsite, https://microsite.bancosantander.es/files/Cuenta123/InfoPrecontractualCuentaOne.pdf; resumen de condiciones de Santander One, https://wcm.bancosantander.es/wce/documentos-cms/do-resumen-condiciones-one.pdf; Cuenta Santander One Empresas, personas jurídicas, 14-1-2021, https://portalnhb.bancosantander.es/san/wcm/connect/sanflix/71b1298b-082d-42ea-aef8-1537be638edb/Cuenta+Santander+One+Empresas+(personas+juri%CC%81dicas)_v1.pdf?MOD=AJPERES&amp;pdfmethod=get&amp;pdf=pdf (30 euros al mes); Cuenta Santander One, particulares, 28-7-2022 (20 euros al mes; 10 con ahorro de 5.000 a menos de 25.000 euros en fondos, planes o seguros, un préstamo, seguros de 120 euros de primas, o nómina de al menos 600 euros al mes o pensión de al menos 300; exención con 1.000 acciones del banco, 25.000 euros en ahorro o depósitos o un titular menor de 29 años, según la versión de 2025); Cuenta Santander One Empresas, 14-1-2021, autónomos y personas jurídicas (30 euros al mes). Lote: 10 FUENTES LEIDAS/b_santander. </w:t>
      </w:r>
      <w:r>
        <w:t>[21.00-5.6]</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xml:space="preserve">): el mecanismo no necesita suponer intención para ser injusto. </w:t>
      </w:r>
      <w:r>
        <w:t>[lectura propia, por indicación de Kiko, 7-oct]</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xml:space="preserve">), se pueden valorar con dos referencias oficiales distintas, para no forzar una sola cifra: </w:t>
      </w:r>
      <w:r>
        <w:t>[21.00-8.1]</w:t>
      </w:r>
    </w:p>
    <w:p>
      <w:pPr>
        <w:pStyle w:val="ListBullet"/>
      </w:pPr>
      <w:r>
        <w:rPr>
          <w:i/>
        </w:rPr>
        <w:t>Con el salario mínimo de 2026,</w:t>
      </w:r>
      <w:r>
        <w:t xml:space="preserve"> 17.094 euros brutos al año</w:t>
      </w:r>
      <w:r>
        <w:t xml:space="preserve"> (Real Decreto 126/2026, de 18 de febrero)</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r>
        <w:t>[21.00-8.2, con la errata del 07]</w:t>
      </w:r>
    </w:p>
    <w:p>
      <w:pPr>
        <w:pStyle w:val="ListBullet"/>
      </w:pPr>
      <w:r>
        <w:rPr>
          <w:i/>
        </w:rPr>
        <w:t>Con el salario medio bruto,</w:t>
      </w:r>
      <w:r>
        <w:t xml:space="preserve"> 29.540,26 euros</w:t>
      </w:r>
      <w:r>
        <w:t xml:space="preserve"> (INE, Encuesta Anual de Estructura Salarial 2024)</w:t>
      </w:r>
      <w:r>
        <w:t xml:space="preserve">, la hora vale unos 16,18 euros y las 226 horas, unos 3.657 euros al año; coherente con la propia estimación de la asociación, de 15 euros la hora y 3.390 al año, que queda entre las dos. </w:t>
      </w:r>
      <w:r>
        <w:t>[21.00-8.3]</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t xml:space="preserve"> (Orden PJC/297/2026, arts. 4 y 33)</w:t>
      </w:r>
      <w:r>
        <w:t xml:space="preserve">. No incluye la cotización por accidentes de trabajo y enfermedades profesionales, que depende de la actividad. </w:t>
      </w:r>
      <w:r>
        <w:t>[21.00-8.4]</w:t>
      </w:r>
    </w:p>
    <w:p>
      <w:r>
        <w:t xml:space="preserve">Sumando esa cotización a las dos referencias: </w:t>
      </w:r>
      <w:r>
        <w:t>[21.00-8.5; 21.00-8.6]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 </w:t>
      </w:r>
      <w:r>
        <w:t>[21.00-8.7, sin la gestoría ni el nombre de «coste real»]</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 </w:t>
      </w:r>
      <w:r>
        <w:t>[8.4, lectura del autor]</w:t>
      </w:r>
    </w:p>
    <w:p>
      <w:r>
        <w:t xml:space="preserve">Fuentes: Real Decreto 126/2026, de 18-2 (SMI de 2026); Estatuto de los Trabajadores, art. 34.1; INE, Encuesta Anual de Estructura Salarial 2024; Orden PJC/297/2026, de 30-3, arts. 4 y 33. </w:t>
      </w:r>
      <w:r>
        <w:t>[21.00-8.8]</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r>
        <w:t>[21.00-13.6]</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