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Segoe UI" w:hAnsi="Segoe UI" w:eastAsia="Segoe UI" w:cs="Segoe UI"/>
          <w:b/>
          <w:color w:val="6B665E"/>
          <w:sz w:val="19"/>
        </w:rPr>
        <w:t>La obra entera: completo</w:t>
      </w:r>
    </w:p>
    <w:p>
      <w:pPr>
        <w:pStyle w:val="Heading1"/>
      </w:pPr>
      <w:r>
        <w:t>9 El dictamen</w:t>
      </w:r>
    </w:p>
    <w:p>
      <w:pPr>
        <w:spacing w:after="200"/>
      </w:pPr>
      <w:r>
        <w:rPr>
          <w:rFonts w:ascii="Segoe UI" w:hAnsi="Segoe UI" w:eastAsia="Segoe UI" w:cs="Segoe UI"/>
          <w:color w:val="6B665E"/>
          <w:sz w:val="17"/>
        </w:rPr>
        <w:t>Primera versión: 6 de octubre de 2026 · Última revisión: 12 de octubre de 2026 · Cambios anotados en el capítulo: 6 · Citas leídas en su fuente: 46</w:t>
      </w:r>
    </w:p>
    <w:p>
      <w:pPr>
        <w:keepNext/>
      </w:pPr>
      <w:r>
        <w:rPr>
          <w:rFonts w:ascii="Segoe UI" w:hAnsi="Segoe UI" w:eastAsia="Segoe UI" w:cs="Segoe UI"/>
          <w:b/>
          <w:color w:val="6B665E"/>
          <w:sz w:val="20"/>
        </w:rPr>
        <w:t>Notas de trabajo (estado y trazabilidad)</w:t>
      </w:r>
    </w:p>
    <w:p>
      <w:r>
        <w:t>Cambio del 12-oct-2026 (errata de copia, corregida al detectarla: la vio 07.8 al aplicar el B17; orden de 08.21, 11:1x, por la norma de Kiko de corregir al detectar): en «En pocas palabras», «más años cotizados, más normas y más trámites» pasa a «más años de vida, más normas y más trámites», las palabras de la conclusión de 9.1 (y de 0.2), que prueba las dos cosas bajo «Más años de vida por lo mismo»: los años cotizados y la edad. Ninguna otra palabra cambia. Cambio del 12-oct-2026 (Kiko, chat de 08.19, 08:5x, pasado por 08.19 tal cual, a «¿entran así los tres textos, el de 0.2, el llamamiento y estas líneas de cierre?»: «si entran»; parlamento del hilo de la poda, 08/20, con la forma que Kiko decidió a las 08:0x): al final de «Para recordar», dos puntos nuevos: «Lo que aquí se expone que hay que podar (lectura del autor)», lo que este capítulo deja a la vista, con sus mismas palabras, y «Lo siguiente», el puente al capítulo 10 (borrador B16). Ninguna otra palabra cambia. Cambio del 12-oct-2026 (Kiko, chat de 08.18, 06:3x, pasado por 08.18 tal cual, a «¿das el sí a los nueve cambios de 07.6?»: «si»; borrador B13, el barrido de los cuantificadores vagos en las frases con dato): en 9.1, «la deuda no se perdona nunca; se renueva y crece» pasa a «no hay remisión periódica, y la deuda del Estado se paga con deuda nueva y crece»: la ley española sí exonera deudas de la persona que no puede pagar, y lo documentado es lo de la deuda del Estado (8.1 y 8.6). Ninguna otra palabra cambia. Cambio del 9-oct-2026 (Kiko: «Sí al B6 con las tres recomendaciones» y «sí al B6»; filas 38 de 04p; borrador B6 de la carpeta 07, escrito por la ventana que acompaña): en 9.1, subapartado «El dictamen», una frase que remite a la piedra de 5.4. Cambio del 8-oct-2026 (fase de reparación, traducciones sin original, quinta tanda): puestos los originales ingleses de «un obispo y seis políticos destacados» (Britannica) y «siete pares» (Parlamento), que estaban en c9b/ y no se habían puesto en el texto. Cambio del 8-oct-2026 (lectura de la dirección de la obra, aviso PASO 4.8): en 9.2, «Los eligió la pieza original» pasa a «Los eligió el autor». ESTADO: APROBADO por Kiko el 6-oct-2026 («SI A TODO»: el capítulo; la lectura del autor del 9.2, redacción nueva; los nombres de los gobernantes en los diez casos y, en Islandia, solo los cargos; la errata de la duración de los casos, al 07). Su material está marcado en el inventario (04 CAPITULOS/marcas/marcas del capitulo 9.txt). Cualquier cambio posterior, con su aprobación. Redactado en el paso 3, solo con lo comprobado en el paso 2: al redactar no se ha descargado nada; lo que falta se apunta en la libreta 75 (7 bis). Escrito en tres niveles y con remisiones enlazables. Marcas: {fuente: …} niveles 2 y 3; {original: …} nivel 3; [trazabilidad] nivel 3; {completo} solo nivel 3; {breve} solo niveles 1 y 2. Trazabilidad: al final de cada párrafo o bloque, entre corchetes (se ve en el nivel completo). Reparto (6-oct): dos agentes localizaron y descargaron las fuentes (c9a: normas, estadísticas, Comín y la Biblia; c9b: los diez casos, los ashanti, los iroqueses y los aztecas); Claude descargó y leyó Hobbes, Núremberg y la Ley de Sociedades de Capital (c9) y leyó lo ya descargado en c5. Cada dato tiene su pasaje en el paso 2 (14 ARCHIVO DE PASAJES). Leído hoy en su original (paso 2, 6-oct): - BOE: Ley de Sociedades de Capital (art. 363.1.e); Ley Concursal (art. 1.3, ya en 5.1); Ley 22/2015, de Auditoría de Cuentas (art. 5.1.e); Código Penal (arts. 127 bis.1 y 127 quater.1 y 2); Orden EHA/3565/2008 (anexo IV, concepto 391); Decreto 2065/1974 (art. 154); Ley 26/1985 (arts. 2 y 3 y disposición transitoria segunda); Ley General de la Seguridad Social (arts. 205.1, 209.1 y 210.1, y disposiciones transitorias séptima, novena y cuadragésima); Real Decreto-ley 2/2023; Ley de Enjuiciamiento Civil (art. 607.1); Código Civil (arts. 659, 1003 y 1023); Constitución (arts. 9.1, 9.3, 25.1 y 168). - Organismos: Tribunal de Cuentas (Declaración sobre la Cuenta General del Estado de 2024, párrs. 2.23 y 4.20); Eurostat (gov_10a_main, gov_10dd_edpt1, gov_10a_exp y demo_gind); INE (tablas 1415 y 1414, IPC, Tabla de Pensiones 2021); OCDE (Taxing Wages); Ayuntamiento de Madrid (ejecución del presupuesto de ingresos de 2023 y 2024, datos abiertos). - Autores: Hobbes, Leviatán, final del cap. XXVIII y cap. XXIX (inglés, Gutenberg n.º 3207); Tribunal Militar Internacional de Núremberg, sentencia de 1-10-1946, «The Law of the Charter» (Avalon Project); Comín, Ayer, 21 (1996), p. 167; Biblia, Reina-Valera Antigua (2 R 14:6; Ez 18:20; Heb 4:12; Mt 3:12; Mt 13:29; Pr 22:7). - Los diez casos (c9b): Bill of Rights (legislation.gov.uk); Indian Independence Act 1947; Consejo de Estado y Sejm de Polonia (ISAP; resolución de 14-3-2014); rueda de prensa y nota del 9-11-1989 (Crónica del Muro); proyecto 217 y actas de la Asamblea Federal checoslovaca (29-11 y 29-12-1989); Casa Blanca (Biblioteca Reagan, 15 y 22-2-1986); discurso de De Klerk (2-2-1990, archivo O'Malley); NDI y Centro Carter (9-6-1999); OSCE/ODIHR, informe final sobre Georgia (28-1-2004); FMI, informe de país n.º 08/362; Gobierno de Islandia (26-1-2009); Instituto de Estadística de Islandia; Comisión Investigadora Especial de Islandia (2010); tratado de Fort Stanwix (1784, Avalon Project); López Austin (UNAM) y Torquemada, Monarquía indiana. - Fuentes secundarias (se marcan en el texto): Encyclopaedia Britannica; Parlamento del Reino Unido; Oficina de Prensa del Gobierno de la India; Gandhi Heritage Portal; Instituto de la Memoria Nacional de Polonia (IPN); Agencia Federal de Educación Cívica (bpb) y Archivo Federal de Alemania; Crónica del Muro; Instituto para el Estudio de los Regímenes Totalitarios (ÚSTR); Gaceta Oficial de Filipinas (copia del Internet Archive); Biblioteca del Congreso de EE. UU. (copia en countrystudies.us); Universidad Nacional Australiana; Columbia Magazine. Estudios privados: Instituto de Estudios Económicos; ATA (en 8.4). Hallado al escribir: erratas de la Biblioteca que la edición lleva corregidas (07 FE DE ERRATAS): - 00.0-5.4: «casi cuatro veces» → más de cuatro (4,3, con la deuda del mismo año, 2021). - 00.0-5.9: «sabían o debían sospechar» → lo que dice el Código Penal, art. 127 quater.1 y 2. - 21.00-16.7: las páginas de los Códigos del BOE cambian con cada edición: aquí no se dan (se remite a 5.2). - 21.00-16.8: el 1,5-2,5 % del IEE es la parte que atribuye a la fragmentación normativa, estimada «de manera conservadora»; el total, según otros autores que cita, es del 3 % al 5 %. - 21.00-16.24: «ya no es ley» → «ya no será ley» (Aquino, como en 1.1). - 19.00-13.1 (no hubo Parlamento reunido: carta de siete notables, 30-6-1688); 14.2 (la ley de 1947 es la Indian Independence Act); 15.1 (las elecciones y el Gobierno de 1989, con su matiz); 17.1 (29-11-1989, no el 28); 19.1 (las ganó el CNA; la Asamblea Nacional eligió a Mandela); 20.1 (las primeras competitivas desde 1955); 21.1 (irrupción el 22-11, dimisión el 23); 22.1 (el superlativo es del FMI, con su redacción); 23.1 (de 1688 a 2009, más de tres siglos; sin la Primavera Árabe; y «todos tardaron años o décadas», que no casa con las fechas de los propios casos). Y al redactar (libreta 75, 7 bis), sin descargar nada: - 19.00-14.1, 18.1, 19.1, 20.1 y 22.1: frases sin fuente leída que no entran («erosionó la legitimidad del Raj», «negociada», «sin sustancia moral que defender», «décadas de resistencia, sanciones y aislamiento», «la corrupción y el nepotismo», «sin un solo día de suspensión del orden constitucional»). - 19.00-23.1: «no todos tuvieron desenlaces estables» no tiene fuente leída: pasa al límite honesto como lo que la obra no ha estudiado. - 19.00-11.1 dice «tres» mecanismos; el 7.5 cuenta cuatro tradiciones que lo hicieron institución (con los veedores incas). Aquí se dice por qué los incas no cuentan para este apartado. - 19.00-11.1: el «procedimiento de garantías» de Qumrán no se ha leído (en 7.5, solo las penas graduadas): no entra. - 21.00-16.14: según el índice del agente (c9a), el grupo GF0101 de Eurostat incluye también los asuntos exteriores; la definición oficial no se ha leído. Se deja «gobierno, parlamentos y hacienda», con el código. - Capítulo 8, «Dónde se oye la defensa del Estado»: dice «en el veredicto (11.4)»; con el glosario 7.1, 11.4 es la defensa frente al dictamen (HECHO en el paso 4, 7-oct: en los capítulos 7 y 8). No entra: la fuente maya (sin leer en el original); el texto del discurso de dimisión de Suharto (solo en prensa); la salida de Marcos por la base de Clark y hacia Guam (sin comprobar); Yaa Asantewaa (no aparece en las fuentes leídas); la fecha exacta de las cacerolas de Islandia; los nombres de los responsables a quienes la comisión de Islandia atribuye negligencia (se dicen sus cargos). Remisiones: el orden de las leyes y la corrupción de la ley (1.1); la ley natural y Núremberg (1.4); nadie es juez en su propia causa (1.7); P4, P7 y P8 (3.2); la remisión, el jubileo y la usura (3.3); la servidumbre voluntaria y la creencia sin comprobar (4.1); lo que se da por supuesto sobre el concurso, el IRPF y las pensiones (5.1, n.º 5, 7 y 24); las plantas 2, 3 y 5 (5.2); Hobbes y la portada (6.1); la auctoritas (6.2); la deslegitimación (6.3); el derecho de resistencia (6.5); los 93 artículos (7.1); la Seguridad Social (7.2, n.º 11); las tradiciones que hicieron institución la corrección (7.5); la carga, los frutos que se reconocen y los 226 horas (8.4); la hucha, los intereses y el velo (8.6); la confianza y «el sistema creó los problemas» (8.9). Conceptos que ancla: la quiebra camuflada (9.1, siempre como lectura del autor); el dictamen (9.1).</w:t>
      </w:r>
    </w:p>
    <w:p>
      <w:pPr>
        <w:pBdr>
          <w:left w:val="single" w:sz="24" w:space="6" w:color="E2DED6"/>
        </w:pBdr>
        <w:shd w:val="clear" w:color="auto" w:fill="F1EEE8"/>
        <w:spacing w:before="80" w:after="160"/>
        <w:ind w:left="142" w:right="142"/>
      </w:pPr>
      <w:r>
        <w:rPr>
          <w:b/>
        </w:rPr>
        <w:t>En pocas palabras:</w:t>
      </w:r>
    </w:p>
    <w:p>
      <w:pPr>
        <w:pStyle w:val="ListBullet"/>
      </w:pPr>
      <w:r>
        <w:t>Medido con la regla que aplica a cualquier empresa, el sistema estaría en causa de disolución: la Seguridad Social tiene patrimonio neto negativo desde 2017 y debe al Estado 126.170 millones de euros, y las administraciones gastaron más de lo que ingresaban en 28 de los 31 años de 1995 a 2025. No se le puede declarar en quiebra: su propia ley lo excluye del concurso.</w:t>
      </w:r>
    </w:p>
    <w:p>
      <w:pPr>
        <w:pStyle w:val="ListBullet"/>
      </w:pPr>
      <w:r>
        <w:t>Su deuda mayor no figura en la oficial: 6,13 billones de euros en pensiones ya prometidas. El ciudadano es a la vez su acreedor y quien la paga.</w:t>
      </w:r>
    </w:p>
    <w:p>
      <w:pPr>
        <w:pStyle w:val="ListBullet"/>
      </w:pPr>
      <w:r>
        <w:t xml:space="preserve">La autoridad, la </w:t>
      </w:r>
      <w:r>
        <w:rPr>
          <w:i/>
        </w:rPr>
        <w:t>auctoritas</w:t>
      </w:r>
      <w:r>
        <w:t>, viene de «hacer crecer». Hoy cada generación necesita más años de vida, más normas y más trámites para obtener lo mismo, y el hueco se cubre con deuda.</w:t>
      </w:r>
    </w:p>
    <w:p>
      <w:pPr>
        <w:pStyle w:val="ListBullet"/>
      </w:pPr>
      <w:r>
        <w:t xml:space="preserve">El dictamen de la obra, con el formato de la Ley de Auditoría y sin valor oficial: </w:t>
      </w:r>
      <w:r>
        <w:rPr>
          <w:b/>
        </w:rPr>
        <w:t>opinión desfavorable</w:t>
      </w:r>
      <w:r>
        <w:t>. Anuncia el cierre de una forma de gobierno, no de la ley ni de la comunidad, y no exime a nadie de sus obligaciones.</w:t>
      </w:r>
    </w:p>
    <w:p>
      <w:pPr>
        <w:pStyle w:val="ListBullet"/>
      </w:pPr>
      <w:r>
        <w:t>La compensación no puede pagarse con más deuda contra el mismo ciudadano: auditoría, responsabilidad de cada persona probada caso a caso, devolución de lo obtenido ilícitamente, y nunca por apellido.</w:t>
      </w:r>
    </w:p>
    <w:p>
      <w:pPr>
        <w:pStyle w:val="ListBullet"/>
      </w:pPr>
      <w:r>
        <w:t>Diez veces, de 1688 a 2009, la historia muestra la misma secuencia: primero se agota la sustancia del poder, y solo después el pueblo deja de sostenerlo. Es constancia histórica, no un manual.</w:t>
      </w:r>
    </w:p>
    <w:p>
      <w:pPr>
        <w:pStyle w:val="Heading2"/>
      </w:pPr>
      <w:r>
        <w:t>9.0 Propósito</w:t>
      </w:r>
    </w:p>
    <w:p>
      <w:r>
        <w:t>Los capítulos 7 y 8 midieron: la Constitución frente a los hechos, y los frutos en la vida diaria. Este reúne lo medido en una conclusión, el dictamen, y dice sus límites. Es la parte de la obra que más pertenece al autor: «El dictamen es del autor; los hechos son de todos» (</w:t>
      </w:r>
      <w:r>
        <w:t>0.2</w:t>
      </w:r>
      <w:r>
        <w:t>). Por eso aquí, más que en ningún otro capítulo, se separan las dos capas: lo que arrojan los datos y la lectura del autor (</w:t>
      </w:r>
      <w:r>
        <w:t>0.3</w:t>
      </w:r>
      <w:r>
        <w:t>).</w:t>
      </w:r>
    </w:p>
    <w:p>
      <w:r>
        <w:rPr>
          <w:b/>
        </w:rPr>
        <w:t>Cómo se lee.</w:t>
      </w:r>
      <w:r>
        <w:t xml:space="preserve"> Lo que ya se explicó no se repite: se remite al apartado donde está. Lo nuevo va con su fuente y su fecha, y los cálculos de la obra se dicen como tales.</w:t>
      </w:r>
    </w:p>
    <w:p>
      <w:r>
        <w:rPr>
          <w:b/>
        </w:rPr>
        <w:t>Lo que este capítulo no hace.</w:t>
      </w:r>
      <w:r>
        <w:t xml:space="preserve"> No declara culpable a ninguna persona: juzga un diseño. Su dictamen no tiene valor oficial. Y no invita a desobedecer: las obligaciones vigentes siguen vigentes (</w:t>
      </w:r>
      <w:r>
        <w:t>0.2</w:t>
      </w:r>
      <w:r>
        <w:t>).</w:t>
      </w:r>
    </w:p>
    <w:p>
      <w:r>
        <w:t>Este capítulo dice:</w:t>
      </w:r>
    </w:p>
    <w:p>
      <w:pPr>
        <w:pStyle w:val="ListBullet"/>
      </w:pPr>
      <w:r>
        <w:rPr>
          <w:b/>
        </w:rPr>
        <w:t>9.1</w:t>
      </w:r>
      <w:r>
        <w:t xml:space="preserve"> la quiebra camuflada: la misma vara, la deuda contraída contra el ciudadano y cómo se compensa, la autoridad perdida, la espada que juzga y el dictamen;</w:t>
      </w:r>
    </w:p>
    <w:p>
      <w:pPr>
        <w:pStyle w:val="ListBullet"/>
      </w:pPr>
      <w:r>
        <w:rPr>
          <w:b/>
        </w:rPr>
        <w:t>9.2</w:t>
      </w:r>
      <w:r>
        <w:t xml:space="preserve"> y qué ha pasado en la historia cuando la forma se queda sin sustancia.</w:t>
      </w:r>
    </w:p>
    <w:p>
      <w:pPr>
        <w:pStyle w:val="Heading2"/>
      </w:pPr>
      <w:r>
        <w:t>9.1 La quiebra camuflada</w:t>
      </w:r>
    </w:p>
    <w:p>
      <w:pPr>
        <w:pBdr>
          <w:left w:val="single" w:sz="24" w:space="6" w:color="E2DED6"/>
        </w:pBdr>
        <w:shd w:val="clear" w:color="auto" w:fill="F1EEE8"/>
        <w:spacing w:before="80" w:after="160"/>
        <w:ind w:left="142" w:right="142"/>
      </w:pPr>
      <w:r>
        <w:rPr>
          <w:b/>
        </w:rPr>
        <w:t>La idea: con la regla que el sistema aplica a cualquier empresa, estaría en causa de disolución, y su propia ley lo excluye del concurso. Su deuda mayor la tiene con el ciudadano, que es a la vez quien la paga.</w:t>
      </w:r>
    </w:p>
    <w:p>
      <w:pPr>
        <w:pStyle w:val="Heading3"/>
      </w:pPr>
      <w:r>
        <w:t>La misma vara</w:t>
      </w:r>
    </w:p>
    <w:p>
      <w:r>
        <w:rPr>
          <w:b/>
        </w:rPr>
        <w:t>La regla.</w:t>
      </w:r>
      <w:r>
        <w:t xml:space="preserve"> La ley obliga a una sociedad a disolverse, entre otras causas, «Por pérdidas que dejen reducido el patrimonio neto a una cantidad inferior a la mitad del capital social»</w:t>
      </w:r>
      <w:r>
        <w:t xml:space="preserve"> (Ley de Sociedades de Capital, art. 363.1.e)</w:t>
      </w:r>
      <w:r>
        <w:t>. Es la vara de la obra: la regla que el sistema aplica a cualquier persona o empresa (</w:t>
      </w:r>
      <w:r>
        <w:t>0.5</w:t>
      </w:r>
      <w:r>
        <w:t xml:space="preserve">). </w:t>
      </w:r>
      <w:r>
        <w:t>[00.0-5.1 y 5.2; 21.00-16.1 y 16.16; Ley de Sociedades de Capital leída en el BOE]</w:t>
      </w:r>
    </w:p>
    <w:p>
      <w:r>
        <w:rPr>
          <w:b/>
        </w:rPr>
        <w:t>Lo que muestran sus cuentas.</w:t>
      </w:r>
    </w:p>
    <w:p>
      <w:pPr>
        <w:pStyle w:val="ListBullet"/>
      </w:pPr>
      <w:r>
        <w:rPr>
          <w:b/>
        </w:rPr>
        <w:t>La Seguridad Social</w:t>
      </w:r>
      <w:r>
        <w:t xml:space="preserve"> tiene patrimonio neto negativo desde 2017: «El balance de la Seguridad Social recoge desde 2017 un patrimonio neto negativo que, a 31 de diciembre de 2024, asciende a 106.138,7 millones de euros»</w:t>
      </w:r>
      <w:r>
        <w:t xml:space="preserve"> (Tribunal de Cuentas, Declaración sobre la Cuenta General del Estado de 2024, párr. 2.23)</w:t>
      </w:r>
      <w:r>
        <w:t>. Son ocho cierres seguidos (</w:t>
      </w:r>
      <w:r>
        <w:t>7.2</w:t>
      </w:r>
      <w:r>
        <w:t>, n.º 11).</w:t>
      </w:r>
    </w:p>
    <w:p>
      <w:pPr>
        <w:pStyle w:val="ListBullet"/>
      </w:pPr>
      <w:r>
        <w:rPr>
          <w:b/>
        </w:rPr>
        <w:t>Debe al Estado</w:t>
      </w:r>
      <w:r>
        <w:t xml:space="preserve"> 126.170 millones de euros en préstamos, «un 7,91 % del Producto Interior Bruto (PIB) de 2024»</w:t>
      </w:r>
      <w:r>
        <w:t xml:space="preserve"> (ídem, párr. 4.20)</w:t>
      </w:r>
      <w:r>
        <w:t>.</w:t>
      </w:r>
    </w:p>
    <w:p>
      <w:pPr>
        <w:pStyle w:val="ListBullet"/>
      </w:pPr>
      <w:r>
        <w:rPr>
          <w:b/>
        </w:rPr>
        <w:t>Las administraciones</w:t>
      </w:r>
      <w:r>
        <w:t xml:space="preserve"> gastaron más de lo que ingresaron en 28 de los 31 años de 1995 a 2025: solo cerraron con superávit en 2005, 2006 y 2007</w:t>
      </w:r>
      <w:r>
        <w:t xml:space="preserve"> (Eurostat, cuentas de las administraciones públicas (gov_10a_main), saldo en % del PIB)</w:t>
      </w:r>
      <w:r>
        <w:t>. La deuda pasó de 384.662 millones de euros en 2007 a 1.698.225 a final de 2025</w:t>
      </w:r>
      <w:r>
        <w:t xml:space="preserve"> (Eurostat, deuda de las administraciones públicas (gov_10dd_edpt1))</w:t>
      </w:r>
      <w:r>
        <w:t>, y lo que falta cada año equivale, más o menos, a los intereses de lo ya pedido (</w:t>
      </w:r>
      <w:r>
        <w:t>8.6</w:t>
      </w:r>
      <w:r>
        <w:t>).</w:t>
      </w:r>
    </w:p>
    <w:p>
      <w:r>
        <w:t>[21.00-16.9; Tribunal de Cuentas y Eurostat leídos en el original]</w:t>
      </w:r>
    </w:p>
    <w:p>
      <w:r>
        <w:rPr>
          <w:b/>
        </w:rPr>
        <w:t>Por qué no se le declara en quiebra.</w:t>
      </w:r>
      <w:r>
        <w:t xml:space="preserve"> Porque la ley que él mismo escribe lo excluye del concurso de acreedores (</w:t>
      </w:r>
      <w:r>
        <w:t>5.1</w:t>
      </w:r>
      <w:r>
        <w:t>, n.º 7). Y nadie debe ser juez en su propia causa (</w:t>
      </w:r>
      <w:r>
        <w:t>1.7</w:t>
      </w:r>
      <w:r>
        <w:t xml:space="preserve">). </w:t>
      </w:r>
      <w:r>
        <w:t>[00.0-5.2; 21.00-16.23]</w:t>
      </w:r>
    </w:p>
    <w:p>
      <w:r>
        <w:rPr>
          <w:b/>
        </w:rPr>
        <w:t>Conclusión, lo que arrojan los datos:</w:t>
      </w:r>
      <w:r>
        <w:t xml:space="preserve"> con la vara que se aplica a cualquier persona o empresa, este sistema estaría en causa de disolución: su Seguridad Social lleva ocho años con patrimonio neto negativo, y el conjunto gasta más de lo que ingresa casi todos los años, pagando lo que vence con deuda nueva. No se le declara en quiebra porque la ley que él mismo escribe lo excluye del concurso. </w:t>
      </w:r>
      <w:r>
        <w:t>[00.0-5.2; 21.00-16.16; glosario 7.2]</w:t>
      </w:r>
    </w:p>
    <w:p>
      <w:r>
        <w:rPr>
          <w:b/>
        </w:rPr>
        <w:t>Lectura del autor:</w:t>
      </w:r>
      <w:r>
        <w:t xml:space="preserve"> es una quiebra camuflada: un sistema artificial, sostenido desde 1971 por un dinero sin respaldo material, que se exime de las reglas que impone a los demás y que funciona como una pirámide: paga a los de antes con lo que pide a los que vienen detrás. El camuflaje no es el secreto, sino la complejidad: está a la vista de todos, escondido en cientos de miles de páginas. </w:t>
      </w:r>
      <w:r>
        <w:t>[00.0-5.3; 21.00-16.17]</w:t>
      </w:r>
    </w:p>
    <w:p>
      <w:r>
        <w:t xml:space="preserve">Desde aquí, la edición llama </w:t>
      </w:r>
      <w:r>
        <w:rPr>
          <w:b/>
        </w:rPr>
        <w:t>quiebra camuflada</w:t>
      </w:r>
      <w:r>
        <w:t xml:space="preserve"> a esta situación, y siempre como lectura del autor, nunca como dato: el dato es la causa de disolución; el nombre es su lectura (</w:t>
      </w:r>
      <w:r>
        <w:t>H.7</w:t>
      </w:r>
      <w:r>
        <w:t xml:space="preserve">). El camuflaje es lo que en </w:t>
      </w:r>
      <w:r>
        <w:t>8.6</w:t>
      </w:r>
      <w:r>
        <w:t xml:space="preserve"> se llamó el velo.</w:t>
      </w:r>
    </w:p>
    <w:p>
      <w:pPr>
        <w:pStyle w:val="Heading3"/>
      </w:pPr>
      <w:r>
        <w:t>La deuda contraída contra el ciudadano</w:t>
      </w:r>
    </w:p>
    <w:p>
      <w:r>
        <w:rPr>
          <w:b/>
        </w:rPr>
        <w:t>Lo que debe.</w:t>
      </w:r>
      <w:r>
        <w:t xml:space="preserve"> Las pensiones ya prometidas sumaban 6,13 billones de euros a finales de 2021, y no figuran en la deuda oficial (</w:t>
      </w:r>
      <w:r>
        <w:t>5.1</w:t>
      </w:r>
      <w:r>
        <w:t>, n.º 24). Ese mismo año, la deuda oficial era de 1.429.404 millones</w:t>
      </w:r>
      <w:r>
        <w:t xml:space="preserve"> (Eurostat, deuda de las administraciones públicas)</w:t>
      </w:r>
      <w:r>
        <w:t>: la prometida era más de cuatro veces mayor, 4,3 veces (cálculo de la obra). El propio INE advierte que es el valor actual de pagos futuros, no una deuda que venza hoy (</w:t>
      </w:r>
      <w:r>
        <w:t>5.1</w:t>
      </w:r>
      <w:r>
        <w:t xml:space="preserve">, n.º 24). </w:t>
      </w:r>
      <w:r>
        <w:t>[00.0-5.4, corregido: «casi cuatro» comparaba con la deuda de 2025; 21.00-16.26]</w:t>
      </w:r>
    </w:p>
    <w:p>
      <w:r>
        <w:rPr>
          <w:b/>
        </w:rPr>
        <w:t>Con qué la paga.</w:t>
      </w:r>
      <w:r>
        <w:t xml:space="preserve"> Para pagarla, y para pagar la deuda oficial y los préstamos a la Seguridad Social, el sistema solo cuenta con lo que cobre a esos mismos ciudadanos. Y el ahorro que se guardó con sus cotizaciones ya se gastó: de la hucha se dispusieron 80.337 millones entre 2012 y 2019 (</w:t>
      </w:r>
      <w:r>
        <w:t>8.6</w:t>
      </w:r>
      <w:r>
        <w:t xml:space="preserve">). </w:t>
      </w:r>
      <w:r>
        <w:t>[00.0-5.4; 21.00-16.26]</w:t>
      </w:r>
    </w:p>
    <w:p>
      <w:r>
        <w:rPr>
          <w:b/>
        </w:rPr>
        <w:t>Conclusión, lo que arrojan los datos:</w:t>
      </w:r>
      <w:r>
        <w:t xml:space="preserve"> el sistema debe a los ciudadanos, en pensiones ya prometidas, más de cuatro veces su deuda oficial, y esa deuda no figura en la cifra que se publica. Solo puede pagarla cobrando a aquellos a quienes se la debe. </w:t>
      </w:r>
      <w:r>
        <w:t>[00.0-5.4; 21.00-16.26]</w:t>
      </w:r>
    </w:p>
    <w:p>
      <w:r>
        <w:rPr>
          <w:b/>
        </w:rPr>
        <w:t>Lectura del autor:</w:t>
      </w:r>
      <w:r>
        <w:t xml:space="preserve"> el ciudadano es a la vez acreedor y pagador: el sistema le debe, y le cobra para pagarle lo que le debe. Es una deuda contraída contra el ciudadano, y es el Estado quien debe compensarle. </w:t>
      </w:r>
      <w:r>
        <w:t>[00.0-5.5; 21.00-16.27]</w:t>
      </w:r>
    </w:p>
    <w:p>
      <w:r>
        <w:rPr>
          <w:b/>
        </w:rPr>
        <w:t>Cómo se compensa, según el autor.</w:t>
      </w:r>
      <w:r>
        <w:t xml:space="preserve"> Lo que sigue es la propuesta del autor, con las leyes en que se apoya; sus límites están al final del capítulo. La compensación no puede hacerse con más deuda contra el mismo ciudadano. Debe salir de quien se ha enriquecido con este sistema, y por este orden:</w:t>
      </w:r>
    </w:p>
    <w:p>
      <w:pPr>
        <w:spacing w:after="60"/>
        <w:ind w:left="510" w:hanging="397"/>
      </w:pPr>
      <w:r>
        <w:rPr>
          <w:b w:val="0"/>
        </w:rPr>
        <w:t xml:space="preserve">1. </w:t>
      </w:r>
      <w:r>
        <w:rPr>
          <w:b/>
        </w:rPr>
        <w:t>Una auditoría pública y verificable</w:t>
      </w:r>
      <w:r>
        <w:t xml:space="preserve"> de quién se ha beneficiado y cómo.</w:t>
      </w:r>
    </w:p>
    <w:p>
      <w:pPr>
        <w:spacing w:after="60"/>
        <w:ind w:left="510" w:hanging="397"/>
      </w:pPr>
      <w:r>
        <w:rPr>
          <w:b w:val="0"/>
        </w:rPr>
        <w:t xml:space="preserve">2. </w:t>
      </w:r>
      <w:r>
        <w:rPr>
          <w:b/>
        </w:rPr>
        <w:t>Responsabilidad individual,</w:t>
      </w:r>
      <w:r>
        <w:t xml:space="preserve"> probada caso a caso y con derecho de defensa, porque los delitos los cometen personas. Lo dijo el tribunal de Núremberg: «los crímenes contra el derecho internacional los cometen hombres, no entidades abstractas»</w:t>
      </w:r>
      <w:r>
        <w:t xml:space="preserve"> [original: «Crimes against international law are committed by men, not by abstract entities»]</w:t>
      </w:r>
      <w:r>
        <w:t xml:space="preserve"> (Tribunal Militar Internacional de Núremberg, sentencia de 1-10-1946, «The Law of the Charter» (El derecho del Estatuto))</w:t>
      </w:r>
      <w:r>
        <w:t>.</w:t>
      </w:r>
    </w:p>
    <w:p>
      <w:pPr>
        <w:spacing w:after="60"/>
        <w:ind w:left="510" w:hanging="397"/>
      </w:pPr>
      <w:r>
        <w:rPr>
          <w:b w:val="0"/>
        </w:rPr>
        <w:t xml:space="preserve">3. </w:t>
      </w:r>
      <w:r>
        <w:rPr>
          <w:b/>
        </w:rPr>
        <w:t>La recuperación íntegra de lo obtenido ilícitamente,</w:t>
      </w:r>
      <w:r>
        <w:t xml:space="preserve"> esté en manos de quien esté, también de los familiares o terceros que lo recibieron sabiendo su origen, o cuando «una persona diligente habría tenido motivos para sospechar, en las circunstancias del caso, de su origen ilícito»</w:t>
      </w:r>
      <w:r>
        <w:t xml:space="preserve"> (Código Penal, art. 127 quater.1.a)</w:t>
      </w:r>
      <w:r>
        <w:t>. La ley ya presume, salvo prueba en contrario, que el tercero lo sabía cuando los bienes «le hubieran sido transferidos a título gratuito o por un precio inferior al real de mercado»</w:t>
      </w:r>
      <w:r>
        <w:t xml:space="preserve"> (art. 127 quater.2)</w:t>
      </w:r>
      <w:r>
        <w:t>.</w:t>
      </w:r>
    </w:p>
    <w:p>
      <w:pPr>
        <w:spacing w:after="60"/>
        <w:ind w:left="510" w:hanging="397"/>
      </w:pPr>
      <w:r>
        <w:rPr>
          <w:b w:val="0"/>
        </w:rPr>
        <w:t xml:space="preserve">4. </w:t>
      </w:r>
      <w:r>
        <w:rPr>
          <w:b/>
        </w:rPr>
        <w:t>Y nunca por apellido ni por parentesco:</w:t>
      </w:r>
      <w:r>
        <w:t xml:space="preserve"> «el hijo no llevará por el pecado del padre»</w:t>
      </w:r>
      <w:r>
        <w:t xml:space="preserve"> (Ez 18:20)</w:t>
      </w:r>
      <w:r>
        <w:t>. Es el principio de que cada uno responde de lo suyo (</w:t>
      </w:r>
      <w:r>
        <w:t>3.2</w:t>
      </w:r>
      <w:r>
        <w:t>, P7).</w:t>
      </w:r>
    </w:p>
    <w:p>
      <w:r>
        <w:t>[00.0-5.9, corregido: la ley no dice «sabían o debían sospechar»; sentencia de Núremberg leída en el Avalon Project; Código Penal leído en el BOE]</w:t>
      </w:r>
    </w:p>
    <w:p>
      <w:r>
        <w:rPr>
          <w:b/>
        </w:rPr>
        <w:t>Lo que fue legal cuando se hizo.</w:t>
      </w:r>
      <w:r>
        <w:t xml:space="preserve"> El mismo tribunal dijo que no castigar sin ley previa es un principio de justicia, no un límite al poder del Estado: «la máxima </w:t>
      </w:r>
      <w:r>
        <w:rPr>
          <w:i/>
        </w:rPr>
        <w:t>nullum crimen sine lege</w:t>
      </w:r>
      <w:r>
        <w:t xml:space="preserve"> (no hay delito sin ley) no es una limitación de la soberanía, sino, en general, un principio de justicia»</w:t>
      </w:r>
      <w:r>
        <w:t xml:space="preserve"> [original: «the maxim nullum crimen sine lege is not a limitation of sovereignty, but is in general a principle of justice»]</w:t>
      </w:r>
      <w:r>
        <w:t>. Y que castigar a quien había atacado a sus vecinos violando tratados no era injusto, porque «en tales circunstancias el atacante debe saber que obra mal»</w:t>
      </w:r>
      <w:r>
        <w:t xml:space="preserve"> [original: «in such circumstances the attacker must know that he is doing wrong»]</w:t>
      </w:r>
      <w:r>
        <w:t xml:space="preserve"> (ídem)</w:t>
      </w:r>
      <w:r>
        <w:t>. El autor aplica la misma vara de la ley natural, que está por encima de la puesta (</w:t>
      </w:r>
      <w:r>
        <w:t>1.4</w:t>
      </w:r>
      <w:r>
        <w:t>): quien sabía que obraba contra el bien común no puede ampararse en que su conducta era legal. A los responsables, probado caso a caso, se les recupera lo obtenido contra el bien común y se les deja lo mínimo vital, que la ley ya protege: «Es inembargable el salario, sueldo, pensión, retribución o su equivalente, que no exceda de la cuantía señalada para el salario mínimo interprofesional»</w:t>
      </w:r>
      <w:r>
        <w:t xml:space="preserve"> (Ley de Enjuiciamiento Civil, art. 607.1)</w:t>
      </w:r>
      <w:r>
        <w:t xml:space="preserve">. </w:t>
      </w:r>
      <w:r>
        <w:t>[00.0-5.10; Ley de Enjuiciamiento Civil leída en el BOE]</w:t>
      </w:r>
    </w:p>
    <w:p>
      <w:r>
        <w:rPr>
          <w:b/>
        </w:rPr>
        <w:t>Los hijos.</w:t>
      </w:r>
      <w:r>
        <w:t xml:space="preserve"> No pagan por sus padres: «no mató á los hijos de los que le mataron, conforme á lo que está escrito en el libro de la ley de Moisés»</w:t>
      </w:r>
      <w:r>
        <w:t xml:space="preserve"> (2 R 14:6)</w:t>
      </w:r>
      <w:r>
        <w:t>. Pero tampoco conservan lo que sus padres no podían dejarles. La herencia comprende «todos los bienes, derechos y obligaciones de una persona que no se extingan por su muerte»</w:t>
      </w:r>
      <w:r>
        <w:t xml:space="preserve"> (Código Civil, art. 659)</w:t>
      </w:r>
      <w:r>
        <w:t>, y quien la acepta a beneficio de inventario responde de sus cargas solo «hasta donde alcancen los bienes de la misma»</w:t>
      </w:r>
      <w:r>
        <w:t xml:space="preserve"> (art. 1023)</w:t>
      </w:r>
      <w:r>
        <w:t xml:space="preserve">. Lo heredado de origen ilícito se devuelve, hasta donde alcance la herencia, y lo que los hijos ganaron con su trabajo es suyo. Quien demuestre haber servido al bien común verá valorada esa conducta, después de restituir. </w:t>
      </w:r>
      <w:r>
        <w:t>[00.0-5.10; Código Civil leído en el BOE; 2 R 14:6 en la Reina-Valera Antigua]</w:t>
      </w:r>
    </w:p>
    <w:p>
      <w:pPr>
        <w:pStyle w:val="Heading3"/>
      </w:pPr>
      <w:r>
        <w:t>La autoridad perdida</w:t>
      </w:r>
    </w:p>
    <w:p>
      <w:r>
        <w:rPr>
          <w:b/>
        </w:rPr>
        <w:t>La medida.</w:t>
      </w:r>
      <w:r>
        <w:t xml:space="preserve"> La edición llama </w:t>
      </w:r>
      <w:r>
        <w:rPr>
          <w:i/>
        </w:rPr>
        <w:t>auctoritas</w:t>
      </w:r>
      <w:r>
        <w:t xml:space="preserve"> a la autoridad que se gana haciendo crecer a quienes la sostienen (</w:t>
      </w:r>
      <w:r>
        <w:t>6.2</w:t>
      </w:r>
      <w:r>
        <w:t xml:space="preserve">). Es la raíz de la propia palabra del poder, y sirve de medida: ¿hace crecer este sistema a quienes lo sostienen? </w:t>
      </w:r>
      <w:r>
        <w:t>[00.0-5.6; glosario 7.3]</w:t>
      </w:r>
    </w:p>
    <w:p>
      <w:r>
        <w:rPr>
          <w:b/>
        </w:rPr>
        <w:t>Más años de vida por lo mismo.</w:t>
      </w:r>
    </w:p>
    <w:p>
      <w:pPr>
        <w:pStyle w:val="ListBullet"/>
      </w:pPr>
      <w:r>
        <w:rPr>
          <w:b/>
        </w:rPr>
        <w:t>Para tener pensión:</w:t>
      </w:r>
      <w:r>
        <w:t xml:space="preserve"> en 1974 bastaban diez años cotizados: «Tener cubierto un período mínimo de cotización de diez años»</w:t>
      </w:r>
      <w:r>
        <w:t xml:space="preserve"> (Decreto 2065/1974, art. 154.1.b)</w:t>
      </w:r>
      <w:r>
        <w:t>. Desde 1985, quince</w:t>
      </w:r>
      <w:r>
        <w:t xml:space="preserve"> (Ley 26/1985, art. 2.1)</w:t>
      </w:r>
      <w:r>
        <w:t>, como hoy: «Tener cubierto un período mínimo de cotización de quince años»</w:t>
      </w:r>
      <w:r>
        <w:t xml:space="preserve"> (Ley General de la Seguridad Social, art. 205.1.b)</w:t>
      </w:r>
      <w:r>
        <w:t>.</w:t>
      </w:r>
    </w:p>
    <w:p>
      <w:pPr>
        <w:pStyle w:val="ListBullet"/>
      </w:pPr>
      <w:r>
        <w:rPr>
          <w:b/>
        </w:rPr>
        <w:t>El paso de diez a quince</w:t>
      </w:r>
      <w:r>
        <w:t xml:space="preserve"> fue gradual: la ley de 1985 sumaba al mínimo anterior «la mitad del tiempo transcurrido» desde su entrada en vigor, «hasta que el período así determinado alcance los quince años»</w:t>
      </w:r>
      <w:r>
        <w:t xml:space="preserve"> (Ley 26/1985, disposición transitoria segunda)</w:t>
      </w:r>
      <w:r>
        <w:t>. Y la de 1974 pedía además que setecientos días estuvieran dentro de los siete años anteriores</w:t>
      </w:r>
      <w:r>
        <w:t xml:space="preserve"> (Decreto 2065/1974, art. 154.1.b)</w:t>
      </w:r>
      <w:r>
        <w:t>.</w:t>
      </w:r>
    </w:p>
    <w:p>
      <w:pPr>
        <w:pStyle w:val="ListBullet"/>
      </w:pPr>
      <w:r>
        <w:rPr>
          <w:b/>
        </w:rPr>
        <w:t>Para calcularla:</w:t>
      </w:r>
      <w:r>
        <w:t xml:space="preserve"> en 1985, con los últimos ocho años: «las bases de cotización del interesado durante los noventa y seis meses inmediatamente anteriores»</w:t>
      </w:r>
      <w:r>
        <w:t xml:space="preserve"> (Ley 26/1985, art. 3.1)</w:t>
      </w:r>
      <w:r>
        <w:t>; desde 2026, con las 302 mejores bases de los últimos 304 meses, unos 25 años</w:t>
      </w:r>
      <w:r>
        <w:t xml:space="preserve"> (Ley General de la Seguridad Social, disposición transitoria cuadragésima)</w:t>
      </w:r>
      <w:r>
        <w:t>; y desde 2037, con las 324 mejores de los últimos 348 meses: los 27 mejores años de los últimos 29</w:t>
      </w:r>
      <w:r>
        <w:t xml:space="preserve"> (art. 209.1)</w:t>
      </w:r>
      <w:r>
        <w:t>.</w:t>
      </w:r>
    </w:p>
    <w:p>
      <w:pPr>
        <w:pStyle w:val="ListBullet"/>
      </w:pPr>
      <w:r>
        <w:rPr>
          <w:b/>
        </w:rPr>
        <w:t>Para cobrarla entera:</w:t>
      </w:r>
      <w:r>
        <w:t xml:space="preserve"> desde 2027, 37 años cotizados: el 50 % por los primeros quince, y el resto mes a mes</w:t>
      </w:r>
      <w:r>
        <w:t xml:space="preserve"> (art. 210.1 y disposición transitoria novena; cálculo de la obra)</w:t>
      </w:r>
      <w:r>
        <w:t>.</w:t>
      </w:r>
    </w:p>
    <w:p>
      <w:pPr>
        <w:pStyle w:val="ListBullet"/>
      </w:pPr>
      <w:r>
        <w:rPr>
          <w:b/>
        </w:rPr>
        <w:t>La edad:</w:t>
      </w:r>
      <w:r>
        <w:t xml:space="preserve"> «Haber cumplido sesenta y siete años de edad, o sesenta y cinco años cuando se acrediten treinta y ocho años y seis meses de cotización»</w:t>
      </w:r>
      <w:r>
        <w:t xml:space="preserve"> (art. 205.1.a)</w:t>
      </w:r>
      <w:r>
        <w:t>. La subida desde los 65 se completa en 2027</w:t>
      </w:r>
      <w:r>
        <w:t xml:space="preserve"> (disposición transitoria séptima)</w:t>
      </w:r>
      <w:r>
        <w:t>.</w:t>
      </w:r>
    </w:p>
    <w:p>
      <w:r>
        <w:t>[21.00-16.6; leyes leídas en el BOE]</w:t>
      </w:r>
    </w:p>
    <w:p>
      <w:r>
        <w:rPr>
          <w:b/>
        </w:rPr>
        <w:t>Más carga.</w:t>
      </w:r>
    </w:p>
    <w:p>
      <w:pPr>
        <w:pStyle w:val="ListBullet"/>
      </w:pPr>
      <w:r>
        <w:rPr>
          <w:b/>
        </w:rPr>
        <w:t>Impuestos y cotizaciones:</w:t>
      </w:r>
      <w:r>
        <w:t xml:space="preserve"> lo que pasa por las administraciones por esas dos vías era el 32,3 % del PIB en 1995 y fue el 37,3 % en 2024</w:t>
      </w:r>
      <w:r>
        <w:t xml:space="preserve"> (Eurostat, gov_10a_taxag)</w:t>
      </w:r>
      <w:r>
        <w:t>: unas 18 jornadas más de cada año que en 1995 (cálculo de la obra). No fue una subida continua: pasó del 37,2 % en 2007 al 30,5 % en 2009 y desde entonces ha vuelto a subir.</w:t>
      </w:r>
    </w:p>
    <w:p>
      <w:pPr>
        <w:pStyle w:val="ListBullet"/>
      </w:pPr>
      <w:r>
        <w:rPr>
          <w:b/>
        </w:rPr>
        <w:t>Todos los ingresos públicos,</w:t>
      </w:r>
      <w:r>
        <w:t xml:space="preserve"> también los que no son impuestos, pasaron del 37,9 % del PIB en 2000 al 42,9 % en 2025, el más alto desde 1995, cuando empieza la serie</w:t>
      </w:r>
      <w:r>
        <w:t xml:space="preserve"> (Eurostat, cuentas de las administraciones públicas (gov_10a_main))</w:t>
      </w:r>
      <w:r>
        <w:t>.</w:t>
      </w:r>
    </w:p>
    <w:p>
      <w:pPr>
        <w:pStyle w:val="ListBullet"/>
      </w:pPr>
      <w:r>
        <w:rPr>
          <w:b/>
        </w:rPr>
        <w:t>Por habitante:</w:t>
      </w:r>
      <w:r>
        <w:t xml:space="preserve"> descontados los precios y el aumento de la población, cada habitante aportó en 2024 un 23 % más que en 2002, y un 37 % más en impuestos sobre la renta y el patrimonio (cálculo de la obra con datos de Eurostat y del INE).</w:t>
      </w:r>
    </w:p>
    <w:p>
      <w:pPr>
        <w:pStyle w:val="ListBullet"/>
      </w:pPr>
      <w:r>
        <w:rPr>
          <w:b/>
        </w:rPr>
        <w:t>Sobre el trabajo:</w:t>
      </w:r>
      <w:r>
        <w:t xml:space="preserve"> lo que se lleva el Estado del coste laboral de un asalariado medio, en IRPF y cotizaciones, pasó del 38,6 % en 2000 al 41,4 % en 2025</w:t>
      </w:r>
      <w:r>
        <w:t xml:space="preserve"> (OCDE, Taxing Wages)</w:t>
      </w:r>
      <w:r>
        <w:t xml:space="preserve"> (</w:t>
      </w:r>
      <w:r>
        <w:t>8.4</w:t>
      </w:r>
      <w:r>
        <w:t>), sin el IVA, los tributos municipales ni los impuestos especiales.</w:t>
      </w:r>
    </w:p>
    <w:p>
      <w:r>
        <w:t>[21.00-16.3 a 16.5; OCDE y Eurostat leídos en sus datos oficiales; IPC y población del INE y de Eurostat]</w:t>
      </w:r>
    </w:p>
    <w:p>
      <w:r>
        <w:rPr>
          <w:b/>
        </w:rPr>
        <w:t>Más normas y más trámites.</w:t>
      </w:r>
      <w:r>
        <w:t xml:space="preserve"> Solo en 2024 se publicaron 1.298.086 páginas de boletines oficiales (</w:t>
      </w:r>
      <w:r>
        <w:t>5.2</w:t>
      </w:r>
      <w:r>
        <w:t>, planta 3), y un autónomo dedica unas 226 horas al año a trámites, según una asociación del sector (</w:t>
      </w:r>
      <w:r>
        <w:t>8.4</w:t>
      </w:r>
      <w:r>
        <w:t>). Cumplirlas cuesta: según un estudio privado, del Instituto de Estudios Económicos, otros autores cifran esa pérdida entre el 3 % y el 5 % del PIB, y el propio Instituto estima, «de manera conservadora», que al menos la mitad, entre el 1,5 % y el 2,5 %, viene de que cada administración regule lo mismo a su manera</w:t>
      </w:r>
      <w:r>
        <w:t xml:space="preserve"> (Instituto de Estudios Económicos, Revista del IEE, n.º 4/2022, pp. 16 y 26; estudio privado)</w:t>
      </w:r>
      <w:r>
        <w:t>. Solo esa mitad ya supera lo que se gasta en gobierno, parlamentos y hacienda: el 1,3 % del PIB en 2024</w:t>
      </w:r>
      <w:r>
        <w:t xml:space="preserve"> (Eurostat, gasto por funciones (gov_10a_exp), grupo GF0101)</w:t>
      </w:r>
      <w:r>
        <w:t xml:space="preserve">. </w:t>
      </w:r>
      <w:r>
        <w:t>[21.00-16.7 y 16.8, corregido: el 1,5-2,5 % no es el total de las cargas, sino la parte que el Instituto atribuye a la fragmentación de normas]</w:t>
      </w:r>
    </w:p>
    <w:p>
      <w:r>
        <w:rPr>
          <w:b/>
        </w:rPr>
        <w:t>Una enfermedad que describió Hobbes.</w:t>
      </w:r>
      <w:r>
        <w:t xml:space="preserve"> Hobbes, que llamó al Estado «Dios mortal» (</w:t>
      </w:r>
      <w:r>
        <w:t>6.1</w:t>
      </w:r>
      <w:r>
        <w:t>), dedicó un capítulo a lo que lo debilita. Una de sus enfermedades es la falta de dinero: el soberano aguanta cuanto puede y, cuando ya no puede más, «lucha con el pueblo con estratagemas de ley para obtener pequeñas sumas, que, como no bastan, se ve obligado al fin a abrirse paso por la fuerza para lo que necesita al momento, o perecer»</w:t>
      </w:r>
      <w:r>
        <w:t xml:space="preserve"> [original: «struggles with the people by strategems of Law, to obtain little summes, which not sufficing, he is fain at last violently to open the way for present supply, or Perish»]</w:t>
      </w:r>
      <w:r>
        <w:t xml:space="preserve"> (Hobbes, Leviatán, cap. XXIX)</w:t>
      </w:r>
      <w:r>
        <w:t>. La obra encuentra dos estratagemas de ley:</w:t>
      </w:r>
    </w:p>
    <w:p>
      <w:pPr>
        <w:pStyle w:val="ListBullet"/>
      </w:pPr>
      <w:r>
        <w:rPr>
          <w:b/>
        </w:rPr>
        <w:t>Impuestos que suben sin votarse:</w:t>
      </w:r>
      <w:r>
        <w:t xml:space="preserve"> el mínimo exento del IRPF sigue en 5.550 euros desde 2015, mientras los precios subían un 28,0 % (</w:t>
      </w:r>
      <w:r>
        <w:t>5.1</w:t>
      </w:r>
      <w:r>
        <w:t>, n.º 5).</w:t>
      </w:r>
    </w:p>
    <w:p>
      <w:pPr>
        <w:pStyle w:val="ListBullet"/>
      </w:pPr>
      <w:r>
        <w:rPr>
          <w:b/>
        </w:rPr>
        <w:t>Multas que se presupuestan:</w:t>
      </w:r>
      <w:r>
        <w:t xml:space="preserve"> la estructura oficial de los presupuestos de los ayuntamientos tiene un concepto para las multas y, dentro de él, uno propio para las «Multas por infracciones de la Ordenanza de circulación»</w:t>
      </w:r>
      <w:r>
        <w:t xml:space="preserve"> (Orden EHA/3565/2008, anexo IV, concepto 391, subconcepto 391.20)</w:t>
      </w:r>
      <w:r>
        <w:t>. El Ayuntamiento de Madrid previó 211,4 millones de euros por multas de circulación en 2024 y reconoció 220,2, un 4,1 % más; en 2023, 199,3 previstos y 213,4 reconocidos, un 7,1 % más</w:t>
      </w:r>
      <w:r>
        <w:t xml:space="preserve"> (Ayuntamiento de Madrid, ejecución del presupuesto de ingresos, datos abiertos)</w:t>
      </w:r>
      <w:r>
        <w:t>. El castigo que se presupuesta antes de cometerse la infracción es lo que las tradiciones separaron del negocio (</w:t>
      </w:r>
      <w:r>
        <w:t>3.2</w:t>
      </w:r>
      <w:r>
        <w:t>, P8).</w:t>
      </w:r>
    </w:p>
    <w:p>
      <w:r>
        <w:t>[21.00-16.10, 16.11 y 16.29; Hobbes leído en inglés (Gutenberg); Orden EHA/3565/2008 leída en el BOE; datos abiertos de Madrid leídos en el original]</w:t>
      </w:r>
    </w:p>
    <w:p>
      <w:r>
        <w:rPr>
          <w:b/>
        </w:rPr>
        <w:t>Lo que hay que reconocer.</w:t>
      </w:r>
    </w:p>
    <w:p>
      <w:pPr>
        <w:pStyle w:val="ListBullet"/>
      </w:pPr>
      <w:r>
        <w:rPr>
          <w:b/>
        </w:rPr>
        <w:t>Se vive más.</w:t>
      </w:r>
      <w:r>
        <w:t xml:space="preserve"> La esperanza de vida a los 65 años pasó de 15,8 años en 1978 a 21,9 en 2024</w:t>
      </w:r>
      <w:r>
        <w:t xml:space="preserve"> (INE, tabla 1415)</w:t>
      </w:r>
      <w:r>
        <w:t>: la pensión se cobra más años, y la edad de jubilación ha subido dos. El gasto en pensiones de vejez es el que más crece: del 6,6 % del PIB en 1995 al 10,4 % en 2024, todavía provisional</w:t>
      </w:r>
      <w:r>
        <w:t xml:space="preserve"> (Eurostat, gasto por funciones (gov_10a_exp))</w:t>
      </w:r>
      <w:r>
        <w:t>.</w:t>
      </w:r>
    </w:p>
    <w:p>
      <w:pPr>
        <w:pStyle w:val="ListBullet"/>
      </w:pPr>
      <w:r>
        <w:rPr>
          <w:b/>
        </w:rPr>
        <w:t>La estructura no crece.</w:t>
      </w:r>
      <w:r>
        <w:t xml:space="preserve"> Lo que se gasta en gobierno, parlamentos y hacienda baja: del 1,5 % del PIB en 1995 al 1,3 % en 2024</w:t>
      </w:r>
      <w:r>
        <w:t xml:space="preserve"> (ídem)</w:t>
      </w:r>
      <w:r>
        <w:t>. El peso de este Leviatán no está en lo que gasta en sí mismo, sino en lo que exige a los demás.</w:t>
      </w:r>
    </w:p>
    <w:p>
      <w:pPr>
        <w:pStyle w:val="ListBullet"/>
      </w:pPr>
      <w:r>
        <w:rPr>
          <w:b/>
        </w:rPr>
        <w:t>Antes se pagaba menos,</w:t>
      </w:r>
      <w:r>
        <w:t xml:space="preserve"> pero el Estado daba mucho menos y no había libertades; y la política económica de aquel régimen «abusó de la regulación económica»</w:t>
      </w:r>
      <w:r>
        <w:t xml:space="preserve"> (Comín, «Sector público y crecimiento económico en la dictadura de Franco», Ayer, 21, 1996, p. 167)</w:t>
      </w:r>
      <w:r>
        <w:t>. La forma cambia; el patrón de una estructura que se sostiene sobre la persona permanece.</w:t>
      </w:r>
    </w:p>
    <w:p>
      <w:r>
        <w:t>[21.00-16.12 a 16.15; INE, Eurostat y Comín leídos en el original]</w:t>
      </w:r>
    </w:p>
    <w:p>
      <w:r>
        <w:rPr>
          <w:b/>
        </w:rPr>
        <w:t>Conclusión, lo que arrojan los datos:</w:t>
      </w:r>
      <w:r>
        <w:t xml:space="preserve"> medido con la raíz de su propia palabra, el sistema no cumple: cada generación necesita más años de vida, más normas y más trámites para obtener lo mismo, y el hueco se cubre con deuda. Y muestra una de las enfermedades que describió el propio Hobbes, defensor del poder absoluto: impuestos que suben sin votarse y multas que se presupuestan antes de cometerse la infracción. Este diagnóstico no lo firma el autor: sale de las cuentas y estadísticas del propio Estado (el Tribunal de Cuentas, el INE, la Seguridad Social y el BOE) y de Eurostat y la OCDE. </w:t>
      </w:r>
      <w:r>
        <w:t>[00.0-5.6; 21.00-16.29]</w:t>
      </w:r>
    </w:p>
    <w:p>
      <w:r>
        <w:rPr>
          <w:b/>
        </w:rPr>
        <w:t>Lectura del autor:</w:t>
      </w:r>
      <w:r>
        <w:t xml:space="preserve"> ha llegado a su final. Ha perdido su </w:t>
      </w:r>
      <w:r>
        <w:rPr>
          <w:i/>
        </w:rPr>
        <w:t>auctoritas</w:t>
      </w:r>
      <w:r>
        <w:t xml:space="preserve">, porque ya no hace crecer a quienes lo sostienen, y solo se prolonga a costa de su tiempo de vida y de su futuro. Hobbes dejó escrito que su Leviatán era mortal (abajo); los datos dicen que está enfermo; el autor concluye que ya no tiene motivo para seguir prolongándose tal como es. </w:t>
      </w:r>
      <w:r>
        <w:t>[00.0-5.7; 21.00-16.30]</w:t>
      </w:r>
    </w:p>
    <w:p>
      <w:pPr>
        <w:pStyle w:val="Heading3"/>
      </w:pPr>
      <w:r>
        <w:t>Lo que dicen las leyes de arriba, y lo que hace el sistema</w:t>
      </w:r>
    </w:p>
    <w:p>
      <w:r>
        <w:t>El dictamen sostiene que el sistema contraviene la ley de Dios y la ley natural. Este es el cotejo, punto por punto, con lo ya visto:</w:t>
      </w:r>
    </w:p>
    <w:p>
      <w:pPr>
        <w:pStyle w:val="ListBullet"/>
      </w:pPr>
      <w:r>
        <w:rPr>
          <w:b/>
        </w:rPr>
        <w:t>Remisión de las deudas.</w:t>
      </w:r>
      <w:r>
        <w:t xml:space="preserve"> Cada siete años, remisión; cada cincuenta, jubileo (</w:t>
      </w:r>
      <w:r>
        <w:t>3.3</w:t>
      </w:r>
      <w:r>
        <w:t>). El sistema hace lo contrario: no hay remisión periódica, y la deuda del Estado se paga con deuda nueva y crece (</w:t>
      </w:r>
      <w:r>
        <w:t>8.1</w:t>
      </w:r>
      <w:r>
        <w:t xml:space="preserve"> y </w:t>
      </w:r>
      <w:r>
        <w:t>8.6</w:t>
      </w:r>
      <w:r>
        <w:t>).</w:t>
      </w:r>
    </w:p>
    <w:p>
      <w:pPr>
        <w:pStyle w:val="ListBullet"/>
      </w:pPr>
      <w:r>
        <w:rPr>
          <w:b/>
        </w:rPr>
        <w:t>La deuda como servidumbre.</w:t>
      </w:r>
      <w:r>
        <w:t xml:space="preserve"> «el que toma prestado, siervo es del que empresta» (Pr 22:7; </w:t>
      </w:r>
      <w:r>
        <w:t>5.2</w:t>
      </w:r>
      <w:r>
        <w:t>, planta 5). A final de 2025, la deuda pública era de 34.405 euros por habitante (cálculo de la obra, con la población media de ese año, todavía provisional, de Eurostat).</w:t>
      </w:r>
    </w:p>
    <w:p>
      <w:pPr>
        <w:pStyle w:val="ListBullet"/>
      </w:pPr>
      <w:r>
        <w:rPr>
          <w:b/>
        </w:rPr>
        <w:t>La usura</w:t>
      </w:r>
      <w:r>
        <w:t xml:space="preserve"> (</w:t>
      </w:r>
      <w:r>
        <w:t>3.3</w:t>
      </w:r>
      <w:r>
        <w:t>). El sistema se sostiene sobre deuda con intereses: 38.793 millones de euros en 2024 (</w:t>
      </w:r>
      <w:r>
        <w:t>8.6</w:t>
      </w:r>
      <w:r>
        <w:t>). La Torá la prohíbe en el préstamo al pobre y al hermano; aplicarla a la deuda de un Estado es extensión del autor.</w:t>
      </w:r>
    </w:p>
    <w:p>
      <w:pPr>
        <w:pStyle w:val="ListBullet"/>
      </w:pPr>
      <w:r>
        <w:rPr>
          <w:b/>
        </w:rPr>
        <w:t>Pesas justas</w:t>
      </w:r>
      <w:r>
        <w:t xml:space="preserve"> (</w:t>
      </w:r>
      <w:r>
        <w:t>3.2</w:t>
      </w:r>
      <w:r>
        <w:t>, P4). El dinero pierde valor en manos de quien lo emite (</w:t>
      </w:r>
      <w:r>
        <w:t>8.3</w:t>
      </w:r>
      <w:r>
        <w:t>).</w:t>
      </w:r>
    </w:p>
    <w:p>
      <w:pPr>
        <w:pStyle w:val="ListBullet"/>
      </w:pPr>
      <w:r>
        <w:rPr>
          <w:b/>
        </w:rPr>
        <w:t>Nadie es juez en su propia causa</w:t>
      </w:r>
      <w:r>
        <w:t xml:space="preserve"> (</w:t>
      </w:r>
      <w:r>
        <w:t>1.7</w:t>
      </w:r>
      <w:r>
        <w:t>). El Estado se excluye, por su propia ley, del concurso de acreedores (</w:t>
      </w:r>
      <w:r>
        <w:t>5.1</w:t>
      </w:r>
      <w:r>
        <w:t>, n.º 7).</w:t>
      </w:r>
    </w:p>
    <w:p>
      <w:pPr>
        <w:pStyle w:val="ListBullet"/>
      </w:pPr>
      <w:r>
        <w:rPr>
          <w:b/>
        </w:rPr>
        <w:t>La ley humana que contradice a la natural</w:t>
      </w:r>
      <w:r>
        <w:t xml:space="preserve"> «ya no será ley, sino corrupción de la ley» (</w:t>
      </w:r>
      <w:r>
        <w:t>1.1</w:t>
      </w:r>
      <w:r>
        <w:t>).</w:t>
      </w:r>
    </w:p>
    <w:p>
      <w:r>
        <w:t>[21.00-16.18 a 16.24; 21.00-16.24, corregido: «ya no será ley», como en 1.1; la deuda por habitante, con los datos de 2025, como el resto del apartado]</w:t>
      </w:r>
    </w:p>
    <w:p>
      <w:pPr>
        <w:pStyle w:val="Heading3"/>
      </w:pPr>
      <w:r>
        <w:t>La espada que juzga</w:t>
      </w:r>
    </w:p>
    <w:p>
      <w:r>
        <w:rPr>
          <w:b/>
        </w:rPr>
        <w:t>Lo que escribió Hobbes.</w:t>
      </w:r>
      <w:r>
        <w:t xml:space="preserve"> Al cerrar la parte de su obra dedicada al poder del Estado, Hobbes explica de dónde tomó el nombre: de los dos últimos versículos de Job 41, donde Dios, tras describir el gran poder del Leviatán, lo llama «rey de los soberbios»</w:t>
      </w:r>
      <w:r>
        <w:t xml:space="preserve"> [original: «King of the Proud»]</w:t>
      </w:r>
      <w:r>
        <w:t>. Y sigue: «pero porque es mortal y está sujeto a la decadencia, como todas las demás criaturas terrenas, y porque hay algo en el cielo, aunque no en la tierra, a lo que debe temer y cuyas leyes debe obedecer»</w:t>
      </w:r>
      <w:r>
        <w:t xml:space="preserve"> [original: «But because he is mortall, and subject to decay, as all other Earthly creatures are; and because there is that in heaven, (though not on earth) that he should stand in fear of, and whose Lawes he ought to obey»]</w:t>
      </w:r>
      <w:r>
        <w:t>, dedicará los capítulos siguientes a «sus enfermedades y las causas de su mortalidad, y a qué leyes de la naturaleza está obligado a obedecer»</w:t>
      </w:r>
      <w:r>
        <w:t xml:space="preserve"> [original: «his Diseases, and the causes of his Mortality; and of what Lawes of Nature he is bound to obey»]</w:t>
      </w:r>
      <w:r>
        <w:t xml:space="preserve"> (Hobbes, Leviatán, final del cap. XXVIII)</w:t>
      </w:r>
      <w:r>
        <w:t>. La portada de 1651 recoge el versículo cortado (</w:t>
      </w:r>
      <w:r>
        <w:t>6.1</w:t>
      </w:r>
      <w:r>
        <w:t xml:space="preserve">); la Vulgata continúa: «qui factus est ut nullum timeret» (que fue hecho para no temer a nadie) (Job 41:24). </w:t>
      </w:r>
      <w:r>
        <w:t>[00.0-5.12; 21.00-16.24; Hobbes leído en inglés (Gutenberg)]</w:t>
      </w:r>
    </w:p>
    <w:p>
      <w:r>
        <w:rPr>
          <w:b/>
        </w:rPr>
        <w:t>Lectura del autor:</w:t>
      </w:r>
      <w:r>
        <w:t xml:space="preserve"> el hallazgo de Hobbes es la espada que juzga al Leviatán. En la portada, el Leviatán empuña una espada; la que lo juzga es otra. No una espada de hierro, sino la palabra, «más penetrante que toda espada de dos filos», que «discierne los pensamientos y las intenciones del corazón»</w:t>
      </w:r>
      <w:r>
        <w:t xml:space="preserve"> (Heb 4:12)</w:t>
      </w:r>
      <w:r>
        <w:t>: la ley que su propio autor reconoció por encima de él, la ley de Dios recogida en los libros sagrados y la ley natural. Discernir es separar. La auditoría es el aventador que separa el trigo de la paja (Mt 3:12): lo que sirve al bien común, de lo que lo daña. Y se hace con la prudencia de la parábola: «cogiendo la cizaña, no arranquéis también con ella el trigo»</w:t>
      </w:r>
      <w:r>
        <w:t xml:space="preserve"> (Mt 13:29)</w:t>
      </w:r>
      <w:r>
        <w:t xml:space="preserve">. Se separa caso a caso, con pruebas; la siega final no es nuestra. </w:t>
      </w:r>
      <w:r>
        <w:t>[00.0-5.12 y 5.13; Heb 4:12, Mt 3:12 y Mt 13:29 en la Reina-Valera Antigua]</w:t>
      </w:r>
    </w:p>
    <w:p>
      <w:pPr>
        <w:pStyle w:val="Heading3"/>
      </w:pPr>
      <w:r>
        <w:t>El dictamen</w:t>
      </w:r>
    </w:p>
    <w:p>
      <w:r>
        <w:rPr>
          <w:b/>
        </w:rPr>
        <w:t>El formato.</w:t>
      </w:r>
      <w:r>
        <w:t xml:space="preserve"> La ley de auditoría dice que la opinión del auditor sobre si las cuentas «ofrecen la imagen fiel» de la entidad «podrá revestir cuatro modalidades: favorable, con salvedades, desfavorable o denegada», y que se indicarán, en su caso, las «incertidumbres significativas o materiales» que pudieran hacer dudar de su capacidad «para continuar como empresa en funcionamiento»</w:t>
      </w:r>
      <w:r>
        <w:t xml:space="preserve"> (Ley 22/2015, de Auditoría de Cuentas, art. 5.1.e)</w:t>
      </w:r>
      <w:r>
        <w:t>. La obra usa ese formato para que su conclusión se lea con categorías conocidas, no para darle un valor oficial que no tiene: no es un auditor inscrito. Lo llama dictamen, y reserva la palabra «veredicto» para lo que decida el jurado del juicio popular (</w:t>
      </w:r>
      <w:r>
        <w:t>capítulo 11</w:t>
      </w:r>
      <w:r>
        <w:t xml:space="preserve">; </w:t>
      </w:r>
      <w:r>
        <w:t>H.7</w:t>
      </w:r>
      <w:r>
        <w:t xml:space="preserve">). </w:t>
      </w:r>
      <w:r>
        <w:t>[00.0-5.15; 00.0-6.10; Ley 22/2015 leída en el BOE]</w:t>
      </w:r>
    </w:p>
    <w:p>
      <w:r>
        <w:rPr>
          <w:b/>
        </w:rPr>
        <w:t>El dictamen de esta obra sobre el sistema es: OPINIÓN DESFAVORABLE.</w:t>
      </w:r>
      <w:r>
        <w:t xml:space="preserve"> Sus cuentas no ofrecen la imagen fiel de lo que debe a los ciudadanos, y existe una incertidumbre material sobre su capacidad para continuar tal como es. La piedra de todo el dictamen está en 5.4: el pueblo no consintió; nació dentro y lo aceptó sin saberlo, y lo que se sostiene solo en presunciones se disuelve cuando se pide la prueba. </w:t>
      </w:r>
      <w:r>
        <w:t>[00.0-5.14 y 5.15]</w:t>
      </w:r>
    </w:p>
    <w:p>
      <w:r>
        <w:rPr>
          <w:b/>
        </w:rPr>
        <w:t>Lo que anuncia, y lo que no.</w:t>
      </w:r>
      <w:r>
        <w:t xml:space="preserve"> Por eso el autor anuncia el cierre de esta forma de gobierno: no de la comunidad, ni del orden, ni de la ley, sino de un sistema que ha agotado su </w:t>
      </w:r>
      <w:r>
        <w:rPr>
          <w:i/>
        </w:rPr>
        <w:t>auctoritas</w:t>
      </w:r>
      <w:r>
        <w:t>. El camino no es el vacío: es el método de esta obra, la petición documentada, la metamorfosis del Estado a la que se invita (</w:t>
      </w:r>
      <w:r>
        <w:t>0.2</w:t>
      </w:r>
      <w:r>
        <w:t xml:space="preserve">) y la puerta que la propia Constitución dejó abierta, la revisión total (art. 168; </w:t>
      </w:r>
      <w:r>
        <w:t>5.2</w:t>
      </w:r>
      <w:r>
        <w:t xml:space="preserve">, planta 2), que se ve en el </w:t>
      </w:r>
      <w:r>
        <w:t>capítulo 10</w:t>
      </w:r>
      <w:r>
        <w:t>. Este dictamen no exime a nadie de sus obligaciones vigentes (</w:t>
      </w:r>
      <w:r>
        <w:t>0.2</w:t>
      </w:r>
      <w:r>
        <w:t xml:space="preserve">): es el diagnóstico que funda la reforma, no una orden de desobediencia. </w:t>
      </w:r>
      <w:r>
        <w:t>[00.0-5.16 y 5.17]</w:t>
      </w:r>
    </w:p>
    <w:p>
      <w:r>
        <w:t>[Dónde está la prueba, según el Pórtico: 21.00, sección 12; 20.00; 22.00; 24.00; 25.00; y la auditoría de España, 14.00 a 19.00 (00.0-5.18)]</w:t>
      </w:r>
    </w:p>
    <w:p>
      <w:pPr>
        <w:pStyle w:val="Heading2"/>
      </w:pPr>
      <w:r>
        <w:t>9.2 La forma sin sustancia, y cuando el pueblo retira la legitimidad</w:t>
      </w:r>
    </w:p>
    <w:p>
      <w:pPr>
        <w:pBdr>
          <w:left w:val="single" w:sz="24" w:space="6" w:color="E2DED6"/>
        </w:pBdr>
        <w:shd w:val="clear" w:color="auto" w:fill="F1EEE8"/>
        <w:spacing w:before="80" w:after="160"/>
        <w:ind w:left="142" w:right="142"/>
      </w:pPr>
      <w:r>
        <w:rPr>
          <w:b/>
        </w:rPr>
        <w:t>La idea: algunas tradiciones dieron al pueblo o a sus consejos un modo de retirar a quien gobierna sin sustancia. Cuando ese modo no existe, o falla, la historia muestra una secuencia que se repite: primero se agota la sustancia del poder, y solo después el pueblo deja de sostenerlo.</w:t>
      </w:r>
    </w:p>
    <w:p>
      <w:r>
        <w:rPr>
          <w:b/>
        </w:rPr>
        <w:t>Lo que dejó la convergencia.</w:t>
      </w:r>
      <w:r>
        <w:t xml:space="preserve"> De las cuatro tradiciones que en </w:t>
      </w:r>
      <w:r>
        <w:t>7.5</w:t>
      </w:r>
      <w:r>
        <w:t xml:space="preserve"> hicieron de la corrección una institución, los veedores incas vigilaban el poder delegado, no al Inca. Las otras tres llegan más arriba, y cada una es de un tipo distinto: la destitución del jefe, que cualquiera del pueblo podía iniciar (los ashanti); la autoridad que nombra y que retira, las mujeres a quienes pertenece el título (los iroqueses); y el código escrito con el que una comunidad se corrige por dentro, con penas graduadas (la Regla de Qumrán), que, por ser normas escritas, es la que más se parece a lo que intenta ser un Estado moderno. Y un matiz que debe ir siempre junto al hallazgo: ni los ashanti ni los iroqueses, con los mejores mecanismos internos de corrección de los casos estudiados, pudieron impedir la conquista o el desplazamiento por potencias de fuera. Los ashanti fueron conquistados por los británicos entre 1896 y 1901 y declarados colonia de la Corona el 1 de enero de 1902</w:t>
      </w:r>
      <w:r>
        <w:t xml:space="preserve"> (Encyclopaedia Britannica, «Asante empire» y «Ghana»; fuente secundaria)</w:t>
      </w:r>
      <w:r>
        <w:t>. Los iroqueses, divididos en la guerra de independencia de Estados Unidos, cedieron en 1784 «todo derecho sobre el territorio» al oeste de la nueva frontera</w:t>
      </w:r>
      <w:r>
        <w:t xml:space="preserve"> [original: «all claims to the country west of the said boundary»]</w:t>
      </w:r>
      <w:r>
        <w:t xml:space="preserve"> (tratado de Fort Stanwix, 22-10-1784, art. III (Avalon Project))</w:t>
      </w:r>
      <w:r>
        <w:t xml:space="preserve">. Corregirse por dentro y resistir la fuerza de fuera son dos problemas distintos, y ninguno de los pueblos estudiados resolvió los dos a la vez. </w:t>
      </w:r>
      <w:r>
        <w:t>[19.00-11.1, corregido: el 7.5 cuenta cuatro, con los incas; el «procedimiento de garantías» de Qumrán no se ha leído; fechas leídas en Britannica y en el tratado]</w:t>
      </w:r>
    </w:p>
    <w:p>
      <w:r>
        <w:rPr>
          <w:b/>
        </w:rPr>
        <w:t>Cuando no hay mecanismo, o ha fallado.</w:t>
      </w:r>
      <w:r>
        <w:t xml:space="preserve"> Hay otro patrón, distinto: lo que ocurre cuando ningún mecanismo interno de corrección existe o ya ha fallado, y la sustancia del poder se ha vaciado tanto que el pueblo, sin decreto ni autorización de nadie, deja de sostenerlo con su obediencia. Es la servidumbre voluntaria vista del revés: uno solo manda porque muchos se lo dan (</w:t>
      </w:r>
      <w:r>
        <w:t>4.1</w:t>
      </w:r>
      <w:r>
        <w:t>), y deja de mandar cuando dejan de dárselo. Es también la deslegitimación, la «acción de privar de legitimidad» (</w:t>
      </w:r>
      <w:r>
        <w:t>6.3</w:t>
      </w:r>
      <w:r>
        <w:t xml:space="preserve">). Diez casos, cada uno con su fecha y su fuente, como hecho histórico comparado y no como manual de instrucciones: cada uno tuvo su causa, su proceso y sus consecuencias, y no todos terminaron igual de bien para quienes participaron. </w:t>
      </w:r>
      <w:r>
        <w:t>[19.00-12.1]</w:t>
      </w:r>
    </w:p>
    <w:p>
      <w:r>
        <w:rPr>
          <w:b/>
        </w:rPr>
        <w:t>Los diez casos.</w:t>
      </w:r>
    </w:p>
    <w:p>
      <w:pPr>
        <w:spacing w:after="60"/>
        <w:ind w:left="510" w:hanging="397"/>
      </w:pPr>
      <w:r>
        <w:rPr>
          <w:b w:val="0"/>
        </w:rPr>
        <w:t xml:space="preserve">1. </w:t>
      </w:r>
      <w:r>
        <w:rPr>
          <w:b/>
        </w:rPr>
        <w:t>Inglaterra, 1688-1689.</w:t>
      </w:r>
      <w:r>
        <w:t xml:space="preserve"> El rey Jacobo II quería eximir a los católicos de las restricciones de la ley que exigía un juramento religioso para los cargos públicos; cuando el Parlamento se le resistió, lo suspendió en 1685 y lo disolvió en 1687</w:t>
      </w:r>
      <w:r>
        <w:t xml:space="preserve"> (Parlamento del Reino Unido, «The reign of James II» (El reinado de Jacobo II); fuente secundaria)</w:t>
      </w:r>
      <w:r>
        <w:t>. El 30 de junio de 1688, siete ingleses destacados escribieron a Guillermo de Orange para invitarle a venir; el rey no se atrevió a arriesgar su ejército en una batalla y huyó el 23 de diciembre</w:t>
      </w:r>
      <w:r>
        <w:t xml:space="preserve"> (Encyclopaedia Britannica, «James II»; fuente secundaria)</w:t>
      </w:r>
      <w:r>
        <w:t>. En 1689, la Declaración de Derechos dejó escrito «que el pretendido poder de suspender las leyes o su ejecución por autoridad real, sin consentimiento del Parlamento, es ilegal»</w:t>
      </w:r>
      <w:r>
        <w:t xml:space="preserve"> [original: «That the pretended Power of Suspending of Laws or the Execution of Laws by Regall Authority without Consent of Parlyament is illegall»]</w:t>
      </w:r>
      <w:r>
        <w:t xml:space="preserve"> (Bill of Rights, 1688 c. 2 (legislation.gov.uk))</w:t>
      </w:r>
      <w:r>
        <w:t>.</w:t>
      </w:r>
    </w:p>
    <w:p>
      <w:pPr>
        <w:spacing w:after="60"/>
        <w:ind w:left="510" w:hanging="397"/>
      </w:pPr>
      <w:r>
        <w:rPr>
          <w:b w:val="0"/>
        </w:rPr>
        <w:t xml:space="preserve">2. </w:t>
      </w:r>
      <w:r>
        <w:rPr>
          <w:b/>
        </w:rPr>
        <w:t>La India, 1930-1947.</w:t>
      </w:r>
      <w:r>
        <w:t xml:space="preserve"> El 12 de marzo de 1930, Gandhi salió a pie hacia el mar; el 5 de abril llegó a Dandi, tras unos 385 kilómetros, y la mañana del 6 recogió un puñado de sal: técnicamente, producir sal, que era monopolio británico, y violar la ley</w:t>
      </w:r>
      <w:r>
        <w:t xml:space="preserve"> (Encyclopaedia Britannica, «Salt March» (La marcha de la sal); fuente secundaria)</w:t>
      </w:r>
      <w:r>
        <w:t>. A finales de año, unas 60.000 personas estaban en la cárcel</w:t>
      </w:r>
      <w:r>
        <w:t xml:space="preserve"> (ídem)</w:t>
      </w:r>
      <w:r>
        <w:t>; a él lo detuvieron el 5 de mayo</w:t>
      </w:r>
      <w:r>
        <w:t xml:space="preserve"> (Gandhi Heritage Portal (archivo del áshram de Sabarmati); fuente secundaria)</w:t>
      </w:r>
      <w:r>
        <w:t>. Diecisiete años después, una ley británica dispuso que desde el 15 de agosto de 1947 se establecieran «dos dominios independientes», la India y Pakistán</w:t>
      </w:r>
      <w:r>
        <w:t xml:space="preserve"> [original: «two independent Dominions shall be set up in India, to be known respectively as India and Pakistan»]</w:t>
      </w:r>
      <w:r>
        <w:t xml:space="preserve"> (Indian Independence Act 1947, sección 1.1 (legislation.gov.uk))</w:t>
      </w:r>
      <w:r>
        <w:t>.</w:t>
      </w:r>
    </w:p>
    <w:p>
      <w:pPr>
        <w:spacing w:after="60"/>
        <w:ind w:left="510" w:hanging="397"/>
      </w:pPr>
      <w:r>
        <w:rPr>
          <w:b w:val="0"/>
        </w:rPr>
        <w:t xml:space="preserve">3. </w:t>
      </w:r>
      <w:r>
        <w:rPr>
          <w:b/>
        </w:rPr>
        <w:t>Polonia, 1980-1989.</w:t>
      </w:r>
      <w:r>
        <w:t xml:space="preserve"> En el verano de 1980 estallaron huelgas contra la subida de la carne; el 14 de agosto paró el astillero de Gdańsk, y el 31 se firmó el acuerdo que admitía «nuevos sindicatos autogestionados»</w:t>
      </w:r>
      <w:r>
        <w:t xml:space="preserve"> [original: «nowych, samorządnych związków zawodowych»]</w:t>
      </w:r>
      <w:r>
        <w:t xml:space="preserve"> (Instituto de la Memoria Nacional de Polonia (IPN); fuente secundaria)</w:t>
      </w:r>
      <w:r>
        <w:t>. Solidaridad fue el primer sindicato independiente en un país del bloque soviético</w:t>
      </w:r>
      <w:r>
        <w:t xml:space="preserve"> (Encyclopaedia Britannica, «Solidarity»; fuente secundaria)</w:t>
      </w:r>
      <w:r>
        <w:t>. Con la ley marcial, implantada el 13 de diciembre de 1981</w:t>
      </w:r>
      <w:r>
        <w:t xml:space="preserve"> (Consejo de Estado, resolución de 12-12-1981 (ISAP))</w:t>
      </w:r>
      <w:r>
        <w:t>, fue declarado ilegal</w:t>
      </w:r>
      <w:r>
        <w:t xml:space="preserve"> (Britannica; fuente secundaria)</w:t>
      </w:r>
      <w:r>
        <w:t>, y una ley de 8 de octubre de 1982 anuló todos los registros sindicales anteriores</w:t>
      </w:r>
      <w:r>
        <w:t xml:space="preserve"> (ley de sindicatos de 8-10-1982, art. 52 (ISAP))</w:t>
      </w:r>
      <w:r>
        <w:t>. La Mesa Redonda (6 de febrero a 5 de abril de 1989) llevó a las elecciones «parcialmente democráticas» del 4 de junio</w:t>
      </w:r>
      <w:r>
        <w:t xml:space="preserve"> [original: «częściowo demokratycznych wyborów»]</w:t>
      </w:r>
      <w:r>
        <w:t xml:space="preserve"> (Sejm, resolución de 14-3-2014)</w:t>
      </w:r>
      <w:r>
        <w:t>, y el 24 de agosto fue nombrado el primer jefe de Gobierno no comunista de un país de Europa del Este desde finales de los años cuarenta</w:t>
      </w:r>
      <w:r>
        <w:t xml:space="preserve"> (Encyclopaedia Britannica, «Tadeusz Mazowiecki»; Ministerio de Educación de Polonia (zpe.gov.pl); fuentes secundarias)</w:t>
      </w:r>
      <w:r>
        <w:t>.</w:t>
      </w:r>
    </w:p>
    <w:p>
      <w:pPr>
        <w:spacing w:after="60"/>
        <w:ind w:left="510" w:hanging="397"/>
      </w:pPr>
      <w:r>
        <w:rPr>
          <w:b w:val="0"/>
        </w:rPr>
        <w:t xml:space="preserve">4. </w:t>
      </w:r>
      <w:r>
        <w:rPr>
          <w:b/>
        </w:rPr>
        <w:t>La República Democrática Alemana, 1989.</w:t>
      </w:r>
      <w:r>
        <w:t xml:space="preserve"> En las elecciones municipales del 7 de mayo, la lista única obtuvo oficialmente el 98,85 % de los votos; observadores de la oposición que vigilaron el recuento hallaron diferencias de hasta el diez por ciento, aunque la falsificación solo pudo probarse del todo después de la caída del régimen</w:t>
      </w:r>
      <w:r>
        <w:t xml:space="preserve"> (Agencia Federal de Educación Cívica (bpb), crónica del 7-5-1989; fuente secundaria)</w:t>
      </w:r>
      <w:r>
        <w:t>. Desde el 4 de septiembre hubo manifestaciones cada lunes en Leipzig; el 9 de octubre, unas 75.000 personas, y la policía no intervino</w:t>
      </w:r>
      <w:r>
        <w:t xml:space="preserve"> (bpb, crónicas del 4-9 y del 9-10-1989)</w:t>
      </w:r>
      <w:r>
        <w:t>. El 9 de noviembre, un portavoz del Gobierno dijo en directo que las nuevas normas de viaje entraban en vigor «inmediatamente», cuando su nota decía que se publicaran al día siguiente</w:t>
      </w:r>
      <w:r>
        <w:t xml:space="preserve"> (transcripción de la rueda de prensa y nota del portavoz (Crónica del Muro))</w:t>
      </w:r>
      <w:r>
        <w:t>; esa noche, ante la multitud, el oficial al mando del paso de Bornholmer Straße decidió abrirlo</w:t>
      </w:r>
      <w:r>
        <w:t xml:space="preserve"> (Crónica del Muro; bpb; fuentes secundarias)</w:t>
      </w:r>
      <w:r>
        <w:t>. La Unión Soviética se disolvió en diciembre de 1991</w:t>
      </w:r>
      <w:r>
        <w:t xml:space="preserve"> (Oficina del Historiador, Departamento de Estado de EE. UU.; Britannica)</w:t>
      </w:r>
      <w:r>
        <w:t>.</w:t>
      </w:r>
    </w:p>
    <w:p>
      <w:pPr>
        <w:spacing w:after="60"/>
        <w:ind w:left="510" w:hanging="397"/>
      </w:pPr>
      <w:r>
        <w:rPr>
          <w:b w:val="0"/>
        </w:rPr>
        <w:t xml:space="preserve">5. </w:t>
      </w:r>
      <w:r>
        <w:rPr>
          <w:b/>
        </w:rPr>
        <w:t>Checoslovaquia, 1989.</w:t>
      </w:r>
      <w:r>
        <w:t xml:space="preserve"> El 17 de noviembre, la policía reprimió con brutalidad una manifestación de estudiantes en Praga</w:t>
      </w:r>
      <w:r>
        <w:t xml:space="preserve"> (Encyclopaedia Britannica, «Velvet Revolution» (La revolución de terciopelo); Presidencia de la República Checa; fuentes secundarias)</w:t>
      </w:r>
      <w:r>
        <w:t>. Siguieron las protestas y, el 27, una huelga general</w:t>
      </w:r>
      <w:r>
        <w:t xml:space="preserve"> (ídem; ÚSTR)</w:t>
      </w:r>
      <w:r>
        <w:t>. El 29 de noviembre, a propuesta del Gobierno, la Asamblea Federal suprimió de la Constitución el papel dirigente del Partido Comunista, sin ningún voto en contra ni abstención</w:t>
      </w:r>
      <w:r>
        <w:t xml:space="preserve"> (Asamblea Federal, proyecto 217 y acta de la sesión de 29-11-1989)</w:t>
      </w:r>
      <w:r>
        <w:t>. Václav Havel, detenido en enero de ese mismo año</w:t>
      </w:r>
      <w:r>
        <w:t xml:space="preserve"> (ÚSTR, Paměť a dějiny, 2019/3; fuente secundaria)</w:t>
      </w:r>
      <w:r>
        <w:t>, fue elegido presidente por la Asamblea Federal el 29 de diciembre</w:t>
      </w:r>
      <w:r>
        <w:t xml:space="preserve"> (acta de la sesión de 29-12-1989)</w:t>
      </w:r>
      <w:r>
        <w:t>.</w:t>
      </w:r>
    </w:p>
    <w:p>
      <w:pPr>
        <w:spacing w:after="60"/>
        <w:ind w:left="510" w:hanging="397"/>
      </w:pPr>
      <w:r>
        <w:rPr>
          <w:b w:val="0"/>
        </w:rPr>
        <w:t xml:space="preserve">6. </w:t>
      </w:r>
      <w:r>
        <w:rPr>
          <w:b/>
        </w:rPr>
        <w:t>Filipinas, 1986.</w:t>
      </w:r>
      <w:r>
        <w:t xml:space="preserve"> Ferdinand Marcos era presidente desde el 30 de diciembre de 1965</w:t>
      </w:r>
      <w:r>
        <w:t xml:space="preserve"> (Encyclopaedia Britannica, «Ferdinand Marcos»; fuente secundaria)</w:t>
      </w:r>
      <w:r>
        <w:t>. De las elecciones del 7 de febrero de 1986, el Gobierno de Estados Unidos, aliado suyo, dijo que quedaron «empañadas por un fraude y una violencia generalizados, cometidos sobre todo por el partido del Gobierno»</w:t>
      </w:r>
      <w:r>
        <w:t xml:space="preserve"> [original: «the elections were marred by widespread fraud and violence perpetrated largely by the ruling party»]</w:t>
      </w:r>
      <w:r>
        <w:t xml:space="preserve"> (declaración del presidente de EE. UU., 15-2-1986 (Biblioteca Reagan))</w:t>
      </w:r>
      <w:r>
        <w:t>. El 22 de febrero, el ministro de Defensa y el jefe del Estado Mayor dimitieron por ese fraude</w:t>
      </w:r>
      <w:r>
        <w:t xml:space="preserve"> (Casa Blanca, declaración de 22-2-1986)</w:t>
      </w:r>
      <w:r>
        <w:t>. Durante cuatro días, cientos de miles de personas se reunieron en la avenida EDSA de Manila, y millones en todo el país, según la Gaceta Oficial filipina</w:t>
      </w:r>
      <w:r>
        <w:t xml:space="preserve"> (Gaceta Oficial de Filipinas, páginas de EDSA (copia del Internet Archive); fuente secundaria)</w:t>
      </w:r>
      <w:r>
        <w:t>. El 25, Corazón Aquino juró como presidenta y Marcos salió del país</w:t>
      </w:r>
      <w:r>
        <w:t xml:space="preserve"> (Encyclopaedia Britannica, «Corazon Aquino» y «Ferdinand Marcos»; fuente secundaria)</w:t>
      </w:r>
      <w:r>
        <w:t>.</w:t>
      </w:r>
    </w:p>
    <w:p>
      <w:pPr>
        <w:spacing w:after="60"/>
        <w:ind w:left="510" w:hanging="397"/>
      </w:pPr>
      <w:r>
        <w:rPr>
          <w:b w:val="0"/>
        </w:rPr>
        <w:t xml:space="preserve">7. </w:t>
      </w:r>
      <w:r>
        <w:rPr>
          <w:b/>
        </w:rPr>
        <w:t>Sudáfrica, 1990-1994.</w:t>
      </w:r>
      <w:r>
        <w:t xml:space="preserve"> El 2 de febrero de 1990, al abrir el Parlamento, el presidente De Klerk anunció que se levantaba la prohibición del Congreso Nacional Africano y que el Gobierno había tomado «la firme decisión de liberar al señor Mandela sin condiciones»</w:t>
      </w:r>
      <w:r>
        <w:t xml:space="preserve"> [original: «the Government has taken a firm decision to release Mr Mandela unconditionally»]</w:t>
      </w:r>
      <w:r>
        <w:t xml:space="preserve"> (discurso de F. W. de Klerk, 2-2-1990 (archivo O'Malley))</w:t>
      </w:r>
      <w:r>
        <w:t>. Mandela salió de la cárcel el 11 de febrero, tras veintisiete años y medio</w:t>
      </w:r>
      <w:r>
        <w:t xml:space="preserve"> (Encyclopaedia Britannica, «Nelson Mandela»; fuente secundaria)</w:t>
      </w:r>
      <w:r>
        <w:t>. En las primeras elecciones no raciales, el 27 de abril de 1994, el Congreso Nacional Africano obtuvo el 62,6 % de los votos, y el 9 de mayo la Asamblea Nacional eligió presidente a Mandela, por unanimidad</w:t>
      </w:r>
      <w:r>
        <w:t xml:space="preserve"> (Biblioteca del Congreso de EE. UU., estudio de país (copia en countrystudies.us); South African History Online; fuentes secundarias)</w:t>
      </w:r>
      <w:r>
        <w:t>.</w:t>
      </w:r>
    </w:p>
    <w:p>
      <w:pPr>
        <w:spacing w:after="60"/>
        <w:ind w:left="510" w:hanging="397"/>
      </w:pPr>
      <w:r>
        <w:rPr>
          <w:b w:val="0"/>
        </w:rPr>
        <w:t xml:space="preserve">8. </w:t>
      </w:r>
      <w:r>
        <w:rPr>
          <w:b/>
        </w:rPr>
        <w:t>Indonesia, 1998.</w:t>
      </w:r>
      <w:r>
        <w:t xml:space="preserve"> En 1997, una crisis monetaria que barría el sudeste asiático alcanzó a Indonesia</w:t>
      </w:r>
      <w:r>
        <w:t xml:space="preserve"> (Encyclopaedia Britannica, «Suharto»; fuente secundaria)</w:t>
      </w:r>
      <w:r>
        <w:t>. Suharto llevaba treinta y dos años en el poder, contando desde que tomó el control efectivo del Gobierno en 1966</w:t>
      </w:r>
      <w:r>
        <w:t xml:space="preserve"> (ídem; Forrester y May (eds.), The Fall of Soeharto (La caída de Suharto), Universidad Nacional Australiana, 1998)</w:t>
      </w:r>
      <w:r>
        <w:t>. Los estudiantes ocuparon el Parlamento desde el 18 de mayo de 1998, y el 21 Suharto dimitió</w:t>
      </w:r>
      <w:r>
        <w:t xml:space="preserve"> (ídem)</w:t>
      </w:r>
      <w:r>
        <w:t xml:space="preserve">. Siguió la época llamada </w:t>
      </w:r>
      <w:r>
        <w:rPr>
          <w:i/>
        </w:rPr>
        <w:t>reformasi</w:t>
      </w:r>
      <w:r>
        <w:t>, la reforma</w:t>
      </w:r>
      <w:r>
        <w:t xml:space="preserve"> (Britannica)</w:t>
      </w:r>
      <w:r>
        <w:t>, y el 7 de junio de 1999, según los observadores internacionales, Indonesia celebró «sus primeras elecciones competitivas desde 1955»</w:t>
      </w:r>
      <w:r>
        <w:t xml:space="preserve"> [original: «its first competitive elections since 1955»]</w:t>
      </w:r>
      <w:r>
        <w:t xml:space="preserve"> (declaración de la misión de observación del NDI y el Centro Carter, 9-6-1999)</w:t>
      </w:r>
      <w:r>
        <w:t>.</w:t>
      </w:r>
    </w:p>
    <w:p>
      <w:pPr>
        <w:spacing w:after="60"/>
        <w:ind w:left="510" w:hanging="397"/>
      </w:pPr>
      <w:r>
        <w:rPr>
          <w:b w:val="0"/>
        </w:rPr>
        <w:t xml:space="preserve">9. </w:t>
      </w:r>
      <w:r>
        <w:rPr>
          <w:b/>
        </w:rPr>
        <w:t>Georgia, 2003.</w:t>
      </w:r>
      <w:r>
        <w:t xml:space="preserve"> Según los observadores internacionales, las elecciones parlamentarias del 2 de noviembre terminaron en «un fraude electoral extendido y sistemático»</w:t>
      </w:r>
      <w:r>
        <w:t xml:space="preserve"> [original: «widespread and systematic election fraud»]</w:t>
      </w:r>
      <w:r>
        <w:t xml:space="preserve"> (OSCE/ODIHR, informe final, 28-1-2004, p. 1)</w:t>
      </w:r>
      <w:r>
        <w:t>. Siguieron las protestas, con una rosa en la mano en lugar de un arma; de ahí el nombre de Revolución de las Rosas</w:t>
      </w:r>
      <w:r>
        <w:t xml:space="preserve"> (Columbia Magazine, «Rose revolutionary»; fuente secundaria)</w:t>
      </w:r>
      <w:r>
        <w:t>. El 22 de noviembre, los manifestantes impidieron que se constituyera el nuevo Parlamento, y el 23 dimitió el presidente Shevardnadze</w:t>
      </w:r>
      <w:r>
        <w:t xml:space="preserve"> (OSCE/ODIHR, informe final, p. 21)</w:t>
      </w:r>
      <w:r>
        <w:t>.</w:t>
      </w:r>
    </w:p>
    <w:p>
      <w:pPr>
        <w:spacing w:after="60"/>
        <w:ind w:left="510" w:hanging="397"/>
      </w:pPr>
      <w:r>
        <w:rPr>
          <w:b w:val="0"/>
        </w:rPr>
        <w:t xml:space="preserve">10. </w:t>
      </w:r>
      <w:r>
        <w:rPr>
          <w:b/>
        </w:rPr>
        <w:t>Islandia, 2008-2009.</w:t>
      </w:r>
      <w:r>
        <w:t xml:space="preserve"> En octubre de 2008, en una semana, quebraron los tres mayores bancos del país, un colapso «sin precedentes en el mundo por su escala (en proporción a la economía nacional)», según el Fondo Monetario Internacional</w:t>
      </w:r>
      <w:r>
        <w:t xml:space="preserve"> [original: «a banking sector collapse that is globally unprecedented in scale (relative to the domestic economy)»]</w:t>
      </w:r>
      <w:r>
        <w:t xml:space="preserve"> (FMI, informe de país n.º 08/362, párrs. 4 y 31)</w:t>
      </w:r>
      <w:r>
        <w:t>. Hubo protestas ante el Parlamento, golpeando cacerolas</w:t>
      </w:r>
      <w:r>
        <w:t xml:space="preserve"> (Encyclopaedia Britannica, «Iceland»; fuente secundaria)</w:t>
      </w:r>
      <w:r>
        <w:t>. El 26 de enero de 2009 dimitió el Gobierno</w:t>
      </w:r>
      <w:r>
        <w:t xml:space="preserve"> (Gobierno de Islandia, nota de 26-1-2009)</w:t>
      </w:r>
      <w:r>
        <w:t>, y el 25 de abril hubo elecciones</w:t>
      </w:r>
      <w:r>
        <w:t xml:space="preserve"> (Instituto de Estadística de Islandia)</w:t>
      </w:r>
      <w:r>
        <w:t>. El cambio se hizo por las vías ordinarias. En 2010, la comisión investigadora del Parlamento concluyó que el primer ministro, el ministro de Hacienda y el de Comercio de entonces, y los responsables del supervisor financiero y del banco central, habían incurrido en negligencia</w:t>
      </w:r>
      <w:r>
        <w:t xml:space="preserve"> (Comisión Investigadora Especial, informe de 12-4-2010, cap. 2, p. 18)</w:t>
      </w:r>
      <w:r>
        <w:t>.</w:t>
      </w:r>
    </w:p>
    <w:p>
      <w:r>
        <w:t>[19.00-13.1 a 22.2, corregido: la invitación no fue del Parlamento (no estaba reunido), sino de siete notables; la ley de 1947 es la Indian Independence Act; en Polonia, las elecciones «parcialmente democráticas» y un jefe de Gobierno no comunista en un Gobierno de coalición; en Praga, el 29 de noviembre, no el 28; en Sudáfrica las ganó el CNA; en Indonesia, las primeras competitivas desde 1955; en Georgia, irrupción el 22 y dimisión el 23; en Islandia, el superlativo es del FMI. Fuentes leídas en el original; las secundarias, marcadas]</w:t>
      </w:r>
    </w:p>
    <w:p>
      <w:r>
        <w:rPr>
          <w:b/>
        </w:rPr>
        <w:t>Precisiones de fecha y de fuente.</w:t>
      </w:r>
    </w:p>
    <w:p>
      <w:pPr>
        <w:pStyle w:val="ListBullet"/>
      </w:pPr>
      <w:r>
        <w:rPr>
          <w:b/>
        </w:rPr>
        <w:t>Inglaterra.</w:t>
      </w:r>
      <w:r>
        <w:t xml:space="preserve"> Lo que se reunió después, el 22 de enero de 1689, fue una Convención de lores y diputados, que «no se llamó Parlamento porque no la convocó el rey»</w:t>
      </w:r>
      <w:r>
        <w:t xml:space="preserve"> [original: «not called a Parliament, as it was not summoned by the King»]</w:t>
      </w:r>
      <w:r>
        <w:t xml:space="preserve"> (Parlamento del Reino Unido; fuente secundaria)</w:t>
      </w:r>
      <w:r>
        <w:t>. Las fuentes no coinciden en quiénes firmaron la invitación: «un obispo y seis políticos destacados»</w:t>
      </w:r>
      <w:r>
        <w:t xml:space="preserve"> [original: «one bishop and six prominent politicians»]</w:t>
      </w:r>
      <w:r>
        <w:t xml:space="preserve"> (Encyclopaedia Britannica, «Glorious Revolution»; fuente secundaria)</w:t>
      </w:r>
      <w:r>
        <w:t>, según Britannica; «siete pares»</w:t>
      </w:r>
      <w:r>
        <w:t xml:space="preserve"> [original: «seven peers»]</w:t>
      </w:r>
      <w:r>
        <w:t xml:space="preserve"> (Parlamento del Reino Unido; fuente secundaria)</w:t>
      </w:r>
      <w:r>
        <w:t>, según la web del Parlamento. Y la revolución, poco sangrienta en Inglaterra, «fue muy sangrienta en Irlanda y Escocia»</w:t>
      </w:r>
      <w:r>
        <w:t xml:space="preserve"> [original: «became very bloody in Ireland and Scotland»]</w:t>
      </w:r>
      <w:r>
        <w:t xml:space="preserve"> (ídem)</w:t>
      </w:r>
      <w:r>
        <w:t>. La ley se titula «1688» porque entonces el año empezaba el 25 de marzo: en el calendario de hoy, 1689.</w:t>
      </w:r>
    </w:p>
    <w:p>
      <w:pPr>
        <w:pStyle w:val="ListBullet"/>
      </w:pPr>
      <w:r>
        <w:rPr>
          <w:b/>
        </w:rPr>
        <w:t>La India.</w:t>
      </w:r>
      <w:r>
        <w:t xml:space="preserve"> La Oficina de Prensa del Gobierno indio da 241 millas, unos 388 kilómetros</w:t>
      </w:r>
      <w:r>
        <w:t xml:space="preserve"> (Oficina de Prensa del Gobierno de la India, 2021; fuente secundaria)</w:t>
      </w:r>
      <w:r>
        <w:t>. La cifra de presos tiene una sola fuente secundaria.</w:t>
      </w:r>
    </w:p>
    <w:p>
      <w:pPr>
        <w:pStyle w:val="ListBullet"/>
      </w:pPr>
      <w:r>
        <w:rPr>
          <w:b/>
        </w:rPr>
        <w:t>Polonia.</w:t>
      </w:r>
      <w:r>
        <w:t xml:space="preserve"> La Unión Soviética ya había elegido en marzo de 1989, con varios candidatos, a parte de su Congreso de Diputados del Pueblo; lo que dicen las fuentes de Solidaridad es que fue «el primer movimiento de oposición que participó en elecciones libres en un país del bloque soviético desde los años cuarenta»</w:t>
      </w:r>
      <w:r>
        <w:t xml:space="preserve"> [original: «the first opposition movement to participate in free elections in a Soviet-bloc nation since the 1940s»]</w:t>
      </w:r>
      <w:r>
        <w:t xml:space="preserve"> (Encyclopaedia Britannica, «Solidarity»)</w:t>
      </w:r>
      <w:r>
        <w:t>. El Gobierno de Mazowiecki, nombrado el 12 de septiembre, era de coalición con el Partido Obrero Unificado, que tenía ministros</w:t>
      </w:r>
      <w:r>
        <w:t xml:space="preserve"> (ídem; Sejm, resolución de 12-9-2014)</w:t>
      </w:r>
      <w:r>
        <w:t>.</w:t>
      </w:r>
    </w:p>
    <w:p>
      <w:pPr>
        <w:pStyle w:val="ListBullet"/>
      </w:pPr>
      <w:r>
        <w:rPr>
          <w:b/>
        </w:rPr>
        <w:t>La RDA.</w:t>
      </w:r>
      <w:r>
        <w:t xml:space="preserve"> La hora de apertura del paso varía según la fuente: las 23.14 (bpb) o las 23.30 (Crónica del Muro). La disolución de la Unión Soviética se fecha el 25 de diciembre, cuando dimitió su presidente y se arrió la bandera, o el 31, según la fuente.</w:t>
      </w:r>
    </w:p>
    <w:p>
      <w:pPr>
        <w:pStyle w:val="ListBullet"/>
      </w:pPr>
      <w:r>
        <w:rPr>
          <w:b/>
        </w:rPr>
        <w:t>Checoslovaquia.</w:t>
      </w:r>
      <w:r>
        <w:t xml:space="preserve"> El Partido Comunista siguió en el Gobierno hasta el Gobierno de transición y la dimisión del presidente Husák, el 10 de diciembre</w:t>
      </w:r>
      <w:r>
        <w:t xml:space="preserve"> (Britannica; fuente secundaria)</w:t>
      </w:r>
      <w:r>
        <w:t>.</w:t>
      </w:r>
    </w:p>
    <w:p>
      <w:pPr>
        <w:pStyle w:val="ListBullet"/>
      </w:pPr>
      <w:r>
        <w:rPr>
          <w:b/>
        </w:rPr>
        <w:t>Filipinas.</w:t>
      </w:r>
      <w:r>
        <w:t xml:space="preserve"> Ese mismo 25 de febrero, Marcos también juró ante los suyos</w:t>
      </w:r>
      <w:r>
        <w:t xml:space="preserve"> (Britannica, «Corazon Aquino»)</w:t>
      </w:r>
      <w:r>
        <w:t>. Que esa noche volara a una base dentro del país y saliera hacia Guam al día siguiente solo consta en prensa, y no entra.</w:t>
      </w:r>
    </w:p>
    <w:p>
      <w:pPr>
        <w:pStyle w:val="ListBullet"/>
      </w:pPr>
      <w:r>
        <w:rPr>
          <w:b/>
        </w:rPr>
        <w:t>Sudáfrica.</w:t>
      </w:r>
      <w:r>
        <w:t xml:space="preserve"> El 27 de abril fue el día general: los ancianos y las personas con discapacidad votaron el 26, y la votación se alargó hasta el 29</w:t>
      </w:r>
      <w:r>
        <w:t xml:space="preserve"> (South African History Online; Biblioteca del Congreso de EE. UU.; fuentes secundarias)</w:t>
      </w:r>
      <w:r>
        <w:t>.</w:t>
      </w:r>
    </w:p>
    <w:p>
      <w:pPr>
        <w:pStyle w:val="ListBullet"/>
      </w:pPr>
      <w:r>
        <w:rPr>
          <w:b/>
        </w:rPr>
        <w:t>Indonesia.</w:t>
      </w:r>
      <w:r>
        <w:t xml:space="preserve"> Fue presidente interino desde marzo de 1967 y elegido en marzo de 1968: contando desde 1967, serían treinta y un años</w:t>
      </w:r>
      <w:r>
        <w:t xml:space="preserve"> (Britannica)</w:t>
      </w:r>
      <w:r>
        <w:t>. La ocupación del Parlamento duró hasta la madrugada del 23 de mayo</w:t>
      </w:r>
      <w:r>
        <w:t xml:space="preserve"> (Forrester y May)</w:t>
      </w:r>
      <w:r>
        <w:t>. El texto de su discurso de dimisión solo se ha hallado en prensa.</w:t>
      </w:r>
    </w:p>
    <w:p>
      <w:pPr>
        <w:pStyle w:val="ListBullet"/>
      </w:pPr>
      <w:r>
        <w:rPr>
          <w:b/>
        </w:rPr>
        <w:t>Islandia.</w:t>
      </w:r>
      <w:r>
        <w:t xml:space="preserve"> La fecha exacta de las cacerolas no consta en las fuentes leídas.</w:t>
      </w:r>
    </w:p>
    <w:p>
      <w:r>
        <w:rPr>
          <w:b/>
        </w:rPr>
        <w:t>El patrón.</w:t>
      </w:r>
      <w:r>
        <w:t xml:space="preserve"> Diez casos, en tres continentes, de 1688 a 2009. Lo que comparten no es la violencia, sino la secuencia: la sustancia del poder, su respaldo real y su coherencia con lo que promete, se agota primero, y consta por escrito (un fraude electoral denunciado por observadores, una crisis económica, la represión de una protesta), y solo después el pueblo, sin que nadie se lo ordene ni lo autorice, deja de sostenerlo con su obediencia. En varios, quienes pedían el cambio lo hicieron sin armas: la sal, las rosas, las cacerolas. No todos los poderes respondieron sin represión: la ley marcial en Polonia, decenas de miles de presos en la India. Y en ninguno fue de un día para otro: entre la pérdida visible de sustancia y la caída pasaron semanas (Praga, Georgia), meses (Islandia) o años (Polonia, la India, Sudáfrica). </w:t>
      </w:r>
      <w:r>
        <w:t>[19.00-23.1, corregido: de 1688 a 2009 van más de tres siglos; ninguno de los diez es de la Primavera Árabe; las duraciones, con las fechas de los propios casos]</w:t>
      </w:r>
    </w:p>
    <w:p>
      <w:r>
        <w:rPr>
          <w:b/>
        </w:rPr>
        <w:t>Conclusión, lo que arrojan los datos:</w:t>
      </w:r>
      <w:r>
        <w:t xml:space="preserve"> en los diez casos se da la misma secuencia: primero se agota la sustancia del poder, y consta por escrito, y solo después el pueblo deja de sostenerlo. Es la otra cara de lo que se vio en 7.5: la forma puede seguir en pie mucho tiempo después de haberse vaciado, pero no para siempre. Y donde existían, los mejores mecanismos internos de corrección no bastaron contra una fuerza de fuera. </w:t>
      </w:r>
      <w:r>
        <w:t>[19.00-11.1 y 23.1]</w:t>
      </w:r>
    </w:p>
    <w:p>
      <w:r>
        <w:rPr>
          <w:b/>
        </w:rPr>
        <w:t>Lectura del autor:</w:t>
      </w:r>
      <w:r>
        <w:t xml:space="preserve"> el poder vive de la creencia de quienes lo sostienen (</w:t>
      </w:r>
      <w:r>
        <w:t>4.1</w:t>
      </w:r>
      <w:r>
        <w:t>). Cuando su sustancia se agota y se ve, la creencia se retira sola, sin que nadie lo mande. En España, el autor ve la primera parte de la secuencia, la forma que se ha quedado sin sustancia (</w:t>
      </w:r>
      <w:r>
        <w:t>9.1</w:t>
      </w:r>
      <w:r>
        <w:t xml:space="preserve">). Lo que quiere es que la segunda no sea una retirada a ciegas, sino la constancia escrita de lo que falta, el juicio de la verdad y la reforma por la puerta que la propia Constitución dejó abierta (capítulos 10 y 11). </w:t>
      </w:r>
      <w:r>
        <w:t>[00.0-5.16; 19.00-23.1; redacción nueva, aprobada por Kiko el 6-oct]</w:t>
      </w:r>
    </w:p>
    <w:p>
      <w:r>
        <w:rPr>
          <w:b/>
        </w:rPr>
        <w:t>Lo que la obra hace con esto.</w:t>
      </w:r>
      <w:r>
        <w:t xml:space="preserve"> Lo mismo que con el derecho de resistencia (</w:t>
      </w:r>
      <w:r>
        <w:t>6.5</w:t>
      </w:r>
      <w:r>
        <w:t>): no lo propone, y no exime de ninguna obligación vigente (</w:t>
      </w:r>
      <w:r>
        <w:t>0.2</w:t>
      </w:r>
      <w:r>
        <w:t>). Lo ofrece como lo que es, información histórica verificable, con su fuente, para que cada cual la compruebe y saque sus propias conclusiones. Su vía está antes de cualquier último recurso: la constancia escrita, la petición documentada y el juicio de opinión (capítulos 10 y 11). Lo que retira no es la obediencia, sino la creencia sin comprobar (</w:t>
      </w:r>
      <w:r>
        <w:t>4.1</w:t>
      </w:r>
      <w:r>
        <w:t xml:space="preserve">). </w:t>
      </w:r>
      <w:r>
        <w:t>[19.00-23.1]</w:t>
      </w:r>
    </w:p>
    <w:p>
      <w:pPr>
        <w:pStyle w:val="Heading2"/>
      </w:pPr>
      <w:r>
        <w:t>Límite honesto de la prueba</w:t>
      </w:r>
    </w:p>
    <w:p>
      <w:pPr>
        <w:pStyle w:val="ListBullet"/>
      </w:pPr>
      <w:r>
        <w:rPr>
          <w:b/>
        </w:rPr>
        <w:t>Un Estado no es una sociedad mercantil.</w:t>
      </w:r>
      <w:r>
        <w:t xml:space="preserve"> La obra lo concede: tiene poder tributario y no desaparece como una empresa. La vara mercantil es una analogía elegida a propósito: medir el sistema con la regla que él aplica a los demás. Lo que prueban los datos es la causa de disolución con esa regla, no una quiebra en sentido legal: el Estado sigue pagando y obteniendo préstamos. </w:t>
      </w:r>
      <w:r>
        <w:t>[00.0-6.3 y 6.4]</w:t>
      </w:r>
    </w:p>
    <w:p>
      <w:pPr>
        <w:pStyle w:val="ListBullet"/>
      </w:pPr>
      <w:r>
        <w:rPr>
          <w:b/>
        </w:rPr>
        <w:t>El dictamen no tiene valor oficial.</w:t>
      </w:r>
      <w:r>
        <w:t xml:space="preserve"> La obra no es un auditor inscrito ni un órgano de control; usa el formato de la ley para que su conclusión se lea con categorías conocidas. </w:t>
      </w:r>
      <w:r>
        <w:t>[00.0-6.9 y 6.10]</w:t>
      </w:r>
    </w:p>
    <w:p>
      <w:pPr>
        <w:pStyle w:val="ListBullet"/>
      </w:pPr>
      <w:r>
        <w:rPr>
          <w:b/>
        </w:rPr>
        <w:t>La deuda de pensiones no vence hoy.</w:t>
      </w:r>
      <w:r>
        <w:t xml:space="preserve"> Es el valor actual de pagos futuros, como advierte el INE; y compararla con la deuda oficial es un cálculo de la obra.</w:t>
      </w:r>
    </w:p>
    <w:p>
      <w:pPr>
        <w:pStyle w:val="ListBullet"/>
      </w:pPr>
      <w:r>
        <w:rPr>
          <w:b/>
        </w:rPr>
        <w:t>El Estado cumple la mayor parte de su Constitución:</w:t>
      </w:r>
      <w:r>
        <w:t xml:space="preserve"> 93 de sus 169 artículos, sin incidencia relevante (</w:t>
      </w:r>
      <w:r>
        <w:t>7.1</w:t>
      </w:r>
      <w:r>
        <w:t xml:space="preserve">). El hallazgo no es la cifra total, sino dónde recae el incumplimiento. </w:t>
      </w:r>
      <w:r>
        <w:t>[14.00-8.10]</w:t>
      </w:r>
    </w:p>
    <w:p>
      <w:pPr>
        <w:pStyle w:val="ListBullet"/>
      </w:pPr>
      <w:r>
        <w:rPr>
          <w:b/>
        </w:rPr>
        <w:t>Hay frutos que se reconocen:</w:t>
      </w:r>
      <w:r>
        <w:t xml:space="preserve"> sanidad universal, una pensión que la OCDE calcula en el 80,4 % del salario, una esperanza de vida de 84 años (</w:t>
      </w:r>
      <w:r>
        <w:t>8.4</w:t>
      </w:r>
      <w:r>
        <w:t xml:space="preserve">). El dictamen no los niega: los mide con la misma vara. Y parte del aumento del gasto se explica porque se vive más. </w:t>
      </w:r>
      <w:r>
        <w:t>[18.00-7.12; 34.00-13.12]</w:t>
      </w:r>
    </w:p>
    <w:p>
      <w:pPr>
        <w:pStyle w:val="ListBullet"/>
      </w:pPr>
      <w:r>
        <w:rPr>
          <w:b/>
        </w:rPr>
        <w:t>«El sistema creó los problemas» es lectura del autor,</w:t>
      </w:r>
      <w:r>
        <w:t xml:space="preserve"> no conclusión de los datos (</w:t>
      </w:r>
      <w:r>
        <w:t>8.9</w:t>
      </w:r>
      <w:r>
        <w:t xml:space="preserve">). </w:t>
      </w:r>
      <w:r>
        <w:t>[29.00-8.8]</w:t>
      </w:r>
    </w:p>
    <w:p>
      <w:pPr>
        <w:pStyle w:val="ListBullet"/>
      </w:pPr>
      <w:r>
        <w:rPr>
          <w:b/>
        </w:rPr>
        <w:t>La compensación es una propuesta del autor, y la ley vigente le pone límites.</w:t>
      </w:r>
      <w:r>
        <w:t xml:space="preserve"> Nadie puede ser condenado por lo que no era delito cuando lo hizo</w:t>
      </w:r>
      <w:r>
        <w:t xml:space="preserve"> (Constitución, art. 25.1)</w:t>
      </w:r>
      <w:r>
        <w:t>, y la Constitución garantiza «la irretroactividad de las disposiciones sancionadoras no favorables o restrictivas de derechos individuales»</w:t>
      </w:r>
      <w:r>
        <w:t xml:space="preserve"> (art. 9.3)</w:t>
      </w:r>
      <w:r>
        <w:t>. El decomiso ampliado del Código Penal exige una condena: se ordena sobre los bienes de «una persona condenada por alguno de los siguientes delitos»</w:t>
      </w:r>
      <w:r>
        <w:t xml:space="preserve"> (Código Penal, art. 127 bis.1)</w:t>
      </w:r>
      <w:r>
        <w:t xml:space="preserve">. El tribunal de Núremberg habló de la guerra de agresión contra tratados, no de la gestión de un Estado. Lo que el autor propone para lo que fue legal cuando se hizo exigiría cambiar la ley, por las vías del </w:t>
      </w:r>
      <w:r>
        <w:t>capítulo 10</w:t>
      </w:r>
      <w:r>
        <w:t>; mientras tanto, no autoriza a nadie a tomarse la justicia por su mano. Y el límite de la herencia vale para quien la acepta a beneficio de inventario: quien la acepta sin él responde de sus cargas «no sólo con los bienes de ésta, sino también con los suyos propios»</w:t>
      </w:r>
      <w:r>
        <w:t xml:space="preserve"> (Código Civil, art. 1003)</w:t>
      </w:r>
      <w:r>
        <w:t xml:space="preserve">. </w:t>
      </w:r>
      <w:r>
        <w:t>[00.00-11.4; Código Penal, Constitución y Código Civil leídos en el BOE]</w:t>
      </w:r>
    </w:p>
    <w:p>
      <w:pPr>
        <w:pStyle w:val="ListBullet"/>
      </w:pPr>
      <w:r>
        <w:rPr>
          <w:b/>
        </w:rPr>
        <w:t>Los diez casos son constancia histórica, no una ley de la historia.</w:t>
      </w:r>
      <w:r>
        <w:t xml:space="preserve"> Los eligió el autor. La obra no ha estudiado los casos en que el pueblo dejó de obedecer y el poder no cayó, ni qué vino después en cada país: que se retire el sostén a un poder no garantiza lo que llega luego. Varios hechos tienen una sola fuente secundaria (los presos de la India, las manifestaciones de Leipzig, las cacerolas de Islandia). Y la comparación con España la hace el autor, no los datos. </w:t>
      </w:r>
      <w:r>
        <w:t>[19.00-23.1; 19.00-35.4]</w:t>
      </w:r>
    </w:p>
    <w:p>
      <w:pPr>
        <w:pStyle w:val="ListBullet"/>
      </w:pPr>
      <w:r>
        <w:rPr>
          <w:b/>
        </w:rPr>
        <w:t>El caso que se descartó:</w:t>
      </w:r>
      <w:r>
        <w:t xml:space="preserve"> los aztecas elegían a su gobernante dentro de un linaje y por sus méritos, pero no se halló ningún modo de destituirlo: «El poder del Tlatoani era absoluto desde el punto de vista jurídico»</w:t>
      </w:r>
      <w:r>
        <w:t xml:space="preserve"> (López Austin, La constitución real de México-Tenochtitlan, UNAM, conclusión 12)</w:t>
      </w:r>
      <w:r>
        <w:t>. A Tízoc no lo destituyeron: lo mataron, según las crónicas</w:t>
      </w:r>
      <w:r>
        <w:t xml:space="preserve"> (Torquemada, Monarquía indiana, 1615, lib. II, cap. LXII)</w:t>
      </w:r>
      <w:r>
        <w:t xml:space="preserve">. La fuente maya del Registro no se ha leído en el original, y no entra. </w:t>
      </w:r>
      <w:r>
        <w:t>[19.00-0.1 y 11.1; leídos en la UNAM]</w:t>
      </w:r>
    </w:p>
    <w:p>
      <w:pPr>
        <w:pStyle w:val="ListBullet"/>
      </w:pPr>
      <w:r>
        <w:rPr>
          <w:b/>
        </w:rPr>
        <w:t>Cálculos de la obra:</w:t>
      </w:r>
      <w:r>
        <w:t xml:space="preserve"> las 18 jornadas, las «más de cuatro veces», los 37 años para la pensión entera, el 23 % y el 37 % más por habitante, y los 34.405 euros de deuda por habitante.</w:t>
      </w:r>
    </w:p>
    <w:p>
      <w:pPr>
        <w:pStyle w:val="ListBullet"/>
      </w:pPr>
      <w:r>
        <w:rPr>
          <w:b/>
        </w:rPr>
        <w:t>Fuentes privadas, marcadas:</w:t>
      </w:r>
      <w:r>
        <w:t xml:space="preserve"> el Instituto de Estudios Económicos, cuyo 3 % al 5 % recoge de otros autores y cuyo 1,5 % al 2,5 % es una estimación propia, y la asociación de autónomos de </w:t>
      </w:r>
      <w:r>
        <w:t>8.4</w:t>
      </w:r>
      <w:r>
        <w:t>.</w:t>
      </w:r>
    </w:p>
    <w:p>
      <w:pPr>
        <w:pStyle w:val="Heading2"/>
      </w:pPr>
      <w:r>
        <w:t>Dónde se oye la defensa del Estado</w:t>
      </w:r>
    </w:p>
    <w:p>
      <w:r>
        <w:t>La defensa del Estado frente al dictamen, y lo que la obra le responde, se oyen en el juicio, en 11.4:</w:t>
      </w:r>
    </w:p>
    <w:p>
      <w:pPr>
        <w:pStyle w:val="ListBullet"/>
      </w:pPr>
      <w:r>
        <w:t>«Un Estado no es una empresa», «La deuda de pensiones no vence hoy», «Un dinero sin respaldo material es la norma mundial», «"Opinión desfavorable" no es una auditoría oficial» y «Anunciar el cierre de una forma de gobierno invita a desobedecer»;</w:t>
      </w:r>
    </w:p>
    <w:p>
      <w:pPr>
        <w:pStyle w:val="ListBullet"/>
      </w:pPr>
      <w:r>
        <w:t>que España tiene un perfil mixto, con mecanismos reales de acceso abierto; que el Estado cumple la mayor parte de su Constitución; que las amenazas corregidas prueban que el sistema se frena a sí mismo; y la lectura de conjunto, con sus logros;</w:t>
      </w:r>
    </w:p>
    <w:p>
      <w:pPr>
        <w:pStyle w:val="ListBullet"/>
      </w:pPr>
      <w:r>
        <w:t>que «una forma sin sustancia es corrupción» es una categoría moral, no jurídica; y que comparar a España con los diez casos es ilegítimo, porque eran colonias o dictaduras;</w:t>
      </w:r>
    </w:p>
    <w:p>
      <w:pPr>
        <w:pStyle w:val="ListBullet"/>
      </w:pPr>
      <w:r>
        <w:t>que la confianza alta entre la gente prueba que el marco funciona; que decir que «el sistema creó los problemas» es un salto; y la conclusión de conjunto.</w:t>
      </w:r>
    </w:p>
    <w:p>
      <w:r>
        <w:t xml:space="preserve">La objeción de que recuperar lo obtenido ilícitamente exige condena se oye con su propuesta, en el </w:t>
      </w:r>
      <w:r>
        <w:t>capítulo 10</w:t>
      </w:r>
      <w:r>
        <w:t>.</w:t>
      </w:r>
    </w:p>
    <w:p>
      <w:r>
        <w:t>[clasificación de las defensas, aprobada, 11.4 y capítulo 10; 00.0-6.1 a 6.14; 00.00-11.4; 13.00-13.16; 14.00-8.10; 18.00-7.10 y 7.12; 19.00-35.1 a 35.5; 29.00-8.4 y 8.8; 34.00-13.12]</w:t>
      </w:r>
    </w:p>
    <w:p>
      <w:pPr>
        <w:pStyle w:val="Heading2"/>
      </w:pPr>
      <w:r>
        <w:t>Para recordar</w:t>
      </w:r>
    </w:p>
    <w:p>
      <w:pPr>
        <w:pStyle w:val="ListBullet"/>
      </w:pPr>
      <w:r>
        <w:t>La misma vara: con la regla que aplica a cualquier empresa, el sistema estaría en causa de disolución, y su propia ley lo excluye del concurso.</w:t>
      </w:r>
    </w:p>
    <w:p>
      <w:pPr>
        <w:pStyle w:val="ListBullet"/>
      </w:pPr>
      <w:r>
        <w:t>La quiebra camuflada es la lectura del autor: el camuflaje no es el secreto, sino la complejidad.</w:t>
      </w:r>
    </w:p>
    <w:p>
      <w:pPr>
        <w:pStyle w:val="ListBullet"/>
      </w:pPr>
      <w:r>
        <w:t>El ciudadano es acreedor y pagador: 6,13 billones de euros en pensiones prometidas, más de cuatro veces la deuda oficial de aquel año, que no figuran en ella.</w:t>
      </w:r>
    </w:p>
    <w:p>
      <w:pPr>
        <w:pStyle w:val="ListBullet"/>
      </w:pPr>
      <w:r>
        <w:rPr>
          <w:i/>
        </w:rPr>
        <w:t>Auctoritas</w:t>
      </w:r>
      <w:r>
        <w:t xml:space="preserve"> es hacer crecer. Hoy se piden más años, más normas y más trámites por lo mismo, y el hueco se cubre con deuda.</w:t>
      </w:r>
    </w:p>
    <w:p>
      <w:pPr>
        <w:pStyle w:val="ListBullet"/>
      </w:pPr>
      <w:r>
        <w:t>El propio Hobbes escribió que su Leviatán es mortal y que debe obedecer leyes que no son suyas.</w:t>
      </w:r>
    </w:p>
    <w:p>
      <w:pPr>
        <w:pStyle w:val="ListBullet"/>
      </w:pPr>
      <w:r>
        <w:t>El dictamen: opinión desfavorable, sin valor oficial. Anuncia el cierre de una forma de gobierno, no de la ley, por la puerta que la Constitución dejó abierta (art. 168).</w:t>
      </w:r>
    </w:p>
    <w:p>
      <w:pPr>
        <w:pStyle w:val="ListBullet"/>
      </w:pPr>
      <w:r>
        <w:t>La compensación: sin más deuda contra el ciudadano; caso a caso, con derecho de defensa, y nunca por apellido.</w:t>
      </w:r>
    </w:p>
    <w:p>
      <w:pPr>
        <w:pStyle w:val="ListBullet"/>
      </w:pPr>
      <w:r>
        <w:t>Cuando la forma se queda sin sustancia, el pueblo acaba por dejar de sostenerla. La obra lo deja por escrito; su vía es la constancia escrita.</w:t>
      </w:r>
    </w:p>
    <w:p>
      <w:pPr>
        <w:pStyle w:val="ListBullet"/>
      </w:pPr>
      <w:r>
        <w:rPr>
          <w:b/>
        </w:rPr>
        <w:t>Lo que aquí se expone que hay que podar (lectura del autor):</w:t>
      </w:r>
      <w:r>
        <w:t xml:space="preserve"> la quiebra camuflada: la regla que el sistema aplica a cualquier empresa y no se aplica a sí mismo, la complejidad que la tapa y el hueco que se cubre con deuda contra el ciudadano.</w:t>
      </w:r>
    </w:p>
    <w:p>
      <w:pPr>
        <w:pStyle w:val="ListBullet"/>
      </w:pPr>
      <w:r>
        <w:rPr>
          <w:b/>
        </w:rPr>
        <w:t>Lo siguiente:</w:t>
      </w:r>
      <w:r>
        <w:t xml:space="preserve"> las puertas, todas dentro de la ley: compensar, pedir con constancia escrita y deslindar (</w:t>
      </w:r>
      <w:r>
        <w:t>capítulo 10</w:t>
      </w:r>
      <w:r>
        <w:t>).</w:t>
      </w:r>
    </w:p>
    <w:p>
      <w:pPr>
        <w:keepNext/>
        <w:pBdr>
          <w:top w:val="single" w:sz="6" w:space="8" w:color="1F1D1A"/>
        </w:pBdr>
        <w:spacing w:before="480"/>
        <w:jc w:val="center"/>
      </w:pPr>
      <w:r>
        <w:drawing>
          <wp:inline xmlns:a="http://schemas.openxmlformats.org/drawingml/2006/main" xmlns:pic="http://schemas.openxmlformats.org/drawingml/2006/picture">
            <wp:extent cx="792000" cy="7920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792000" cy="792000"/>
                    </a:xfrm>
                    <a:prstGeom prst="rect"/>
                  </pic:spPr>
                </pic:pic>
              </a:graphicData>
            </a:graphic>
          </wp:inline>
        </w:drawing>
      </w:r>
    </w:p>
    <w:p>
      <w:pPr>
        <w:spacing w:after="20"/>
        <w:jc w:val="center"/>
      </w:pPr>
      <w:r>
        <w:rPr>
          <w:rFonts w:ascii="Segoe UI" w:hAnsi="Segoe UI" w:eastAsia="Segoe UI" w:cs="Segoe UI"/>
          <w:b/>
          <w:color w:val="1F1D1A"/>
          <w:sz w:val="19"/>
        </w:rPr>
        <w:t>Apocalipsis del Sistema · Edición de lectura · Kiko Orozco Rocamora</w:t>
      </w:r>
    </w:p>
    <w:p>
      <w:pPr>
        <w:spacing w:after="20"/>
        <w:jc w:val="center"/>
      </w:pPr>
      <w:r>
        <w:rPr>
          <w:rFonts w:ascii="Segoe UI" w:hAnsi="Segoe UI" w:eastAsia="Segoe UI" w:cs="Segoe UI"/>
          <w:b w:val="0"/>
          <w:color w:val="6B665E"/>
          <w:sz w:val="17"/>
        </w:rPr>
        <w:t>La obra entera: completo · versión del 13 de octubre de 2026 · huella SHA-256 de los textos 2a4fcfc34e05630b…</w:t>
      </w:r>
    </w:p>
    <w:p>
      <w:pPr>
        <w:spacing w:after="20"/>
        <w:jc w:val="center"/>
      </w:pPr>
      <w:r>
        <w:rPr>
          <w:rFonts w:ascii="Segoe UI" w:hAnsi="Segoe UI" w:eastAsia="Segoe UI" w:cs="Segoe UI"/>
          <w:b w:val="0"/>
          <w:color w:val="6B665E"/>
          <w:sz w:val="17"/>
        </w:rPr>
        <w:t>La versión completa y comprobable, con cada cita en su fuente, está en la edición publicada.</w:t>
      </w:r>
    </w:p>
    <w:p>
      <w:pPr>
        <w:spacing w:after="40" w:before="40"/>
      </w:pPr>
      <w:r>
        <w:rPr>
          <w:rFonts w:ascii="Segoe UI" w:hAnsi="Segoe UI" w:eastAsia="Segoe UI" w:cs="Segoe UI"/>
          <w:color w:val="6B665E"/>
          <w:sz w:val="16"/>
        </w:rPr>
        <w:t>El juicio popular de la verdad es un tribunal de opinión: no tiene carácter oficial ni fuerza legal.</w:t>
      </w:r>
    </w:p>
    <w:p>
      <w:pPr>
        <w:spacing w:after="40" w:before="40"/>
      </w:pPr>
      <w:r>
        <w:rPr>
          <w:rFonts w:ascii="Segoe UI" w:hAnsi="Segoe UI" w:eastAsia="Segoe UI" w:cs="Segoe UI"/>
          <w:color w:val="6B665E"/>
          <w:sz w:val="16"/>
        </w:rPr>
        <w:t>Si lees esto en otro idioma, es una traducción automática, no revisada. La obra se escribió en España, en español; en caso de duda prevalece el español.</w:t>
      </w:r>
    </w:p>
    <w:p>
      <w:pPr>
        <w:spacing w:after="40" w:before="40"/>
      </w:pPr>
      <w:r>
        <w:rPr>
          <w:rFonts w:ascii="Segoe UI" w:hAnsi="Segoe UI" w:eastAsia="Segoe UI" w:cs="Segoe UI"/>
          <w:color w:val="6B665E"/>
          <w:sz w:val="16"/>
        </w:rPr>
        <w:t>Esta obra no da asesoramiento financiero ni jurídico y no exime de ninguna obligación vigente.</w:t>
      </w:r>
    </w:p>
    <w:sectPr w:rsidR="00FC693F" w:rsidRPr="0006063C" w:rsidSect="00034616">
      <w:footerReference w:type="default" r:id="rId9"/>
      <w:pgSz w:w="11906" w:h="16838"/>
      <w:pgMar w:top="1304" w:right="1361" w:bottom="130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184" w:val="right"/>
      </w:tabs>
    </w:pPr>
    <w:r>
      <w:rPr>
        <w:rFonts w:ascii="Segoe UI" w:hAnsi="Segoe UI" w:eastAsia="Segoe UI" w:cs="Segoe UI"/>
        <w:color w:val="6B665E"/>
        <w:sz w:val="17"/>
      </w:rPr>
      <w:t>Apocalipsis del Sistema · Edición de lectura · La obra entera: completo · 9 El dictamen</w:t>
      <w:tab/>
    </w:r>
    <w:r>
      <w:rPr>
        <w:rFonts w:ascii="Segoe UI" w:hAnsi="Segoe UI" w:eastAsia="Segoe UI" w:cs="Segoe UI"/>
        <w:color w:val="6B665E"/>
        <w:sz w:val="17"/>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12" w:lineRule="auto"/>
    </w:pPr>
    <w:rPr>
      <w:rFonts w:ascii="Georgia" w:hAnsi="Georgia" w:eastAsia="Georgia" w:cs="Georgia"/>
      <w:color w:val="1F1D1A"/>
      <w:sz w:val="22"/>
      <w:lang w:val="es-ES" w:eastAsia="es-E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60" w:line="276" w:lineRule="auto"/>
      <w:outlineLvl w:val="0"/>
    </w:pPr>
    <w:rPr>
      <w:rFonts w:asciiTheme="majorHAnsi" w:eastAsiaTheme="majorEastAsia" w:hAnsiTheme="majorHAnsi" w:cstheme="majorBidi" w:ascii="Georgia" w:hAnsi="Georgia" w:eastAsia="Georgia" w:cs="Georgia"/>
      <w:b/>
      <w:bCs/>
      <w:i w:val="0"/>
      <w:color w:val="1F1D1A"/>
      <w:sz w:val="42"/>
      <w:szCs w:val="28"/>
    </w:rPr>
  </w:style>
  <w:style w:type="paragraph" w:styleId="Heading2">
    <w:name w:val="heading 2"/>
    <w:basedOn w:val="Normal"/>
    <w:next w:val="Normal"/>
    <w:link w:val="Heading2Char"/>
    <w:uiPriority w:val="9"/>
    <w:unhideWhenUsed/>
    <w:qFormat/>
    <w:rsid w:val="00FC693F"/>
    <w:pPr>
      <w:keepNext/>
      <w:keepLines/>
      <w:spacing w:before="320" w:after="80" w:line="276" w:lineRule="auto"/>
      <w:outlineLvl w:val="1"/>
    </w:pPr>
    <w:rPr>
      <w:rFonts w:asciiTheme="majorHAnsi" w:eastAsiaTheme="majorEastAsia" w:hAnsiTheme="majorHAnsi" w:cstheme="majorBidi" w:ascii="Georgia" w:hAnsi="Georgia" w:eastAsia="Georgia" w:cs="Georgia"/>
      <w:b/>
      <w:bCs/>
      <w:i w:val="0"/>
      <w:color w:val="1F1D1A"/>
      <w:sz w:val="30"/>
      <w:szCs w:val="26"/>
    </w:rPr>
  </w:style>
  <w:style w:type="paragraph" w:styleId="Heading3">
    <w:name w:val="heading 3"/>
    <w:basedOn w:val="Normal"/>
    <w:next w:val="Normal"/>
    <w:link w:val="Heading3Char"/>
    <w:uiPriority w:val="9"/>
    <w:unhideWhenUsed/>
    <w:qFormat/>
    <w:rsid w:val="00FC693F"/>
    <w:pPr>
      <w:keepNext/>
      <w:keepLines/>
      <w:spacing w:before="240" w:after="60" w:line="276" w:lineRule="auto"/>
      <w:outlineLvl w:val="2"/>
    </w:pPr>
    <w:rPr>
      <w:rFonts w:asciiTheme="majorHAnsi" w:eastAsiaTheme="majorEastAsia" w:hAnsiTheme="majorHAnsi" w:cstheme="majorBidi" w:ascii="Georgia" w:hAnsi="Georgia" w:eastAsia="Georgia" w:cs="Georgia"/>
      <w:b/>
      <w:bCs/>
      <w:i w:val="0"/>
      <w:color w:val="1F1D1A"/>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Georgia" w:hAnsi="Georgia" w:eastAsia="Georgia" w:cs="Georgia"/>
      <w:color w:val="1F1D1A"/>
      <w:sz w:val="22"/>
    </w:rPr>
  </w:style>
  <w:style w:type="paragraph" w:styleId="ListBullet2">
    <w:name w:val="List Bullet 2"/>
    <w:basedOn w:val="Normal"/>
    <w:uiPriority w:val="99"/>
    <w:unhideWhenUsed/>
    <w:rsid w:val="00326F90"/>
    <w:pPr>
      <w:numPr>
        <w:numId w:val="2"/>
      </w:numPr>
      <w:spacing w:after="60"/>
      <w:contextualSpacing/>
    </w:pPr>
    <w:rPr>
      <w:rFonts w:ascii="Georgia" w:hAnsi="Georgia" w:eastAsia="Georgia" w:cs="Georgia"/>
      <w:color w:val="1F1D1A"/>
      <w:sz w:val="22"/>
    </w:rPr>
  </w:style>
  <w:style w:type="paragraph" w:styleId="ListBullet3">
    <w:name w:val="List Bullet 3"/>
    <w:basedOn w:val="Normal"/>
    <w:uiPriority w:val="99"/>
    <w:unhideWhenUsed/>
    <w:rsid w:val="00326F90"/>
    <w:pPr>
      <w:numPr>
        <w:numId w:val="3"/>
      </w:numPr>
      <w:spacing w:after="60"/>
      <w:contextualSpacing/>
    </w:pPr>
    <w:rPr>
      <w:rFonts w:ascii="Georgia" w:hAnsi="Georgia" w:eastAsia="Georgia" w:cs="Georgia"/>
      <w:color w:val="1F1D1A"/>
      <w:sz w:val="22"/>
    </w:r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 El dictamen · La obra entera: completo</dc:title>
  <dc:subject/>
  <dc:creator>Kiko Orozco Rocamora</dc:creator>
  <cp:keywords/>
  <dc:description>generated by python-docx</dc:description>
  <cp:lastModifiedBy/>
  <cp:revision>1</cp:revision>
  <dcterms:created xsi:type="dcterms:W3CDTF">2026-10-12T22:21:46Z</dcterms:created>
  <dcterms:modified xsi:type="dcterms:W3CDTF">2026-10-12T22:21:46Z</dcterms:modified>
  <cp:category/>
  <dc:language>es-ES</dc:language>
</cp:coreProperties>
</file>