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3 (borrador B16). Ninguna otra palabra cambia. Cambio del 12-oct-2026 (Kiko, chat de 08.18, 06:3x, pasado por 08.18 tal cual, a «¿das el sí a los nueve cambios de 07.6?»: «si»; borrador B13, el barrido de los cuantificadores vagos en las frases con dato): en 2.3, «Lo dicen tradiciones que nunca se leyeron entre sí» pasa a «tradiciones sin contacto documentado entre sí», y la conclusión ya no dice «sin contacto entre sí» de una lista que junta a Israel y al islam; en 2.5, el mito de Er decía al revés lo que dice Platón: en la traducción de Jowett, de las almas que eligieron mal, «the greater number of them came from heaven» (la mayoría venían del cielo), no que la mayoría de las que venían del cielo eligieran mal. Ninguna otra palabra cambia. Cambio del 9-oct-2026 (Kiko: «Sí al M4 con las tres recomendaciones» en el chat de 08 y «Sí al M4, aplícalo» en el de 07; borrador M4 de la carpeta 07, apartado 4; 04p fila 12): al final de «Varón y hembra, en las tradiciones», en 2.3, un bloque nuevo para el escalón 6 («Lo extenso»): las 78 fichas de los pasajes que leyó la obra, agrupadas por tradición y con su clasificación (concuerda, contrapunto o neutro); los 57 que no estaban arriba, con su pasaje entero y su original; los 21 que ya se ven arriba, solo con su ficha. Generado por programa desde el índice del agente de fuentes (carpeta 07); no cambia ningún texto anterior, y cumple lo que decían las frases «78 pasajes, que se ven en el nivel más hondo» y «todos, con su clasificación, en el más hondo». Cambio del 9-oct-2026 (Kiko: «Sí, concuerdo» al texto de la mujer y el varón; borrador B2 versión 3 de la carpeta 07; 04p fila 12 y 03b A6): al final de 2.3, un bloque nuevo «Varón y hembra, en las tradiciones»: cinco pasajes visibles en «Lectura» y «Con fuentes» (la Biblia en sus dos relatos, el Upanishad y el Corán dos veces), el resto en el nivel completo, y los 78 pasajes de 19 tradiciones en el nivel más hondo; conclusión sin cuentas («coinciden», no «convergen»: las fechas son casi todas aproximadas y no está comprobada la independencia), «Lo que no se puede decir» y la «Lectura del autor». Cambio del 8-oct-2026 (fase de reparación, auditoría de las citas contra los originales): en 2.1, la cita de Gn 1:27 pasa de «creó Dios al hombre á su imagen» a «crió Dios al hombre á su imagen», como dice la Reina-Valera 1909 (eBible, spaRV1909). Cambio del 8-oct-2026 (parlamento sobre los mitos; Kiko: «sí a las tres, con tus recomendaciones» y el añadido del método de medir): 2.6 pasa de «Lo que esta obra no es: los mitos del movimiento soberano» a «El camino que sigue esta obra, y el que deja»: se quitan el nombre del grupo y la palabra «mito», se cuenta cómo empezó la obra y se añade el método de medir. También cambian el resumen, la lista de 2.0, el límite honesto, la defensa y «Para recordar». No cambia ningún dato ni ninguna cita. ESTADO: APROBADO por Kiko el 5-oct-2026 («sí a las tres»). Su material está marcado en el inventario (04 CAPITULOS/marcas/marcas del capitulo 2.txt).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Corregido también en la Biblioteca y en la app el 5-oct (Kiko: «sí»): las citas de la Reina-Valera de 00.00, «Por sus frutos» y el nombre del grupo en 08.00, y la coma del art. 4 de la Declaración en 03.00. El índice (2.1) y el mapa del capítulo 0 (0.6) ya no dicen «persona viva». Citas leídas hoy en su fuente original: Declaración Universal (texto oficial en español, un.org); Constitución, Código Civil, Ley 40/2015 y Código Penal (BOE, texto consolidado); Aquino, con la definición de Boecio (corpusthomisticum.org); Kant (edición de la Academia, korpora.org); Mill (Gutenberg); Platón, Apología y Fedro (Perseus); Analectas, Mencio, Laozi y Xunzi (Wikisource, en chino); Pirkei Avot (Sefaria); Biblia (Reina-Valera Antigua); Corán (Julio Cortés); Sahih Muslim (texto árabe, de una copia de datos de la colección: fuente secundaria). Lo del glosario 2.3, 9.2 y 9.2.1 ya se leyó en su fuente el 5-oct y no se ha vuelto a revisar. Fuente secundaria, marcada en el texto: la «persona ficta» atribuida a Inocencio IV; la crítica de Mboti a Ubuntu. Leídos el 5-oct (flecos): Ubuntu, en el informe de la Comisión de la Verdad (1998); Agustín y Pelagio (De natura et gratia); Solzhenitsyn (ruso, Obras, t. 5, 2010); Guadalupe (1486) y Cádiz (1811). Correcciones halladas al comprobar (la Biblioteca las cita de otra manera): Job 42:5-6, Mt 18:3-4, Rm 7:19 y 7:24, Mt 19:17 y Pr 6:31 (ahora con el texto literal de la Reina-Valera); 08.00 decía «Por sus actos los conoceréis», y el versículo dice «Por sus frutos» (Mt 7:16); el artículo 4 de la Declaración lleva coma, no punto y coma. Título de 2.1: «La persona y el ente sin cuerpo», sin «viva», porque el glosario 2.1 (aprobado) retira «persona viva»; el índice decía «La persona viva y el ente sin cuerpo». Cautela de datos personales: el dicho del marinero va sin el nombre del pueblo (el lugar de nacimiento del autor no entra en la edición). Si Kiko quiere el pueblo, se añade. Conceptos que ancla este capítulo: la persona y el ciudadano; el ente sin cuerpo; el derecho de nacimiento; los derechos inalienables; «soberanos somos todos»; los aprendices; la madurez; el límite del respeto; el grano y la paja, con su condición. Lo que pasa a otro sitio: el llamamiento breve (00.00-1.1) y la invitación a los ángeles, a 11.6; las tres voces y «como es arriba, es abajo» (00.00-4.7), a 4.2; los casos completos de los mitos, al anexo E. TRES NIVELES (Kiko, 5-oct-2026, «sí a las dos»; libreta 72, puntos 112 y 113): pasado al formato de tres niveles sin cambiar ningún dato ni ninguna cita (la prueba de formato, aprobada). Añadido: «En pocas palabras», «La idea» de cada apartado y «Para recordar». Quitada una repetición: el Código Civil, art. 29, ahora solo en 2.1.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[11.00-0.1, 11.1 y 13.1; imagen del autor]</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[original: «persona est rationalis naturae individua substantia»]</w:t>
      </w:r>
      <w:r>
        <w:t xml:space="preserve"> (Suma teológica I, q. 29, a. 1)</w:t>
      </w:r>
      <w:r>
        <w:t>. Y explica por qué ese nombre honra: «porque es de gran dignidad subsistir en una naturaleza racional, todo individuo de naturaleza racional se llama persona»</w:t>
      </w:r>
      <w:r>
        <w:t xml:space="preserve"> [original: «quia magnae dignitatis est in rationali natura subsistere, ideo omne individuum rationalis naturae dicitur persona»]</w:t>
      </w:r>
      <w:r>
        <w:t xml:space="preserve"> (Suma teológica I, q. 29, a. 3, respuesta a la segunda objeción)</w:t>
      </w:r>
      <w:r>
        <w:t>. Es el sentido de la Declaración Universal, que habla de «todo ser humano».</w:t>
      </w:r>
    </w:p>
    <w:p>
      <w:r>
        <w:t>[03.00-1.1 y 1.2; Aquino leído en latín]</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t>. Y la Administración «actúa para el cumplimiento de sus fines con personalidad jurídica única»</w:t>
      </w:r>
      <w:r>
        <w:t xml:space="preserve"> (Ley 40/2015, art. 3.4)</w:t>
      </w:r>
      <w:r>
        <w:t>.</w:t>
      </w:r>
    </w:p>
    <w:p>
      <w:r>
        <w:t xml:space="preserve">La idea viene de lejos: en el siglo XIII, los juristas de la Iglesia empezaron a tratar a las corporaciones como </w:t>
      </w:r>
      <w:r>
        <w:rPr>
          <w:i/>
        </w:rPr>
        <w:t>persona ficta</w:t>
      </w:r>
      <w:r>
        <w:t xml:space="preserve"> (persona fingida), para que pudieran actuar en derecho; se atribuye al papa Inocencio IV (fuente secundaria). Y hoy las personas jurídicas «pueden adquirir y poseer bienes de todas clases, así como contraer obligaciones y ejercitar acciones civiles o criminales» (Código Civil, art. 38).</w:t>
      </w:r>
    </w:p>
    <w:p>
      <w:r>
        <w:t>[03.00-1.1 y 1.2; Código Civil y Ley 40/2015 leídos en el BOE]</w:t>
      </w:r>
    </w:p>
    <w:p>
      <w:r>
        <w:rPr>
          <w:b/>
        </w:rPr>
        <w:t>Cómo empieza cada una:</w:t>
      </w:r>
    </w:p>
    <w:p>
      <w:pPr>
        <w:pStyle w:val="ListBullet"/>
      </w:pPr>
      <w:r>
        <w:rPr>
          <w:b/>
        </w:rPr>
        <w:t>la persona:</w:t>
      </w:r>
      <w:r>
        <w:t xml:space="preserve"> «El nacimiento determina la personalidad»</w:t>
      </w:r>
      <w:r>
        <w:t xml:space="preserve"> (Código Civil, art. 29)</w:t>
      </w:r>
      <w:r>
        <w:t>, y la personalidad «se extingue por la muerte de las personas»</w:t>
      </w:r>
      <w:r>
        <w:t xml:space="preserve"> (Código Civil, art. 32)</w:t>
      </w:r>
      <w:r>
        <w:t>;</w:t>
      </w:r>
    </w:p>
    <w:p>
      <w:pPr>
        <w:pStyle w:val="ListBullet"/>
      </w:pPr>
      <w:r>
        <w:t>el momento exacto: la personalidad «se adquiere en el momento del nacimiento con vida, una vez producido el entero desprendimiento del seno materno» (Código Civil, art. 30);</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t>[Código Civil leído en el BOE]</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t>[glosario 3.2]</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r>
        <w:t>[glosario 2.1; 03.00-1.1]</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t>[glosario 2.2]</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t>. Y su primer artículo dice: «Todos los seres humanos nacen libres e iguales en dignidad y derechos y, dotados como están de razón y conciencia, deben comportarse fraternalmente los unos con los otros»</w:t>
      </w:r>
      <w:r>
        <w:t xml:space="preserve"> (Declaración Universal, art. 1)</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t>. Y manda leer los derechos que reconoce «de conformidad con la Declaración Universal de Derechos Humanos»</w:t>
      </w:r>
      <w:r>
        <w:t xml:space="preserve"> (Constitución, art. 10.2)</w:t>
      </w:r>
      <w:r>
        <w:t>.</w:t>
      </w:r>
    </w:p>
    <w:p>
      <w:r>
        <w:t>[03.00-0.1, 3.1 a 3.3 y 30.2; Declaración leída en un.org; Constitución leída en el BOE]</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segunda columna resume el texto oficial de la Declaración; la tercera da el artículo de la Constitución (o de la ley que se indica) donde vive hoy ese derecho. Lo marcado con PR está en el capítulo de los «principios rectores».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Art.</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reconoce la Declaración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Dónde lo recoge el derecho español</w:t>
            </w:r>
          </w:p>
        </w:tc>
      </w:tr>
      <w:tr>
        <w:tc>
          <w:tcPr>
            <w:tcW w:type="dxa" w:w="3061"/>
          </w:tcPr>
          <w:p>
            <w:pPr>
              <w:spacing w:after="20" w:line="264" w:lineRule="auto"/>
            </w:pPr>
            <w:r/>
            <w:r>
              <w:rPr>
                <w:rFonts w:ascii="Segoe UI" w:hAnsi="Segoe UI" w:eastAsia="Segoe UI" w:cs="Segoe UI"/>
                <w:color w:val="1F1D1A"/>
                <w:sz w:val="18"/>
              </w:rPr>
              <w:t>1</w:t>
            </w:r>
          </w:p>
        </w:tc>
        <w:tc>
          <w:tcPr>
            <w:tcW w:type="dxa" w:w="3061"/>
          </w:tcPr>
          <w:p>
            <w:pPr>
              <w:spacing w:after="20" w:line="264" w:lineRule="auto"/>
            </w:pPr>
            <w:r/>
            <w:r>
              <w:rPr>
                <w:rFonts w:ascii="Segoe UI" w:hAnsi="Segoe UI" w:eastAsia="Segoe UI" w:cs="Segoe UI"/>
                <w:color w:val="1F1D1A"/>
                <w:sz w:val="18"/>
              </w:rPr>
              <w:t>Todos nacen libres e iguales en dignidad y derechos</w:t>
            </w:r>
          </w:p>
        </w:tc>
        <w:tc>
          <w:tcPr>
            <w:tcW w:type="dxa" w:w="3061"/>
          </w:tcPr>
          <w:p>
            <w:pPr>
              <w:spacing w:after="20" w:line="264" w:lineRule="auto"/>
            </w:pPr>
            <w:r/>
            <w:r>
              <w:rPr>
                <w:rFonts w:ascii="Segoe UI" w:hAnsi="Segoe UI" w:eastAsia="Segoe UI" w:cs="Segoe UI"/>
                <w:color w:val="1F1D1A"/>
                <w:sz w:val="18"/>
              </w:rPr>
              <w:t>Constitución, art. 10.1</w:t>
            </w:r>
          </w:p>
        </w:tc>
      </w:tr>
      <w:tr>
        <w:tc>
          <w:tcPr>
            <w:tcW w:type="dxa" w:w="3061"/>
          </w:tcPr>
          <w:p>
            <w:pPr>
              <w:spacing w:after="20" w:line="264" w:lineRule="auto"/>
            </w:pPr>
            <w:r/>
            <w:r>
              <w:rPr>
                <w:rFonts w:ascii="Segoe UI" w:hAnsi="Segoe UI" w:eastAsia="Segoe UI" w:cs="Segoe UI"/>
                <w:color w:val="1F1D1A"/>
                <w:sz w:val="18"/>
              </w:rPr>
              <w:t>2</w:t>
            </w:r>
          </w:p>
        </w:tc>
        <w:tc>
          <w:tcPr>
            <w:tcW w:type="dxa" w:w="3061"/>
          </w:tcPr>
          <w:p>
            <w:pPr>
              <w:spacing w:after="20" w:line="264" w:lineRule="auto"/>
            </w:pPr>
            <w:r/>
            <w:r>
              <w:rPr>
                <w:rFonts w:ascii="Segoe UI" w:hAnsi="Segoe UI" w:eastAsia="Segoe UI" w:cs="Segoe UI"/>
                <w:color w:val="1F1D1A"/>
                <w:sz w:val="18"/>
              </w:rPr>
              <w:t>Los derechos son de todos, sin distinción de raza, color, sexo, idioma, religión, opinión, origen, posición económica, nacimiento o cualquier otra condición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3</w:t>
            </w:r>
          </w:p>
        </w:tc>
        <w:tc>
          <w:tcPr>
            <w:tcW w:type="dxa" w:w="3061"/>
          </w:tcPr>
          <w:p>
            <w:pPr>
              <w:spacing w:after="20" w:line="264" w:lineRule="auto"/>
            </w:pPr>
            <w:r/>
            <w:r>
              <w:rPr>
                <w:rFonts w:ascii="Segoe UI" w:hAnsi="Segoe UI" w:eastAsia="Segoe UI" w:cs="Segoe UI"/>
                <w:color w:val="1F1D1A"/>
                <w:sz w:val="18"/>
              </w:rPr>
              <w:t>La vida, la libertad y la seguridad</w:t>
            </w:r>
          </w:p>
        </w:tc>
        <w:tc>
          <w:tcPr>
            <w:tcW w:type="dxa" w:w="3061"/>
          </w:tcPr>
          <w:p>
            <w:pPr>
              <w:spacing w:after="20" w:line="264" w:lineRule="auto"/>
            </w:pPr>
            <w:r/>
            <w:r>
              <w:rPr>
                <w:rFonts w:ascii="Segoe UI" w:hAnsi="Segoe UI" w:eastAsia="Segoe UI" w:cs="Segoe UI"/>
                <w:color w:val="1F1D1A"/>
                <w:sz w:val="18"/>
              </w:rPr>
              <w:t>arts. 15 y 17.1</w:t>
            </w:r>
          </w:p>
        </w:tc>
      </w:tr>
      <w:tr>
        <w:tc>
          <w:tcPr>
            <w:tcW w:type="dxa" w:w="3061"/>
          </w:tcPr>
          <w:p>
            <w:pPr>
              <w:spacing w:after="20" w:line="264" w:lineRule="auto"/>
            </w:pPr>
            <w:r/>
            <w:r>
              <w:rPr>
                <w:rFonts w:ascii="Segoe UI" w:hAnsi="Segoe UI" w:eastAsia="Segoe UI" w:cs="Segoe UI"/>
                <w:color w:val="1F1D1A"/>
                <w:sz w:val="18"/>
              </w:rPr>
              <w:t>4</w:t>
            </w:r>
          </w:p>
        </w:tc>
        <w:tc>
          <w:tcPr>
            <w:tcW w:type="dxa" w:w="3061"/>
          </w:tcPr>
          <w:p>
            <w:pPr>
              <w:spacing w:after="20" w:line="264" w:lineRule="auto"/>
            </w:pPr>
            <w:r/>
            <w:r>
              <w:rPr>
                <w:rFonts w:ascii="Segoe UI" w:hAnsi="Segoe UI" w:eastAsia="Segoe UI" w:cs="Segoe UI"/>
                <w:color w:val="1F1D1A"/>
                <w:sz w:val="18"/>
              </w:rPr>
              <w:t>Nadie será esclavo ni siervo</w:t>
            </w:r>
          </w:p>
        </w:tc>
        <w:tc>
          <w:tcPr>
            <w:tcW w:type="dxa" w:w="3061"/>
          </w:tcPr>
          <w:p>
            <w:pPr>
              <w:spacing w:after="20" w:line="264" w:lineRule="auto"/>
            </w:pPr>
            <w:r/>
            <w:r>
              <w:rPr>
                <w:rFonts w:ascii="Segoe UI" w:hAnsi="Segoe UI" w:eastAsia="Segoe UI" w:cs="Segoe UI"/>
                <w:color w:val="1F1D1A"/>
                <w:sz w:val="18"/>
              </w:rPr>
              <w:t>art. 25.2 (las penas no pueden consistir en trabajos forzados); Código Penal, art. 177 bis (trata de seres humanos)</w:t>
            </w:r>
          </w:p>
        </w:tc>
      </w:tr>
      <w:tr>
        <w:tc>
          <w:tcPr>
            <w:tcW w:type="dxa" w:w="3061"/>
          </w:tcPr>
          <w:p>
            <w:pPr>
              <w:spacing w:after="20" w:line="264" w:lineRule="auto"/>
            </w:pPr>
            <w:r/>
            <w:r>
              <w:rPr>
                <w:rFonts w:ascii="Segoe UI" w:hAnsi="Segoe UI" w:eastAsia="Segoe UI" w:cs="Segoe UI"/>
                <w:color w:val="1F1D1A"/>
                <w:sz w:val="18"/>
              </w:rPr>
              <w:t>5</w:t>
            </w:r>
          </w:p>
        </w:tc>
        <w:tc>
          <w:tcPr>
            <w:tcW w:type="dxa" w:w="3061"/>
          </w:tcPr>
          <w:p>
            <w:pPr>
              <w:spacing w:after="20" w:line="264" w:lineRule="auto"/>
            </w:pPr>
            <w:r/>
            <w:r>
              <w:rPr>
                <w:rFonts w:ascii="Segoe UI" w:hAnsi="Segoe UI" w:eastAsia="Segoe UI" w:cs="Segoe UI"/>
                <w:color w:val="1F1D1A"/>
                <w:sz w:val="18"/>
              </w:rPr>
              <w:t>Nadie será torturado ni sometido a tratos crueles, inhumanos o degradantes</w:t>
            </w:r>
          </w:p>
        </w:tc>
        <w:tc>
          <w:tcPr>
            <w:tcW w:type="dxa" w:w="3061"/>
          </w:tcPr>
          <w:p>
            <w:pPr>
              <w:spacing w:after="20" w:line="264" w:lineRule="auto"/>
            </w:pPr>
            <w:r/>
            <w:r>
              <w:rPr>
                <w:rFonts w:ascii="Segoe UI" w:hAnsi="Segoe UI" w:eastAsia="Segoe UI" w:cs="Segoe UI"/>
                <w:color w:val="1F1D1A"/>
                <w:sz w:val="18"/>
              </w:rPr>
              <w:t>art. 15</w:t>
            </w:r>
          </w:p>
        </w:tc>
      </w:tr>
      <w:tr>
        <w:tc>
          <w:tcPr>
            <w:tcW w:type="dxa" w:w="3061"/>
          </w:tcPr>
          <w:p>
            <w:pPr>
              <w:spacing w:after="20" w:line="264" w:lineRule="auto"/>
            </w:pPr>
            <w:r/>
            <w:r>
              <w:rPr>
                <w:rFonts w:ascii="Segoe UI" w:hAnsi="Segoe UI" w:eastAsia="Segoe UI" w:cs="Segoe UI"/>
                <w:color w:val="1F1D1A"/>
                <w:sz w:val="18"/>
              </w:rPr>
              <w:t>6</w:t>
            </w:r>
          </w:p>
        </w:tc>
        <w:tc>
          <w:tcPr>
            <w:tcW w:type="dxa" w:w="3061"/>
          </w:tcPr>
          <w:p>
            <w:pPr>
              <w:spacing w:after="20" w:line="264" w:lineRule="auto"/>
            </w:pPr>
            <w:r/>
            <w:r>
              <w:rPr>
                <w:rFonts w:ascii="Segoe UI" w:hAnsi="Segoe UI" w:eastAsia="Segoe UI" w:cs="Segoe UI"/>
                <w:color w:val="1F1D1A"/>
                <w:sz w:val="18"/>
              </w:rPr>
              <w:t>Todo ser humano tiene derecho a que se reconozca su personalidad jurídica</w:t>
            </w:r>
          </w:p>
        </w:tc>
        <w:tc>
          <w:tcPr>
            <w:tcW w:type="dxa" w:w="3061"/>
          </w:tcPr>
          <w:p>
            <w:pPr>
              <w:spacing w:after="20" w:line="264" w:lineRule="auto"/>
            </w:pPr>
            <w:r/>
            <w:r>
              <w:rPr>
                <w:rFonts w:ascii="Segoe UI" w:hAnsi="Segoe UI" w:eastAsia="Segoe UI" w:cs="Segoe UI"/>
                <w:color w:val="1F1D1A"/>
                <w:sz w:val="18"/>
              </w:rPr>
              <w:t>Código Civil, arts. 29 y 30</w:t>
            </w:r>
          </w:p>
        </w:tc>
      </w:tr>
      <w:tr>
        <w:tc>
          <w:tcPr>
            <w:tcW w:type="dxa" w:w="3061"/>
          </w:tcPr>
          <w:p>
            <w:pPr>
              <w:spacing w:after="20" w:line="264" w:lineRule="auto"/>
            </w:pPr>
            <w:r/>
            <w:r>
              <w:rPr>
                <w:rFonts w:ascii="Segoe UI" w:hAnsi="Segoe UI" w:eastAsia="Segoe UI" w:cs="Segoe UI"/>
                <w:color w:val="1F1D1A"/>
                <w:sz w:val="18"/>
              </w:rPr>
              <w:t>7</w:t>
            </w:r>
          </w:p>
        </w:tc>
        <w:tc>
          <w:tcPr>
            <w:tcW w:type="dxa" w:w="3061"/>
          </w:tcPr>
          <w:p>
            <w:pPr>
              <w:spacing w:after="20" w:line="264" w:lineRule="auto"/>
            </w:pPr>
            <w:r/>
            <w:r>
              <w:rPr>
                <w:rFonts w:ascii="Segoe UI" w:hAnsi="Segoe UI" w:eastAsia="Segoe UI" w:cs="Segoe UI"/>
                <w:color w:val="1F1D1A"/>
                <w:sz w:val="18"/>
              </w:rPr>
              <w:t>Todos son iguales ante la ley y tienen derecho a igual protección contra la discriminación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8</w:t>
            </w:r>
          </w:p>
        </w:tc>
        <w:tc>
          <w:tcPr>
            <w:tcW w:type="dxa" w:w="3061"/>
          </w:tcPr>
          <w:p>
            <w:pPr>
              <w:spacing w:after="20" w:line="264" w:lineRule="auto"/>
            </w:pPr>
            <w:r/>
            <w:r>
              <w:rPr>
                <w:rFonts w:ascii="Segoe UI" w:hAnsi="Segoe UI" w:eastAsia="Segoe UI" w:cs="Segoe UI"/>
                <w:color w:val="1F1D1A"/>
                <w:sz w:val="18"/>
              </w:rPr>
              <w:t>Un recurso efectivo ante los tribunales</w:t>
            </w:r>
          </w:p>
        </w:tc>
        <w:tc>
          <w:tcPr>
            <w:tcW w:type="dxa" w:w="3061"/>
          </w:tcPr>
          <w:p>
            <w:pPr>
              <w:spacing w:after="20" w:line="264" w:lineRule="auto"/>
            </w:pPr>
            <w:r/>
            <w:r>
              <w:rPr>
                <w:rFonts w:ascii="Segoe UI" w:hAnsi="Segoe UI" w:eastAsia="Segoe UI" w:cs="Segoe UI"/>
                <w:color w:val="1F1D1A"/>
                <w:sz w:val="18"/>
              </w:rPr>
              <w:t>arts. 24.1 y 53.2</w:t>
            </w:r>
          </w:p>
        </w:tc>
      </w:tr>
      <w:tr>
        <w:tc>
          <w:tcPr>
            <w:tcW w:type="dxa" w:w="3061"/>
          </w:tcPr>
          <w:p>
            <w:pPr>
              <w:spacing w:after="20" w:line="264" w:lineRule="auto"/>
            </w:pPr>
            <w:r/>
            <w:r>
              <w:rPr>
                <w:rFonts w:ascii="Segoe UI" w:hAnsi="Segoe UI" w:eastAsia="Segoe UI" w:cs="Segoe UI"/>
                <w:color w:val="1F1D1A"/>
                <w:sz w:val="18"/>
              </w:rPr>
              <w:t>9</w:t>
            </w:r>
          </w:p>
        </w:tc>
        <w:tc>
          <w:tcPr>
            <w:tcW w:type="dxa" w:w="3061"/>
          </w:tcPr>
          <w:p>
            <w:pPr>
              <w:spacing w:after="20" w:line="264" w:lineRule="auto"/>
            </w:pPr>
            <w:r/>
            <w:r>
              <w:rPr>
                <w:rFonts w:ascii="Segoe UI" w:hAnsi="Segoe UI" w:eastAsia="Segoe UI" w:cs="Segoe UI"/>
                <w:color w:val="1F1D1A"/>
                <w:sz w:val="18"/>
              </w:rPr>
              <w:t>Nadie será detenido, preso ni desterrado arbitrariamente</w:t>
            </w:r>
          </w:p>
        </w:tc>
        <w:tc>
          <w:tcPr>
            <w:tcW w:type="dxa" w:w="3061"/>
          </w:tcPr>
          <w:p>
            <w:pPr>
              <w:spacing w:after="20" w:line="264" w:lineRule="auto"/>
            </w:pPr>
            <w:r/>
            <w:r>
              <w:rPr>
                <w:rFonts w:ascii="Segoe UI" w:hAnsi="Segoe UI" w:eastAsia="Segoe UI" w:cs="Segoe UI"/>
                <w:color w:val="1F1D1A"/>
                <w:sz w:val="18"/>
              </w:rPr>
              <w:t>art. 17.1 y 17.2</w:t>
            </w:r>
          </w:p>
        </w:tc>
      </w:tr>
      <w:tr>
        <w:tc>
          <w:tcPr>
            <w:tcW w:type="dxa" w:w="3061"/>
          </w:tcPr>
          <w:p>
            <w:pPr>
              <w:spacing w:after="20" w:line="264" w:lineRule="auto"/>
            </w:pPr>
            <w:r/>
            <w:r>
              <w:rPr>
                <w:rFonts w:ascii="Segoe UI" w:hAnsi="Segoe UI" w:eastAsia="Segoe UI" w:cs="Segoe UI"/>
                <w:color w:val="1F1D1A"/>
                <w:sz w:val="18"/>
              </w:rPr>
              <w:t>10</w:t>
            </w:r>
          </w:p>
        </w:tc>
        <w:tc>
          <w:tcPr>
            <w:tcW w:type="dxa" w:w="3061"/>
          </w:tcPr>
          <w:p>
            <w:pPr>
              <w:spacing w:after="20" w:line="264" w:lineRule="auto"/>
            </w:pPr>
            <w:r/>
            <w:r>
              <w:rPr>
                <w:rFonts w:ascii="Segoe UI" w:hAnsi="Segoe UI" w:eastAsia="Segoe UI" w:cs="Segoe UI"/>
                <w:color w:val="1F1D1A"/>
                <w:sz w:val="18"/>
              </w:rPr>
              <w:t>Ser oído por un tribunal independiente e imparcial</w:t>
            </w:r>
          </w:p>
        </w:tc>
        <w:tc>
          <w:tcPr>
            <w:tcW w:type="dxa" w:w="3061"/>
          </w:tcPr>
          <w:p>
            <w:pPr>
              <w:spacing w:after="20" w:line="264" w:lineRule="auto"/>
            </w:pPr>
            <w:r/>
            <w:r>
              <w:rPr>
                <w:rFonts w:ascii="Segoe UI" w:hAnsi="Segoe UI" w:eastAsia="Segoe UI" w:cs="Segoe UI"/>
                <w:color w:val="1F1D1A"/>
                <w:sz w:val="18"/>
              </w:rPr>
              <w:t>arts. 24.2 y 117.1</w:t>
            </w:r>
          </w:p>
        </w:tc>
      </w:tr>
      <w:tr>
        <w:tc>
          <w:tcPr>
            <w:tcW w:type="dxa" w:w="3061"/>
          </w:tcPr>
          <w:p>
            <w:pPr>
              <w:spacing w:after="20" w:line="264" w:lineRule="auto"/>
            </w:pPr>
            <w:r/>
            <w:r>
              <w:rPr>
                <w:rFonts w:ascii="Segoe UI" w:hAnsi="Segoe UI" w:eastAsia="Segoe UI" w:cs="Segoe UI"/>
                <w:color w:val="1F1D1A"/>
                <w:sz w:val="18"/>
              </w:rPr>
              <w:t>11</w:t>
            </w:r>
          </w:p>
        </w:tc>
        <w:tc>
          <w:tcPr>
            <w:tcW w:type="dxa" w:w="3061"/>
          </w:tcPr>
          <w:p>
            <w:pPr>
              <w:spacing w:after="20" w:line="264" w:lineRule="auto"/>
            </w:pPr>
            <w:r/>
            <w:r>
              <w:rPr>
                <w:rFonts w:ascii="Segoe UI" w:hAnsi="Segoe UI" w:eastAsia="Segoe UI" w:cs="Segoe UI"/>
                <w:color w:val="1F1D1A"/>
                <w:sz w:val="18"/>
              </w:rPr>
              <w:t>La presunción de inocencia, y no ser condenado por lo que no era delito cuando se hizo</w:t>
            </w:r>
          </w:p>
        </w:tc>
        <w:tc>
          <w:tcPr>
            <w:tcW w:type="dxa" w:w="3061"/>
          </w:tcPr>
          <w:p>
            <w:pPr>
              <w:spacing w:after="20" w:line="264" w:lineRule="auto"/>
            </w:pPr>
            <w:r/>
            <w:r>
              <w:rPr>
                <w:rFonts w:ascii="Segoe UI" w:hAnsi="Segoe UI" w:eastAsia="Segoe UI" w:cs="Segoe UI"/>
                <w:color w:val="1F1D1A"/>
                <w:sz w:val="18"/>
              </w:rPr>
              <w:t>arts. 24.2 y 25.1</w:t>
            </w:r>
          </w:p>
        </w:tc>
      </w:tr>
      <w:tr>
        <w:tc>
          <w:tcPr>
            <w:tcW w:type="dxa" w:w="3061"/>
          </w:tcPr>
          <w:p>
            <w:pPr>
              <w:spacing w:after="20" w:line="264" w:lineRule="auto"/>
            </w:pPr>
            <w:r/>
            <w:r>
              <w:rPr>
                <w:rFonts w:ascii="Segoe UI" w:hAnsi="Segoe UI" w:eastAsia="Segoe UI" w:cs="Segoe UI"/>
                <w:color w:val="1F1D1A"/>
                <w:sz w:val="18"/>
              </w:rPr>
              <w:t>12</w:t>
            </w:r>
          </w:p>
        </w:tc>
        <w:tc>
          <w:tcPr>
            <w:tcW w:type="dxa" w:w="3061"/>
          </w:tcPr>
          <w:p>
            <w:pPr>
              <w:spacing w:after="20" w:line="264" w:lineRule="auto"/>
            </w:pPr>
            <w:r/>
            <w:r>
              <w:rPr>
                <w:rFonts w:ascii="Segoe UI" w:hAnsi="Segoe UI" w:eastAsia="Segoe UI" w:cs="Segoe UI"/>
                <w:color w:val="1F1D1A"/>
                <w:sz w:val="18"/>
              </w:rPr>
              <w:t>La vida privada, la familia, el domicilio, la correspondencia y la honra</w:t>
            </w:r>
          </w:p>
        </w:tc>
        <w:tc>
          <w:tcPr>
            <w:tcW w:type="dxa" w:w="3061"/>
          </w:tcPr>
          <w:p>
            <w:pPr>
              <w:spacing w:after="20" w:line="264" w:lineRule="auto"/>
            </w:pPr>
            <w:r/>
            <w:r>
              <w:rPr>
                <w:rFonts w:ascii="Segoe UI" w:hAnsi="Segoe UI" w:eastAsia="Segoe UI" w:cs="Segoe UI"/>
                <w:color w:val="1F1D1A"/>
                <w:sz w:val="18"/>
              </w:rPr>
              <w:t>art. 18</w:t>
            </w:r>
          </w:p>
        </w:tc>
      </w:tr>
      <w:tr>
        <w:tc>
          <w:tcPr>
            <w:tcW w:type="dxa" w:w="3061"/>
          </w:tcPr>
          <w:p>
            <w:pPr>
              <w:spacing w:after="20" w:line="264" w:lineRule="auto"/>
            </w:pPr>
            <w:r/>
            <w:r>
              <w:rPr>
                <w:rFonts w:ascii="Segoe UI" w:hAnsi="Segoe UI" w:eastAsia="Segoe UI" w:cs="Segoe UI"/>
                <w:color w:val="1F1D1A"/>
                <w:sz w:val="18"/>
              </w:rPr>
              <w:t>13</w:t>
            </w:r>
          </w:p>
        </w:tc>
        <w:tc>
          <w:tcPr>
            <w:tcW w:type="dxa" w:w="3061"/>
          </w:tcPr>
          <w:p>
            <w:pPr>
              <w:spacing w:after="20" w:line="264" w:lineRule="auto"/>
            </w:pPr>
            <w:r/>
            <w:r>
              <w:rPr>
                <w:rFonts w:ascii="Segoe UI" w:hAnsi="Segoe UI" w:eastAsia="Segoe UI" w:cs="Segoe UI"/>
                <w:color w:val="1F1D1A"/>
                <w:sz w:val="18"/>
              </w:rPr>
              <w:t>Circular, elegir residencia, salir de cualquier país y volver al propio</w:t>
            </w:r>
          </w:p>
        </w:tc>
        <w:tc>
          <w:tcPr>
            <w:tcW w:type="dxa" w:w="3061"/>
          </w:tcPr>
          <w:p>
            <w:pPr>
              <w:spacing w:after="20" w:line="264" w:lineRule="auto"/>
            </w:pPr>
            <w:r/>
            <w:r>
              <w:rPr>
                <w:rFonts w:ascii="Segoe UI" w:hAnsi="Segoe UI" w:eastAsia="Segoe UI" w:cs="Segoe UI"/>
                <w:color w:val="1F1D1A"/>
                <w:sz w:val="18"/>
              </w:rPr>
              <w:t>art. 19</w:t>
            </w:r>
          </w:p>
        </w:tc>
      </w:tr>
      <w:tr>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Buscar asilo y disfrutar de él</w:t>
            </w:r>
          </w:p>
        </w:tc>
        <w:tc>
          <w:tcPr>
            <w:tcW w:type="dxa" w:w="3061"/>
          </w:tcPr>
          <w:p>
            <w:pPr>
              <w:spacing w:after="20" w:line="264" w:lineRule="auto"/>
            </w:pPr>
            <w:r/>
            <w:r>
              <w:rPr>
                <w:rFonts w:ascii="Segoe UI" w:hAnsi="Segoe UI" w:eastAsia="Segoe UI" w:cs="Segoe UI"/>
                <w:color w:val="1F1D1A"/>
                <w:sz w:val="18"/>
              </w:rPr>
              <w:t>art. 13.4</w:t>
            </w:r>
          </w:p>
        </w:tc>
      </w:tr>
      <w:tr>
        <w:tc>
          <w:tcPr>
            <w:tcW w:type="dxa" w:w="3061"/>
          </w:tcPr>
          <w:p>
            <w:pPr>
              <w:spacing w:after="20" w:line="264" w:lineRule="auto"/>
            </w:pPr>
            <w:r/>
            <w:r>
              <w:rPr>
                <w:rFonts w:ascii="Segoe UI" w:hAnsi="Segoe UI" w:eastAsia="Segoe UI" w:cs="Segoe UI"/>
                <w:color w:val="1F1D1A"/>
                <w:sz w:val="18"/>
              </w:rPr>
              <w:t>15</w:t>
            </w:r>
          </w:p>
        </w:tc>
        <w:tc>
          <w:tcPr>
            <w:tcW w:type="dxa" w:w="3061"/>
          </w:tcPr>
          <w:p>
            <w:pPr>
              <w:spacing w:after="20" w:line="264" w:lineRule="auto"/>
            </w:pPr>
            <w:r/>
            <w:r>
              <w:rPr>
                <w:rFonts w:ascii="Segoe UI" w:hAnsi="Segoe UI" w:eastAsia="Segoe UI" w:cs="Segoe UI"/>
                <w:color w:val="1F1D1A"/>
                <w:sz w:val="18"/>
              </w:rPr>
              <w:t>Una nacionalidad, de la que nadie será privado arbitrariamente</w:t>
            </w:r>
          </w:p>
        </w:tc>
        <w:tc>
          <w:tcPr>
            <w:tcW w:type="dxa" w:w="3061"/>
          </w:tcPr>
          <w:p>
            <w:pPr>
              <w:spacing w:after="20" w:line="264" w:lineRule="auto"/>
            </w:pPr>
            <w:r/>
            <w:r>
              <w:rPr>
                <w:rFonts w:ascii="Segoe UI" w:hAnsi="Segoe UI" w:eastAsia="Segoe UI" w:cs="Segoe UI"/>
                <w:color w:val="1F1D1A"/>
                <w:sz w:val="18"/>
              </w:rPr>
              <w:t>art. 11; Código Civil, arts. 17 y siguientes</w:t>
            </w:r>
          </w:p>
        </w:tc>
      </w:tr>
      <w:tr>
        <w:tc>
          <w:tcPr>
            <w:tcW w:type="dxa" w:w="3061"/>
          </w:tcPr>
          <w:p>
            <w:pPr>
              <w:spacing w:after="20" w:line="264" w:lineRule="auto"/>
            </w:pPr>
            <w:r/>
            <w:r>
              <w:rPr>
                <w:rFonts w:ascii="Segoe UI" w:hAnsi="Segoe UI" w:eastAsia="Segoe UI" w:cs="Segoe UI"/>
                <w:color w:val="1F1D1A"/>
                <w:sz w:val="18"/>
              </w:rPr>
              <w:t>16</w:t>
            </w:r>
          </w:p>
        </w:tc>
        <w:tc>
          <w:tcPr>
            <w:tcW w:type="dxa" w:w="3061"/>
          </w:tcPr>
          <w:p>
            <w:pPr>
              <w:spacing w:after="20" w:line="264" w:lineRule="auto"/>
            </w:pPr>
            <w:r/>
            <w:r>
              <w:rPr>
                <w:rFonts w:ascii="Segoe UI" w:hAnsi="Segoe UI" w:eastAsia="Segoe UI" w:cs="Segoe UI"/>
                <w:color w:val="1F1D1A"/>
                <w:sz w:val="18"/>
              </w:rPr>
              <w:t>Casarse y fundar una familia, con libre y pleno consentimiento</w:t>
            </w:r>
          </w:p>
        </w:tc>
        <w:tc>
          <w:tcPr>
            <w:tcW w:type="dxa" w:w="3061"/>
          </w:tcPr>
          <w:p>
            <w:pPr>
              <w:spacing w:after="20" w:line="264" w:lineRule="auto"/>
            </w:pPr>
            <w:r/>
            <w:r>
              <w:rPr>
                <w:rFonts w:ascii="Segoe UI" w:hAnsi="Segoe UI" w:eastAsia="Segoe UI" w:cs="Segoe UI"/>
                <w:color w:val="1F1D1A"/>
                <w:sz w:val="18"/>
              </w:rPr>
              <w:t>art. 32; art. 39 (PR)</w:t>
            </w:r>
          </w:p>
        </w:tc>
      </w:tr>
      <w:tr>
        <w:tc>
          <w:tcPr>
            <w:tcW w:type="dxa" w:w="3061"/>
          </w:tcPr>
          <w:p>
            <w:pPr>
              <w:spacing w:after="20" w:line="264" w:lineRule="auto"/>
            </w:pPr>
            <w:r/>
            <w:r>
              <w:rPr>
                <w:rFonts w:ascii="Segoe UI" w:hAnsi="Segoe UI" w:eastAsia="Segoe UI" w:cs="Segoe UI"/>
                <w:color w:val="1F1D1A"/>
                <w:sz w:val="18"/>
              </w:rPr>
              <w:t>17</w:t>
            </w:r>
          </w:p>
        </w:tc>
        <w:tc>
          <w:tcPr>
            <w:tcW w:type="dxa" w:w="3061"/>
          </w:tcPr>
          <w:p>
            <w:pPr>
              <w:spacing w:after="20" w:line="264" w:lineRule="auto"/>
            </w:pPr>
            <w:r/>
            <w:r>
              <w:rPr>
                <w:rFonts w:ascii="Segoe UI" w:hAnsi="Segoe UI" w:eastAsia="Segoe UI" w:cs="Segoe UI"/>
                <w:color w:val="1F1D1A"/>
                <w:sz w:val="18"/>
              </w:rPr>
              <w:t>La propiedad, individual y colectiva</w:t>
            </w:r>
          </w:p>
        </w:tc>
        <w:tc>
          <w:tcPr>
            <w:tcW w:type="dxa" w:w="3061"/>
          </w:tcPr>
          <w:p>
            <w:pPr>
              <w:spacing w:after="20" w:line="264" w:lineRule="auto"/>
            </w:pPr>
            <w:r/>
            <w:r>
              <w:rPr>
                <w:rFonts w:ascii="Segoe UI" w:hAnsi="Segoe UI" w:eastAsia="Segoe UI" w:cs="Segoe UI"/>
                <w:color w:val="1F1D1A"/>
                <w:sz w:val="18"/>
              </w:rPr>
              <w:t>art. 33; Código Civil, art. 348</w:t>
            </w:r>
          </w:p>
        </w:tc>
      </w:tr>
      <w:tr>
        <w:tc>
          <w:tcPr>
            <w:tcW w:type="dxa" w:w="3061"/>
          </w:tcPr>
          <w:p>
            <w:pPr>
              <w:spacing w:after="20" w:line="264" w:lineRule="auto"/>
            </w:pPr>
            <w:r/>
            <w:r>
              <w:rPr>
                <w:rFonts w:ascii="Segoe UI" w:hAnsi="Segoe UI" w:eastAsia="Segoe UI" w:cs="Segoe UI"/>
                <w:color w:val="1F1D1A"/>
                <w:sz w:val="18"/>
              </w:rPr>
              <w:t>18</w:t>
            </w:r>
          </w:p>
        </w:tc>
        <w:tc>
          <w:tcPr>
            <w:tcW w:type="dxa" w:w="3061"/>
          </w:tcPr>
          <w:p>
            <w:pPr>
              <w:spacing w:after="20" w:line="264" w:lineRule="auto"/>
            </w:pPr>
            <w:r/>
            <w:r>
              <w:rPr>
                <w:rFonts w:ascii="Segoe UI" w:hAnsi="Segoe UI" w:eastAsia="Segoe UI" w:cs="Segoe UI"/>
                <w:color w:val="1F1D1A"/>
                <w:sz w:val="18"/>
              </w:rPr>
              <w:t>La libertad de pensamiento, de conciencia y de religión</w:t>
            </w:r>
          </w:p>
        </w:tc>
        <w:tc>
          <w:tcPr>
            <w:tcW w:type="dxa" w:w="3061"/>
          </w:tcPr>
          <w:p>
            <w:pPr>
              <w:spacing w:after="20" w:line="264" w:lineRule="auto"/>
            </w:pPr>
            <w:r/>
            <w:r>
              <w:rPr>
                <w:rFonts w:ascii="Segoe UI" w:hAnsi="Segoe UI" w:eastAsia="Segoe UI" w:cs="Segoe UI"/>
                <w:color w:val="1F1D1A"/>
                <w:sz w:val="18"/>
              </w:rPr>
              <w:t>art. 16</w:t>
            </w:r>
          </w:p>
        </w:tc>
      </w:tr>
      <w:tr>
        <w:tc>
          <w:tcPr>
            <w:tcW w:type="dxa" w:w="3061"/>
          </w:tcPr>
          <w:p>
            <w:pPr>
              <w:spacing w:after="20" w:line="264" w:lineRule="auto"/>
            </w:pPr>
            <w:r/>
            <w:r>
              <w:rPr>
                <w:rFonts w:ascii="Segoe UI" w:hAnsi="Segoe UI" w:eastAsia="Segoe UI" w:cs="Segoe UI"/>
                <w:color w:val="1F1D1A"/>
                <w:sz w:val="18"/>
              </w:rPr>
              <w:t>19</w:t>
            </w:r>
          </w:p>
        </w:tc>
        <w:tc>
          <w:tcPr>
            <w:tcW w:type="dxa" w:w="3061"/>
          </w:tcPr>
          <w:p>
            <w:pPr>
              <w:spacing w:after="20" w:line="264" w:lineRule="auto"/>
            </w:pPr>
            <w:r/>
            <w:r>
              <w:rPr>
                <w:rFonts w:ascii="Segoe UI" w:hAnsi="Segoe UI" w:eastAsia="Segoe UI" w:cs="Segoe UI"/>
                <w:color w:val="1F1D1A"/>
                <w:sz w:val="18"/>
              </w:rPr>
              <w:t>La libertad de opinión y de expresión</w:t>
            </w:r>
          </w:p>
        </w:tc>
        <w:tc>
          <w:tcPr>
            <w:tcW w:type="dxa" w:w="3061"/>
          </w:tcPr>
          <w:p>
            <w:pPr>
              <w:spacing w:after="20" w:line="264" w:lineRule="auto"/>
            </w:pPr>
            <w:r/>
            <w:r>
              <w:rPr>
                <w:rFonts w:ascii="Segoe UI" w:hAnsi="Segoe UI" w:eastAsia="Segoe UI" w:cs="Segoe UI"/>
                <w:color w:val="1F1D1A"/>
                <w:sz w:val="18"/>
              </w:rPr>
              <w:t>art. 20.1 a)</w:t>
            </w:r>
          </w:p>
        </w:tc>
      </w:tr>
      <w:tr>
        <w:tc>
          <w:tcPr>
            <w:tcW w:type="dxa" w:w="3061"/>
          </w:tcPr>
          <w:p>
            <w:pPr>
              <w:spacing w:after="20" w:line="264" w:lineRule="auto"/>
            </w:pPr>
            <w:r/>
            <w:r>
              <w:rPr>
                <w:rFonts w:ascii="Segoe UI" w:hAnsi="Segoe UI" w:eastAsia="Segoe UI" w:cs="Segoe UI"/>
                <w:color w:val="1F1D1A"/>
                <w:sz w:val="18"/>
              </w:rPr>
              <w:t>20</w:t>
            </w:r>
          </w:p>
        </w:tc>
        <w:tc>
          <w:tcPr>
            <w:tcW w:type="dxa" w:w="3061"/>
          </w:tcPr>
          <w:p>
            <w:pPr>
              <w:spacing w:after="20" w:line="264" w:lineRule="auto"/>
            </w:pPr>
            <w:r/>
            <w:r>
              <w:rPr>
                <w:rFonts w:ascii="Segoe UI" w:hAnsi="Segoe UI" w:eastAsia="Segoe UI" w:cs="Segoe UI"/>
                <w:color w:val="1F1D1A"/>
                <w:sz w:val="18"/>
              </w:rPr>
              <w:t>La reunión y la asociación pacíficas; nadie puede ser obligado a asociarse</w:t>
            </w:r>
          </w:p>
        </w:tc>
        <w:tc>
          <w:tcPr>
            <w:tcW w:type="dxa" w:w="3061"/>
          </w:tcPr>
          <w:p>
            <w:pPr>
              <w:spacing w:after="20" w:line="264" w:lineRule="auto"/>
            </w:pPr>
            <w:r/>
            <w:r>
              <w:rPr>
                <w:rFonts w:ascii="Segoe UI" w:hAnsi="Segoe UI" w:eastAsia="Segoe UI" w:cs="Segoe UI"/>
                <w:color w:val="1F1D1A"/>
                <w:sz w:val="18"/>
              </w:rPr>
              <w:t>arts. 21 y 22</w:t>
            </w:r>
          </w:p>
        </w:tc>
      </w:tr>
      <w:tr>
        <w:tc>
          <w:tcPr>
            <w:tcW w:type="dxa" w:w="3061"/>
          </w:tcPr>
          <w:p>
            <w:pPr>
              <w:spacing w:after="20" w:line="264" w:lineRule="auto"/>
            </w:pPr>
            <w:r/>
            <w:r>
              <w:rPr>
                <w:rFonts w:ascii="Segoe UI" w:hAnsi="Segoe UI" w:eastAsia="Segoe UI" w:cs="Segoe UI"/>
                <w:color w:val="1F1D1A"/>
                <w:sz w:val="18"/>
              </w:rPr>
              <w:t>21</w:t>
            </w:r>
          </w:p>
        </w:tc>
        <w:tc>
          <w:tcPr>
            <w:tcW w:type="dxa" w:w="3061"/>
          </w:tcPr>
          <w:p>
            <w:pPr>
              <w:spacing w:after="20" w:line="264" w:lineRule="auto"/>
            </w:pPr>
            <w:r/>
            <w:r>
              <w:rPr>
                <w:rFonts w:ascii="Segoe UI" w:hAnsi="Segoe UI" w:eastAsia="Segoe UI" w:cs="Segoe UI"/>
                <w:color w:val="1F1D1A"/>
                <w:sz w:val="18"/>
              </w:rPr>
              <w:t>Participar en el gobierno del país y acceder a las funciones públicas. «La voluntad del pueblo es la base de la autoridad del poder público»</w:t>
            </w:r>
          </w:p>
        </w:tc>
        <w:tc>
          <w:tcPr>
            <w:tcW w:type="dxa" w:w="3061"/>
          </w:tcPr>
          <w:p>
            <w:pPr>
              <w:spacing w:after="20" w:line="264" w:lineRule="auto"/>
            </w:pPr>
            <w:r/>
            <w:r>
              <w:rPr>
                <w:rFonts w:ascii="Segoe UI" w:hAnsi="Segoe UI" w:eastAsia="Segoe UI" w:cs="Segoe UI"/>
                <w:color w:val="1F1D1A"/>
                <w:sz w:val="18"/>
              </w:rPr>
              <w:t>art. 23</w:t>
            </w:r>
          </w:p>
        </w:tc>
      </w:tr>
      <w:tr>
        <w:tc>
          <w:tcPr>
            <w:tcW w:type="dxa" w:w="3061"/>
          </w:tcPr>
          <w:p>
            <w:pPr>
              <w:spacing w:after="20" w:line="264" w:lineRule="auto"/>
            </w:pPr>
            <w:r/>
            <w:r>
              <w:rPr>
                <w:rFonts w:ascii="Segoe UI" w:hAnsi="Segoe UI" w:eastAsia="Segoe UI" w:cs="Segoe UI"/>
                <w:color w:val="1F1D1A"/>
                <w:sz w:val="18"/>
              </w:rPr>
              <w:t>22</w:t>
            </w:r>
          </w:p>
        </w:tc>
        <w:tc>
          <w:tcPr>
            <w:tcW w:type="dxa" w:w="3061"/>
          </w:tcPr>
          <w:p>
            <w:pPr>
              <w:spacing w:after="20" w:line="264" w:lineRule="auto"/>
            </w:pPr>
            <w:r/>
            <w:r>
              <w:rPr>
                <w:rFonts w:ascii="Segoe UI" w:hAnsi="Segoe UI" w:eastAsia="Segoe UI" w:cs="Segoe UI"/>
                <w:color w:val="1F1D1A"/>
                <w:sz w:val="18"/>
              </w:rPr>
              <w:t>La seguridad social</w:t>
            </w:r>
          </w:p>
        </w:tc>
        <w:tc>
          <w:tcPr>
            <w:tcW w:type="dxa" w:w="3061"/>
          </w:tcPr>
          <w:p>
            <w:pPr>
              <w:spacing w:after="20" w:line="264" w:lineRule="auto"/>
            </w:pPr>
            <w:r/>
            <w:r>
              <w:rPr>
                <w:rFonts w:ascii="Segoe UI" w:hAnsi="Segoe UI" w:eastAsia="Segoe UI" w:cs="Segoe UI"/>
                <w:color w:val="1F1D1A"/>
                <w:sz w:val="18"/>
              </w:rPr>
              <w:t>art. 41 (PR)</w:t>
            </w:r>
          </w:p>
        </w:tc>
      </w:tr>
      <w:tr>
        <w:tc>
          <w:tcPr>
            <w:tcW w:type="dxa" w:w="3061"/>
          </w:tcPr>
          <w:p>
            <w:pPr>
              <w:spacing w:after="20" w:line="264" w:lineRule="auto"/>
            </w:pPr>
            <w:r/>
            <w:r>
              <w:rPr>
                <w:rFonts w:ascii="Segoe UI" w:hAnsi="Segoe UI" w:eastAsia="Segoe UI" w:cs="Segoe UI"/>
                <w:color w:val="1F1D1A"/>
                <w:sz w:val="18"/>
              </w:rPr>
              <w:t>23</w:t>
            </w:r>
          </w:p>
        </w:tc>
        <w:tc>
          <w:tcPr>
            <w:tcW w:type="dxa" w:w="3061"/>
          </w:tcPr>
          <w:p>
            <w:pPr>
              <w:spacing w:after="20" w:line="264" w:lineRule="auto"/>
            </w:pPr>
            <w:r/>
            <w:r>
              <w:rPr>
                <w:rFonts w:ascii="Segoe UI" w:hAnsi="Segoe UI" w:eastAsia="Segoe UI" w:cs="Segoe UI"/>
                <w:color w:val="1F1D1A"/>
                <w:sz w:val="18"/>
              </w:rPr>
              <w:t>El trabajo, igual salario por igual trabajo, una remuneración equitativa y los sindicatos</w:t>
            </w:r>
          </w:p>
        </w:tc>
        <w:tc>
          <w:tcPr>
            <w:tcW w:type="dxa" w:w="3061"/>
          </w:tcPr>
          <w:p>
            <w:pPr>
              <w:spacing w:after="20" w:line="264" w:lineRule="auto"/>
            </w:pPr>
            <w:r/>
            <w:r>
              <w:rPr>
                <w:rFonts w:ascii="Segoe UI" w:hAnsi="Segoe UI" w:eastAsia="Segoe UI" w:cs="Segoe UI"/>
                <w:color w:val="1F1D1A"/>
                <w:sz w:val="18"/>
              </w:rPr>
              <w:t>arts. 28 y 35</w:t>
            </w:r>
          </w:p>
        </w:tc>
      </w:tr>
      <w:tr>
        <w:tc>
          <w:tcPr>
            <w:tcW w:type="dxa" w:w="3061"/>
          </w:tcPr>
          <w:p>
            <w:pPr>
              <w:spacing w:after="20" w:line="264" w:lineRule="auto"/>
            </w:pPr>
            <w:r/>
            <w:r>
              <w:rPr>
                <w:rFonts w:ascii="Segoe UI" w:hAnsi="Segoe UI" w:eastAsia="Segoe UI" w:cs="Segoe UI"/>
                <w:color w:val="1F1D1A"/>
                <w:sz w:val="18"/>
              </w:rPr>
              <w:t>24</w:t>
            </w:r>
          </w:p>
        </w:tc>
        <w:tc>
          <w:tcPr>
            <w:tcW w:type="dxa" w:w="3061"/>
          </w:tcPr>
          <w:p>
            <w:pPr>
              <w:spacing w:after="20" w:line="264" w:lineRule="auto"/>
            </w:pPr>
            <w:r/>
            <w:r>
              <w:rPr>
                <w:rFonts w:ascii="Segoe UI" w:hAnsi="Segoe UI" w:eastAsia="Segoe UI" w:cs="Segoe UI"/>
                <w:color w:val="1F1D1A"/>
                <w:sz w:val="18"/>
              </w:rPr>
              <w:t>El descanso, el tiempo libre y las vacaciones pagadas</w:t>
            </w:r>
          </w:p>
        </w:tc>
        <w:tc>
          <w:tcPr>
            <w:tcW w:type="dxa" w:w="3061"/>
          </w:tcPr>
          <w:p>
            <w:pPr>
              <w:spacing w:after="20" w:line="264" w:lineRule="auto"/>
            </w:pPr>
            <w:r/>
            <w:r>
              <w:rPr>
                <w:rFonts w:ascii="Segoe UI" w:hAnsi="Segoe UI" w:eastAsia="Segoe UI" w:cs="Segoe UI"/>
                <w:color w:val="1F1D1A"/>
                <w:sz w:val="18"/>
              </w:rPr>
              <w:t>art. 40.2 (PR)</w:t>
            </w:r>
          </w:p>
        </w:tc>
      </w:tr>
      <w:tr>
        <w:tc>
          <w:tcPr>
            <w:tcW w:type="dxa" w:w="3061"/>
          </w:tcPr>
          <w:p>
            <w:pPr>
              <w:spacing w:after="20" w:line="264" w:lineRule="auto"/>
            </w:pPr>
            <w:r/>
            <w:r>
              <w:rPr>
                <w:rFonts w:ascii="Segoe UI" w:hAnsi="Segoe UI" w:eastAsia="Segoe UI" w:cs="Segoe UI"/>
                <w:color w:val="1F1D1A"/>
                <w:sz w:val="18"/>
              </w:rPr>
              <w:t>25</w:t>
            </w:r>
          </w:p>
        </w:tc>
        <w:tc>
          <w:tcPr>
            <w:tcW w:type="dxa" w:w="3061"/>
          </w:tcPr>
          <w:p>
            <w:pPr>
              <w:spacing w:after="20" w:line="264" w:lineRule="auto"/>
            </w:pPr>
            <w:r/>
            <w:r>
              <w:rPr>
                <w:rFonts w:ascii="Segoe UI" w:hAnsi="Segoe UI" w:eastAsia="Segoe UI" w:cs="Segoe UI"/>
                <w:color w:val="1F1D1A"/>
                <w:sz w:val="18"/>
              </w:rPr>
              <w:t>Un nivel de vida adecuado: alimentación, vestido, vivienda y asistencia médica</w:t>
            </w:r>
          </w:p>
        </w:tc>
        <w:tc>
          <w:tcPr>
            <w:tcW w:type="dxa" w:w="3061"/>
          </w:tcPr>
          <w:p>
            <w:pPr>
              <w:spacing w:after="20" w:line="264" w:lineRule="auto"/>
            </w:pPr>
            <w:r/>
            <w:r>
              <w:rPr>
                <w:rFonts w:ascii="Segoe UI" w:hAnsi="Segoe UI" w:eastAsia="Segoe UI" w:cs="Segoe UI"/>
                <w:color w:val="1F1D1A"/>
                <w:sz w:val="18"/>
              </w:rPr>
              <w:t>arts. 39, 43, 47 y 50 (PR)</w:t>
            </w:r>
          </w:p>
        </w:tc>
      </w:tr>
      <w:tr>
        <w:tc>
          <w:tcPr>
            <w:tcW w:type="dxa" w:w="3061"/>
          </w:tcPr>
          <w:p>
            <w:pPr>
              <w:spacing w:after="20" w:line="264" w:lineRule="auto"/>
            </w:pPr>
            <w:r/>
            <w:r>
              <w:rPr>
                <w:rFonts w:ascii="Segoe UI" w:hAnsi="Segoe UI" w:eastAsia="Segoe UI" w:cs="Segoe UI"/>
                <w:color w:val="1F1D1A"/>
                <w:sz w:val="18"/>
              </w:rPr>
              <w:t>26</w:t>
            </w:r>
          </w:p>
        </w:tc>
        <w:tc>
          <w:tcPr>
            <w:tcW w:type="dxa" w:w="3061"/>
          </w:tcPr>
          <w:p>
            <w:pPr>
              <w:spacing w:after="20" w:line="264" w:lineRule="auto"/>
            </w:pPr>
            <w:r/>
            <w:r>
              <w:rPr>
                <w:rFonts w:ascii="Segoe UI" w:hAnsi="Segoe UI" w:eastAsia="Segoe UI" w:cs="Segoe UI"/>
                <w:color w:val="1F1D1A"/>
                <w:sz w:val="18"/>
              </w:rPr>
              <w:t>La educación, gratuita y obligatoria en lo elemental</w:t>
            </w:r>
          </w:p>
        </w:tc>
        <w:tc>
          <w:tcPr>
            <w:tcW w:type="dxa" w:w="3061"/>
          </w:tcPr>
          <w:p>
            <w:pPr>
              <w:spacing w:after="20" w:line="264" w:lineRule="auto"/>
            </w:pPr>
            <w:r/>
            <w:r>
              <w:rPr>
                <w:rFonts w:ascii="Segoe UI" w:hAnsi="Segoe UI" w:eastAsia="Segoe UI" w:cs="Segoe UI"/>
                <w:color w:val="1F1D1A"/>
                <w:sz w:val="18"/>
              </w:rPr>
              <w:t>art. 27</w:t>
            </w:r>
          </w:p>
        </w:tc>
      </w:tr>
      <w:tr>
        <w:tc>
          <w:tcPr>
            <w:tcW w:type="dxa" w:w="3061"/>
          </w:tcPr>
          <w:p>
            <w:pPr>
              <w:spacing w:after="20" w:line="264" w:lineRule="auto"/>
            </w:pPr>
            <w:r/>
            <w:r>
              <w:rPr>
                <w:rFonts w:ascii="Segoe UI" w:hAnsi="Segoe UI" w:eastAsia="Segoe UI" w:cs="Segoe UI"/>
                <w:color w:val="1F1D1A"/>
                <w:sz w:val="18"/>
              </w:rPr>
              <w:t>27</w:t>
            </w:r>
          </w:p>
        </w:tc>
        <w:tc>
          <w:tcPr>
            <w:tcW w:type="dxa" w:w="3061"/>
          </w:tcPr>
          <w:p>
            <w:pPr>
              <w:spacing w:after="20" w:line="264" w:lineRule="auto"/>
            </w:pPr>
            <w:r/>
            <w:r>
              <w:rPr>
                <w:rFonts w:ascii="Segoe UI" w:hAnsi="Segoe UI" w:eastAsia="Segoe UI" w:cs="Segoe UI"/>
                <w:color w:val="1F1D1A"/>
                <w:sz w:val="18"/>
              </w:rPr>
              <w:t>La vida cultural, las artes, la ciencia y los derechos de autor</w:t>
            </w:r>
          </w:p>
        </w:tc>
        <w:tc>
          <w:tcPr>
            <w:tcW w:type="dxa" w:w="3061"/>
          </w:tcPr>
          <w:p>
            <w:pPr>
              <w:spacing w:after="20" w:line="264" w:lineRule="auto"/>
            </w:pPr>
            <w:r/>
            <w:r>
              <w:rPr>
                <w:rFonts w:ascii="Segoe UI" w:hAnsi="Segoe UI" w:eastAsia="Segoe UI" w:cs="Segoe UI"/>
                <w:color w:val="1F1D1A"/>
                <w:sz w:val="18"/>
              </w:rPr>
              <w:t>art. 20.1 b); art. 44 (PR)</w:t>
            </w:r>
          </w:p>
        </w:tc>
      </w:tr>
      <w:tr>
        <w:tc>
          <w:tcPr>
            <w:tcW w:type="dxa" w:w="3061"/>
          </w:tcPr>
          <w:p>
            <w:pPr>
              <w:spacing w:after="20" w:line="264" w:lineRule="auto"/>
            </w:pPr>
            <w:r/>
            <w:r>
              <w:rPr>
                <w:rFonts w:ascii="Segoe UI" w:hAnsi="Segoe UI" w:eastAsia="Segoe UI" w:cs="Segoe UI"/>
                <w:color w:val="1F1D1A"/>
                <w:sz w:val="18"/>
              </w:rPr>
              <w:t>28</w:t>
            </w:r>
          </w:p>
        </w:tc>
        <w:tc>
          <w:tcPr>
            <w:tcW w:type="dxa" w:w="3061"/>
          </w:tcPr>
          <w:p>
            <w:pPr>
              <w:spacing w:after="20" w:line="264" w:lineRule="auto"/>
            </w:pPr>
            <w:r/>
            <w:r>
              <w:rPr>
                <w:rFonts w:ascii="Segoe UI" w:hAnsi="Segoe UI" w:eastAsia="Segoe UI" w:cs="Segoe UI"/>
                <w:color w:val="1F1D1A"/>
                <w:sz w:val="18"/>
              </w:rPr>
              <w:t>Un orden social e internacional que haga efectivos estos derechos</w:t>
            </w:r>
          </w:p>
        </w:tc>
        <w:tc>
          <w:tcPr>
            <w:tcW w:type="dxa" w:w="3061"/>
          </w:tcPr>
          <w:p>
            <w:pPr>
              <w:spacing w:after="20" w:line="264" w:lineRule="auto"/>
            </w:pPr>
            <w:r/>
            <w:r>
              <w:rPr>
                <w:rFonts w:ascii="Segoe UI" w:hAnsi="Segoe UI" w:eastAsia="Segoe UI" w:cs="Segoe UI"/>
                <w:color w:val="1F1D1A"/>
                <w:sz w:val="18"/>
              </w:rPr>
              <w:t>arts. 10.2 y 96.1</w:t>
            </w:r>
          </w:p>
        </w:tc>
      </w:tr>
      <w:tr>
        <w:tc>
          <w:tcPr>
            <w:tcW w:type="dxa" w:w="3061"/>
          </w:tcPr>
          <w:p>
            <w:pPr>
              <w:spacing w:after="20" w:line="264" w:lineRule="auto"/>
            </w:pPr>
            <w:r/>
            <w:r>
              <w:rPr>
                <w:rFonts w:ascii="Segoe UI" w:hAnsi="Segoe UI" w:eastAsia="Segoe UI" w:cs="Segoe UI"/>
                <w:color w:val="1F1D1A"/>
                <w:sz w:val="18"/>
              </w:rPr>
              <w:t>29</w:t>
            </w:r>
          </w:p>
        </w:tc>
        <w:tc>
          <w:tcPr>
            <w:tcW w:type="dxa" w:w="3061"/>
          </w:tcPr>
          <w:p>
            <w:pPr>
              <w:spacing w:after="20" w:line="264" w:lineRule="auto"/>
            </w:pPr>
            <w:r/>
            <w:r>
              <w:rPr>
                <w:rFonts w:ascii="Segoe UI" w:hAnsi="Segoe UI" w:eastAsia="Segoe UI" w:cs="Segoe UI"/>
                <w:color w:val="1F1D1A"/>
                <w:sz w:val="18"/>
              </w:rPr>
              <w:t>Deberes con la comunidad, y límites solo por ley, para respetar los derechos de los demás</w:t>
            </w:r>
          </w:p>
        </w:tc>
        <w:tc>
          <w:tcPr>
            <w:tcW w:type="dxa" w:w="3061"/>
          </w:tcPr>
          <w:p>
            <w:pPr>
              <w:spacing w:after="20" w:line="264" w:lineRule="auto"/>
            </w:pPr>
            <w:r/>
            <w:r>
              <w:rPr>
                <w:rFonts w:ascii="Segoe UI" w:hAnsi="Segoe UI" w:eastAsia="Segoe UI" w:cs="Segoe UI"/>
                <w:color w:val="1F1D1A"/>
                <w:sz w:val="18"/>
              </w:rPr>
              <w:t>arts. 10.1 y 20.4</w:t>
            </w:r>
          </w:p>
        </w:tc>
      </w:tr>
      <w:tr>
        <w:tc>
          <w:tcPr>
            <w:tcW w:type="dxa" w:w="3061"/>
          </w:tcPr>
          <w:p>
            <w:pPr>
              <w:spacing w:after="20" w:line="264" w:lineRule="auto"/>
            </w:pPr>
            <w:r/>
            <w:r>
              <w:rPr>
                <w:rFonts w:ascii="Segoe UI" w:hAnsi="Segoe UI" w:eastAsia="Segoe UI" w:cs="Segoe UI"/>
                <w:color w:val="1F1D1A"/>
                <w:sz w:val="18"/>
              </w:rPr>
              <w:t>30</w:t>
            </w:r>
          </w:p>
        </w:tc>
        <w:tc>
          <w:tcPr>
            <w:tcW w:type="dxa" w:w="3061"/>
          </w:tcPr>
          <w:p>
            <w:pPr>
              <w:spacing w:after="20" w:line="264" w:lineRule="auto"/>
            </w:pPr>
            <w:r/>
            <w:r>
              <w:rPr>
                <w:rFonts w:ascii="Segoe UI" w:hAnsi="Segoe UI" w:eastAsia="Segoe UI" w:cs="Segoe UI"/>
                <w:color w:val="1F1D1A"/>
                <w:sz w:val="18"/>
              </w:rPr>
              <w:t>Nada en la Declaración da derecho a nadie, tampoco al Estado, a suprimir estos derechos</w:t>
            </w:r>
          </w:p>
        </w:tc>
        <w:tc>
          <w:tcPr>
            <w:tcW w:type="dxa" w:w="3061"/>
          </w:tcPr>
          <w:p>
            <w:pPr>
              <w:spacing w:after="20" w:line="264" w:lineRule="auto"/>
            </w:pPr>
            <w:r/>
            <w:r>
              <w:rPr>
                <w:rFonts w:ascii="Segoe UI" w:hAnsi="Segoe UI" w:eastAsia="Segoe UI" w:cs="Segoe UI"/>
                <w:color w:val="1F1D1A"/>
                <w:sz w:val="18"/>
              </w:rPr>
              <w:t>art. 9.1; Código Civil, art. 7.2</w:t>
            </w:r>
          </w:p>
        </w:tc>
      </w:tr>
    </w:tbl>
    <w:p>
      <w:pPr>
        <w:spacing w:after="80"/>
      </w:pPr>
    </w:p>
    <w:p>
      <w:r>
        <w:t>[03.00-3.1 a 32.3; Declaración leída en un.org; Constitución, Código Civil y Código Penal leídos en el BOE]</w:t>
      </w:r>
    </w:p>
    <w:p>
      <w:r>
        <w:rPr>
          <w:b/>
        </w:rPr>
        <w:t>Cómo llegó España al artículo 4.</w:t>
      </w:r>
      <w:r>
        <w:t xml:space="preserve"> La servidumbre feudal se abolió en dos pasos. En 1486, el rey abolió los «malos usos» de los payeses de remensa catalanes y los declaró «perpetualmente ser liberos y quitios dellos», pero a cambio de que ellos mismos pagaran sesenta sueldos por cada mas, o un censo equivalente</w:t>
      </w:r>
      <w:r>
        <w:t xml:space="preserve"> (Sentencia Arbitral de Guadalupe, 21 de abril de 1486, edición de G. Pérez Sarrión)</w:t>
      </w:r>
      <w:r>
        <w:t>. Y en 1811, las Cortes de Cádiz declararon: «Quedan abolidos los dictados de vasallos y vasallage»</w:t>
      </w:r>
      <w:r>
        <w:t xml:space="preserve"> (Decreto de 6 de agosto de 1811, art. 4, Gazeta de la Regencia de 12-9-1811)</w:t>
      </w:r>
      <w:r>
        <w:t>. La esclavitud en las colonias duró hasta 1873 en Puerto Rico y hasta 1886 en Cuba (</w:t>
      </w:r>
      <w:r>
        <w:t>3.1</w:t>
      </w:r>
      <w:r>
        <w:t xml:space="preserve">). </w:t>
      </w:r>
      <w:r>
        <w:t>[03.00-6.2; leídos el 5-oct]</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t>.</w:t>
      </w:r>
    </w:p>
    <w:p>
      <w:r>
        <w:t>En el sur de África lo dicen así: «Umuntu ngumuntu ngabantu» (una persona es persona a través de otras personas). Lo recoge el informe de la Comisión de la Verdad y la Reconciliación de Sudáfrica, que presidió Desmond Tutu y que se entregó al presidente Nelson Mandela en 1998: ubuntu, «traducido por lo general como “humanidad”», se expresa en esa frase</w:t>
      </w:r>
      <w:r>
        <w:t xml:space="preserve"> [original: «Ubuntu, generally translated as ‘humaneness’, expresses itself metaphorically in umuntu ngumuntu ngabantu – ‘people are people through other people’»]</w:t>
      </w:r>
      <w:r>
        <w:t xml:space="preserve"> (Comisión de la Verdad y la Reconciliación, Informe, vol. 1, 1998, cap. 5, § 85)</w:t>
      </w:r>
      <w:r>
        <w:t xml:space="preserve">. Con su matiz: no prueba la ley natural, sino que la dignidad se vive en relación con los demás; y hay críticos, como Mboti (2015), que rechazan presentarlo como una esencia de los pueblos africanos (fuente secundaria). </w:t>
      </w:r>
      <w:r>
        <w:t>[01.00-12.1 y 12.2; Declaración leída en un.org]</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t>[glosario 2.1 y 2.3; 00.00-1.2 y 1.3]</w:t>
      </w:r>
    </w:p>
    <w:p>
      <w:r>
        <w:rPr>
          <w:b/>
        </w:rPr>
        <w:t>Lo dicen tradiciones sin contacto documentado entre sí:</w:t>
      </w:r>
    </w:p>
    <w:p>
      <w:pPr>
        <w:pStyle w:val="ListBullet"/>
      </w:pPr>
      <w:r>
        <w:rPr>
          <w:b/>
        </w:rPr>
        <w:t>La Biblia:</w:t>
      </w:r>
      <w:r>
        <w:t xml:space="preserve"> «crió Dios al hombre á su imagen»</w:t>
      </w:r>
      <w:r>
        <w:t xml:space="preserve"> (Gn 1:27)</w:t>
      </w:r>
      <w:r>
        <w:t>.</w:t>
      </w:r>
    </w:p>
    <w:p>
      <w:pPr>
        <w:pStyle w:val="ListBullet"/>
      </w:pPr>
      <w:r>
        <w:t>Y además: «porque á imagen de Dios es hecho el hombre» (Gn 9:6); «los hombres, los cuales son hechos á la semejanza de Dios» (Stg 3:9); «siendo pues linaje de Dios» (Hch 17:29).</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[original: «Rationalem factum ad imaginem suam noluit nisi inrationabilibus dominari; non hominem homini, sed hominem pecori»]</w:t>
      </w:r>
      <w:r>
        <w:t xml:space="preserve"> (La ciudad de Dios XIX, 15)</w:t>
      </w:r>
      <w:r>
        <w:t>.</w:t>
      </w:r>
    </w:p>
    <w:p>
      <w:pPr>
        <w:pStyle w:val="ListBullet"/>
      </w:pPr>
      <w:r>
        <w:rPr>
          <w:b/>
        </w:rPr>
        <w:t>El budismo:</w:t>
      </w:r>
      <w:r>
        <w:t xml:space="preserve"> «uno mismo es el señor de uno mismo: ¿quién otro podría ser su señor?»</w:t>
      </w:r>
      <w:r>
        <w:t xml:space="preserve"> [original: «Attā hi attano nātho, ko hi nātho paro siyā»]</w:t>
      </w:r>
      <w:r>
        <w:t xml:space="preserve"> (Dhammapada 160)</w:t>
      </w:r>
      <w:r>
        <w:t>.</w:t>
      </w:r>
    </w:p>
    <w:p>
      <w:pPr>
        <w:pStyle w:val="ListBullet"/>
      </w:pPr>
      <w:r>
        <w:rPr>
          <w:b/>
        </w:rPr>
        <w:t>Confucio:</w:t>
      </w:r>
      <w:r>
        <w:t xml:space="preserve"> «a un gran ejército se le puede arrebatar su general; al hombre más sencillo no se le puede arrebatar su voluntad»</w:t>
      </w:r>
      <w:r>
        <w:t xml:space="preserve"> [original: «三軍可奪帥也，匹夫不可奪志也»]</w:t>
      </w:r>
      <w:r>
        <w:t xml:space="preserve"> (Analectas 9.26)</w:t>
      </w:r>
      <w:r>
        <w:t>.</w:t>
      </w:r>
    </w:p>
    <w:p>
      <w:pPr>
        <w:pStyle w:val="ListBullet"/>
      </w:pPr>
      <w:r>
        <w:rPr>
          <w:b/>
        </w:rPr>
        <w:t>Mill:</w:t>
      </w:r>
      <w:r>
        <w:t xml:space="preserve"> «sobre sí mismo, sobre su propio cuerpo y su propia mente, el individuo es soberano»</w:t>
      </w:r>
      <w:r>
        <w:t xml:space="preserve"> [original: «Over himself, over his own body and mind, the individual is sovereign»]</w:t>
      </w:r>
      <w:r>
        <w:t xml:space="preserve"> (John Stuart Mill, Sobre la libertad, 1859, cap. I)</w:t>
      </w:r>
      <w:r>
        <w:t>.</w:t>
      </w:r>
    </w:p>
    <w:p>
      <w:pPr>
        <w:pStyle w:val="ListBullet"/>
      </w:pPr>
      <w:r>
        <w:rPr>
          <w:b/>
        </w:rPr>
        <w:t>La Constitución:</w:t>
      </w:r>
      <w:r>
        <w:t xml:space="preserve"> «La soberanía nacional reside en el pueblo español, del que emanan los poderes del Estado»</w:t>
      </w:r>
      <w:r>
        <w:t xml:space="preserve"> (Constitución, art. 1.2)</w:t>
      </w:r>
      <w:r>
        <w:t>.</w:t>
      </w:r>
    </w:p>
    <w:p>
      <w:pPr>
        <w:pStyle w:val="ListBullet"/>
      </w:pPr>
      <w:r>
        <w:rPr>
          <w:b/>
        </w:rPr>
        <w:t>El judaísmo:</w:t>
      </w:r>
      <w:r>
        <w:t xml:space="preserve"> «חָבִיב אָדָם שֶׁנִּבְרָא בְצֶלֶם» (amado es el ser humano, porque fue creado a imagen; Pirkei Avot 3:14).</w:t>
      </w:r>
    </w:p>
    <w:p>
      <w:pPr>
        <w:pStyle w:val="ListBullet"/>
      </w:pPr>
      <w:r>
        <w:rPr>
          <w:b/>
        </w:rPr>
        <w:t>El islam:</w:t>
      </w:r>
      <w:r>
        <w:t xml:space="preserve"> «Hemos honrado a los hijos de Adán» (Corán 17:70); «cuando lo haya formado armoniosamente e infundido en él de Mi Espíritu» (15:29).</w:t>
      </w:r>
    </w:p>
    <w:p>
      <w:pPr>
        <w:pStyle w:val="ListBullet"/>
      </w:pPr>
      <w:r>
        <w:rPr>
          <w:b/>
        </w:rPr>
        <w:t>La India:</w:t>
      </w:r>
      <w:r>
        <w:t xml:space="preserve"> «mamaivāṁśo jīva-loke jīva-bhūtaḥ sanātanaḥ» (una porción eterna de Mí mismo se hace ser vivo en el mundo de los vivos; Bhagavad Gita 15.7).</w:t>
      </w:r>
    </w:p>
    <w:p>
      <w:pPr>
        <w:pStyle w:val="ListBullet"/>
      </w:pPr>
      <w:r>
        <w:rPr>
          <w:b/>
        </w:rPr>
        <w:t>Mencio:</w:t>
      </w:r>
      <w:r>
        <w:t xml:space="preserve"> «有天爵者，有人爵者» (hay una nobleza del Cielo y una nobleza de los hombres). La del Cielo es la benevolencia, la rectitud, la lealtad y la fidelidad; la de los hombres, los cargos. «人人有貴於己者，弗思耳矣» (cada persona tiene en sí misma lo que es digno de honra; solo que no piensa en ello). «趙孟之所貴，趙孟能賤之» (a quien Zhao Meng, un ministro poderoso, ennoblece, Zhao Meng puede rebajarlo; Mencio 6A16-17).</w:t>
      </w:r>
    </w:p>
    <w:p>
      <w:pPr>
        <w:pStyle w:val="ListBullet"/>
      </w:pPr>
      <w:r>
        <w:rPr>
          <w:b/>
        </w:rPr>
        <w:t>Laozi:</w:t>
      </w:r>
      <w:r>
        <w:t xml:space="preserve"> «勝人者有力，自勝者強» (quien vence a los demás tiene fuerza; quien se vence a sí mismo es fuerte; Daodejing 33).</w:t>
      </w:r>
    </w:p>
    <w:p>
      <w:r>
        <w:t>[glosario 2.3, leído en su fuente el 5-oct; Confucio, Mencio y Laozi leídos en chino; Mill, en Gutenberg; Constitución, en el BOE]</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xml:space="preserve"> [original: «Condicio quippe seruitutis iure intellegitur inposita peccatori» (con razón se entiende que la condición de siervo se impuso al pecador)]</w:t>
      </w:r>
      <w:r>
        <w:t>. Lo que niega es que venga de la naturaleza: «ese nombre lo mereció la culpa, no la naturaleza»</w:t>
      </w:r>
      <w:r>
        <w:t xml:space="preserve"> [original: «Nomen itaque istud culpa meruit, non natura»]</w:t>
      </w:r>
      <w:r>
        <w:t xml:space="preserve"> (La ciudad de Dios XIX, 15)</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t>[glosario 2.3]</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[original: «the only purpose for which power can be rightfully exercised over any member of a civilised community, against his will, is to prevent harm to others»]</w:t>
      </w:r>
      <w:r>
        <w:t xml:space="preserve"> (Sobre la libertad, cap. I)</w:t>
      </w:r>
      <w:r>
        <w:t>. Y cada uno responde de lo suyo: «El alma que pecare, esa morirá: el hijo no llevará por el pecado del padre, ni el padre llevará por el pecado del hijo»</w:t>
      </w:r>
      <w:r>
        <w:t xml:space="preserve"> (Ez 18:20)</w:t>
      </w:r>
      <w:r>
        <w:t>.</w:t>
      </w:r>
    </w:p>
    <w:p>
      <w:r>
        <w:t>[20.00-1.1 y 1.3; Mill leído en Gutenberg; Reina-Valera Antigua]</w:t>
      </w:r>
    </w:p>
    <w:p>
      <w:r>
        <w:rPr>
          <w:b/>
        </w:rPr>
        <w:t>Lectura del autor:</w:t>
      </w:r>
      <w:r>
        <w:t xml:space="preserve"> Dios nos creó a imagen y semejanza. De ahí viene la soberanía de cada uno sobre sí mismo, que ningún ente sin cuerpo puede dar ni quitar.</w:t>
      </w:r>
    </w:p>
    <w:p>
      <w:r>
        <w:t>[glosario 2.3]</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[original: «זָכָ֥ר וּנְקֵבָ֖ה בָּרָ֥א אֹתָֽם׃»]</w:t>
      </w:r>
      <w:r>
        <w:t xml:space="preserve"> (Gn 1:27)</w:t>
      </w:r>
      <w:r>
        <w:t>. Y: «Varón y hembra los crió; y los bendijo, y llamó el nombre de ellos Adam»</w:t>
      </w:r>
      <w:r>
        <w:t xml:space="preserve"> (Gn 5:2)</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[original: «He was so large as man and wife together. He then made this his Self to fall in two (pat), and thence arose husband (pati) and wife (patnî)», en la traducción de Max Müller]</w:t>
      </w:r>
      <w:r>
        <w:t xml:space="preserve"> (Brihadaranyaka Upanishad I, 4, 3)</w:t>
      </w:r>
      <w:r>
        <w:t>.</w:t>
      </w:r>
    </w:p>
    <w:p>
      <w:pPr>
        <w:pStyle w:val="ListBullet"/>
      </w:pPr>
      <w:r>
        <w:rPr>
          <w:b/>
        </w:rPr>
        <w:t>El islam:</w:t>
      </w:r>
      <w:r>
        <w:t xml:space="preserve"> «¡Hombres! ¡Temed a vuestro Señor, Que os ha creado de una sola persona, de la que ha creado a su cónyuge!»</w:t>
      </w:r>
      <w:r>
        <w:t xml:space="preserve"> [original: «ٱلَّذِى خَلَقَكُم مِّن نَّفْسٍۢ وَٰحِدَةٍۢ وَخَلَقَ مِنْهَا زَوْجَهَا»]</w:t>
      </w:r>
      <w:r>
        <w:t xml:space="preserve"> (Corán 4:1, traducción de Julio Cortés)</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t>; «ésta será llamada Varona, porque del varón fué tomada»</w:t>
      </w:r>
      <w:r>
        <w:t xml:space="preserve"> (Gn 2:23)</w:t>
      </w:r>
      <w:r>
        <w:t>. Y, tras la caída, a la mujer: «á tu marido será tu deseo, y él se enseñoreará de ti»</w:t>
      </w:r>
      <w:r>
        <w:t xml:space="preserve"> (Gn 3:16)</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[original: «ٱلرِّجَالُ قَوَّٰمُونَ عَلَى ٱلنِّسَآءِ بِمَا فَضَّلَ ٱللَّهُ بَعْضَهُمْ عَلَىٰ بَعْضٍۢ»]</w:t>
      </w:r>
      <w:r>
        <w:t xml:space="preserve"> (Corán 4:34, traducción de Julio Cortés)</w:t>
      </w:r>
      <w:r>
        <w:t>. El verso sigue: «¡Amonestad a aquéllas de quienes temáis que se rebelen, dejadlas solas en el lecho, pegadles!».</w:t>
      </w:r>
    </w:p>
    <w:p>
      <w:r>
        <w:rPr>
          <w:b/>
        </w:rPr>
        <w:t>Y además:</w:t>
      </w:r>
    </w:p>
    <w:p>
      <w:pPr>
        <w:pStyle w:val="ListBullet"/>
      </w:pPr>
      <w:r>
        <w:rPr>
          <w:b/>
        </w:rPr>
        <w:t>El judaísmo rabínico:</w:t>
      </w:r>
      <w:r>
        <w:t xml:space="preserve"> «Cuando el Santo, bendito sea, creó a Adán, el primer hombre, lo creó andrógino»</w:t>
      </w:r>
      <w:r>
        <w:t xml:space="preserve"> [original: «When the Holy One blessed be He created Adam the first man, He created him androgynous», en la traducción de Sefaria]</w:t>
      </w:r>
      <w:r>
        <w:t xml:space="preserve"> (Génesis Rabbah 8:1)</w:t>
      </w:r>
      <w:r>
        <w:t>. Después lo serró en dos y le hizo dos espaldas.</w:t>
      </w:r>
    </w:p>
    <w:p>
      <w:pPr>
        <w:pStyle w:val="ListBullet"/>
      </w:pPr>
      <w:r>
        <w:rPr>
          <w:b/>
        </w:rPr>
        <w:t>La India (Manu):</w:t>
      </w:r>
      <w:r>
        <w:t xml:space="preserve"> «Dividiendo su propio cuerpo, el Señor se hizo mitad varón y mitad mujer»</w:t>
      </w:r>
      <w:r>
        <w:t xml:space="preserve"> [original: «dvidhā kṛtvātmano deham ardhena puruṣo 'bhavat ardhena nārī»]</w:t>
      </w:r>
      <w:r>
        <w:t xml:space="preserve"> (Leyes de Manu 1.32)</w:t>
      </w:r>
      <w:r>
        <w:t>.</w:t>
      </w:r>
    </w:p>
    <w:p>
      <w:pPr>
        <w:pStyle w:val="ListBullet"/>
      </w:pPr>
      <w:r>
        <w:rPr>
          <w:b/>
        </w:rPr>
        <w:t>Grecia:</w:t>
      </w:r>
      <w:r>
        <w:t xml:space="preserve"> en el Banquete de Platón, Aristófanes (un discurso cómico) cuenta que «los sexos no eran dos como ahora, sino originalmente tres: había el hombre, la mujer y la unión de ambos»</w:t>
      </w:r>
      <w:r>
        <w:t xml:space="preserve"> [original: «The sexes were not two as they are now, but originally three in number; there was man, woman, and the union of the two», en la traducción de Jowett]</w:t>
      </w:r>
      <w:r>
        <w:t xml:space="preserve"> (Platón, Banquete 189d-191d)</w:t>
      </w:r>
      <w:r>
        <w:t>.</w:t>
      </w:r>
    </w:p>
    <w:p>
      <w:pPr>
        <w:pStyle w:val="ListBullet"/>
      </w:pPr>
      <w:r>
        <w:rPr>
          <w:b/>
        </w:rPr>
        <w:t>Pablo:</w:t>
      </w:r>
      <w:r>
        <w:t xml:space="preserve"> «el varón es la cabeza de la mujer»</w:t>
      </w:r>
      <w:r>
        <w:t xml:space="preserve"> (1 Co 11:3)</w:t>
      </w:r>
      <w:r>
        <w:t>; «el varón no es de la mujer, sino la mujer del varón»</w:t>
      </w:r>
      <w:r>
        <w:t xml:space="preserve"> (1 Co 11:8)</w:t>
      </w:r>
      <w:r>
        <w:t>. Y en el mismo pasaje: «ni el varón sin la mujer, ni la mujer sin el varón, en el Señor»</w:t>
      </w:r>
      <w:r>
        <w:t xml:space="preserve"> (1 Co 11:11)</w:t>
      </w:r>
      <w:r>
        <w:t>.</w:t>
      </w:r>
    </w:p>
    <w:p>
      <w:pPr>
        <w:pStyle w:val="ListBullet"/>
      </w:pPr>
      <w:r>
        <w:rPr>
          <w:b/>
        </w:rPr>
        <w:t>Manu:</w:t>
      </w:r>
      <w:r>
        <w:t xml:space="preserve"> la misma obra que parte a Dios en dos mitades manda: «En la niñez estará bajo el poder del padre, en la juventud del marido; muerto el marido, de los hijos: la mujer no ha de tener independencia»</w:t>
      </w:r>
      <w:r>
        <w:t xml:space="preserve"> [original: «bālye pitur vaśe tiṣṭhet pāṇigrāhasya yauvane putrāṇāṃ bhartari prete na bhajet strī svatantratām»]</w:t>
      </w:r>
      <w:r>
        <w:t xml:space="preserve"> (Leyes de Manu 5.148)</w:t>
      </w:r>
      <w:r>
        <w:t>.</w:t>
      </w:r>
    </w:p>
    <w:p>
      <w:pPr>
        <w:pStyle w:val="ListBullet"/>
      </w:pPr>
      <w:r>
        <w:rPr>
          <w:b/>
        </w:rPr>
        <w:t>Grecia:</w:t>
      </w:r>
      <w:r>
        <w:t xml:space="preserve"> Hesíodo cuenta que Hefesto modeló la primera mujer como castigo: «Enseguida hizo un mal para los hombres como precio del fuego»</w:t>
      </w:r>
      <w:r>
        <w:t xml:space="preserve"> [original: «Forthwith he made an evil thing for men as the price of fire», en la traducción de Evelyn-White]</w:t>
      </w:r>
      <w:r>
        <w:t xml:space="preserve"> (Hesíodo, Teogonía 570-612)</w:t>
      </w:r>
      <w:r>
        <w:t>, y que de ella viene «la raza de las mujeres»</w:t>
      </w:r>
      <w:r>
        <w:t xml:space="preserve"> [original: «For from her is the race of women and female kind»]</w:t>
      </w:r>
      <w:r>
        <w:t>.</w:t>
      </w:r>
    </w:p>
    <w:p>
      <w:pPr>
        <w:pStyle w:val="ListBullet"/>
      </w:pPr>
      <w:r>
        <w:rPr>
          <w:b/>
        </w:rPr>
        <w:t>Persia:</w:t>
      </w:r>
      <w:r>
        <w:t xml:space="preserve"> la primera pareja crece de la tierra como una sola planta, unida por los hombros y la cintura, «de modo que no estaba claro cuál era el varón y cuál la hembra»</w:t>
      </w:r>
      <w:r>
        <w:t xml:space="preserve"> [original: «it was not clear which is the male and which the female», en la traducción de West]</w:t>
      </w:r>
      <w:r>
        <w:t xml:space="preserve"> (Bundahishn 15:3)</w:t>
      </w:r>
      <w:r>
        <w:t>. Pero en el relato del origen del mal, la que despierta al Espíritu maligno es una mujer demoníaca, Jeh (Bundahishn 3:4-8).</w:t>
      </w:r>
    </w:p>
    <w:p>
      <w:pPr>
        <w:pStyle w:val="ListBullet"/>
      </w:pPr>
      <w:r>
        <w:rPr>
          <w:b/>
        </w:rPr>
        <w:t>El Norte de Europa:</w:t>
      </w:r>
      <w:r>
        <w:t xml:space="preserve"> Ask y Embla, la primera pareja, se encuentran juntos, «vacíos de fuerza», y reciben los mismos cuatro dones</w:t>
      </w:r>
      <w:r>
        <w:t xml:space="preserve"> [original: «Ask and Embla, empty of might», en la traducción de Bellows]</w:t>
      </w:r>
      <w:r>
        <w:t xml:space="preserve"> (Edda, Völuspá 17-18)</w:t>
      </w:r>
      <w:r>
        <w:t>. La estrofa no dice cuál es el varón; lo añade Snorri en el siglo XIII.</w:t>
      </w:r>
    </w:p>
    <w:p>
      <w:pPr>
        <w:pStyle w:val="ListBullet"/>
      </w:pPr>
      <w:r>
        <w:rPr>
          <w:b/>
        </w:rPr>
        <w:t>Mesopotamia:</w:t>
      </w:r>
      <w:r>
        <w:t xml:space="preserve"> la diosa pellizca catorce trozos de la misma arcilla, siete a cada lado: «siete muchachos formados, siete muchachas formadas»</w:t>
      </w:r>
      <w:r>
        <w:t xml:space="preserve"> [original: «seven formed boys. [10] Seven formed girls», en la traducción de Clay (1922; con errores reconocidos; fuente secundaria)]</w:t>
      </w:r>
      <w:r>
        <w:t xml:space="preserve"> (Atrahasis, columna IV)</w:t>
      </w:r>
      <w:r>
        <w:t>.</w:t>
      </w:r>
    </w:p>
    <w:p>
      <w:pPr>
        <w:pStyle w:val="ListBullet"/>
      </w:pPr>
      <w:r>
        <w:rPr>
          <w:b/>
        </w:rPr>
        <w:t>Pablo:</w:t>
      </w:r>
      <w:r>
        <w:t xml:space="preserve"> «no hay varón, ni hembra: porque todos vosotros sois uno en Cristo Jesús»</w:t>
      </w:r>
      <w:r>
        <w:t xml:space="preserve"> (Gál 3:28)</w:t>
      </w:r>
      <w:r>
        <w:t>.</w:t>
      </w:r>
    </w:p>
    <w:p>
      <w:pPr>
        <w:pStyle w:val="ListBullet"/>
      </w:pPr>
      <w:r>
        <w:rPr>
          <w:b/>
        </w:rPr>
        <w:t>China:</w:t>
      </w:r>
      <w:r>
        <w:t xml:space="preserve"> «El Tao produjo el Uno; el Uno produjo el Dos; el Dos produjo el Tres»</w:t>
      </w:r>
      <w:r>
        <w:t xml:space="preserve"> [original: «The Tâo produced One; One produced Two; Two produced Three», en la traducción de Legge]</w:t>
      </w:r>
      <w:r>
        <w:t xml:space="preserve"> (Daodejing 42)</w:t>
      </w:r>
      <w:r>
        <w:t>. No habla de varón ni de mujer; es la imagen del Uno que se desdobla.</w:t>
      </w:r>
    </w:p>
    <w:p>
      <w:pPr>
        <w:pStyle w:val="ListBullet"/>
      </w:pPr>
      <w:r>
        <w:rPr>
          <w:b/>
        </w:rPr>
        <w:t>Japón:</w:t>
      </w:r>
      <w:r>
        <w:t xml:space="preserve"> al encontrarse la pareja divina, la diosa habló primero; el dios protestó: «Soy un hombre y por derecho debería haber hablado primero», y repitieron el encuentro</w:t>
      </w:r>
      <w:r>
        <w:t xml:space="preserve"> [original: «I am a man, and by right should have spoken first», en la traducción de Aston]</w:t>
      </w:r>
      <w:r>
        <w:t xml:space="preserve"> (Nihongi, libro I)</w:t>
      </w:r>
      <w:r>
        <w:t>.</w:t>
      </w:r>
    </w:p>
    <w:p>
      <w:pPr>
        <w:pStyle w:val="ListBullet"/>
      </w:pPr>
      <w:r>
        <w:rPr>
          <w:b/>
        </w:rPr>
        <w:t>Los iroqueses:</w:t>
      </w:r>
      <w:r>
        <w:t xml:space="preserve"> al revés, la primera humana es la Mujer del Cielo, que precede a todo varón y da a luz una hija</w:t>
      </w:r>
      <w:r>
        <w:t xml:space="preserve"> [original: «Sky woman. Falls through hole made by uprooted sky-tree and brings a promised child with her», en la edición de Parker]</w:t>
      </w:r>
      <w:r>
        <w:t xml:space="preserve"> (Parker, Seneca Myths and Folk Tales, 1923)</w:t>
      </w:r>
      <w:r>
        <w:t>.</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 </w:t>
      </w:r>
      <w:r>
        <w:t>[palabras de Kiko, 9-oct-2026]</w:t>
      </w:r>
    </w:p>
    <w:p>
      <w:r>
        <w:t>[creación del hombre y de la mujer en 19 tradiciones: índice del agente de fuentes (07, 9-oct), pasajes leídos en sus archivos; borrador B2, 9-oct; 04p fila 12]</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t>[08.00-0.1, sin el nombre del grupo]</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t>. También protege «la vida y [...] la integridad física y moral»</w:t>
      </w:r>
      <w:r>
        <w:t xml:space="preserve"> (Constitución, art. 15)</w:t>
      </w:r>
      <w:r>
        <w:t>.</w:t>
      </w:r>
    </w:p>
    <w:p>
      <w:r>
        <w:t>[08.00-1.1 y 7.2; Constitución leída en el BOE]</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[original: «Aufklärung ist der Ausgang des Menschen aus seiner selbstverschuldeten Unmündigkeit. Unmündigkeit ist das Unvermögen, sich seines Verstandes ohne Leitung eines anderen zu bedienen»]</w:t>
      </w:r>
      <w:r>
        <w:t xml:space="preserve"> (Kant, ¿Qué es la Ilustración?, 1784)</w:t>
      </w:r>
      <w:r>
        <w:t xml:space="preserve">. Y su lema: </w:t>
      </w:r>
      <w:r>
        <w:rPr>
          <w:i/>
        </w:rPr>
        <w:t>Sapere aude!</w:t>
      </w:r>
      <w:r>
        <w:t>, «¡atrévete a saber! ¡Ten valor para servirte de tu propio entendimiento!»</w:t>
      </w:r>
      <w:r>
        <w:t xml:space="preserve"> [original: «Habe Muth dich deines eigenen Verstandes zu bedienen!»]</w:t>
      </w:r>
      <w:r>
        <w:t>.</w:t>
      </w:r>
    </w:p>
    <w:p>
      <w:r>
        <w:t>[08.00-2.1 y 2.2; Kant leído en alemán, edición de la Academia, VIII, 35]</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t>.</w:t>
      </w:r>
    </w:p>
    <w:p>
      <w:pPr>
        <w:pStyle w:val="ListBullet"/>
      </w:pPr>
      <w:r>
        <w:t>Pablo: los que no tienen ley muestran «la obra de la ley escrita en sus corazones, dando testimonio juntamente sus conciencias»</w:t>
      </w:r>
      <w:r>
        <w:t xml:space="preserve"> (Rm 2:15)</w:t>
      </w:r>
      <w:r>
        <w:t>.</w:t>
      </w:r>
    </w:p>
    <w:p>
      <w:pPr>
        <w:pStyle w:val="ListBullet"/>
      </w:pPr>
      <w:r>
        <w:t>El Corán: «¡Por el alma y Quien le ha dado forma armoniosa, instruyéndole sobre su propensión al pecado y su temor de Dios!»</w:t>
      </w:r>
      <w:r>
        <w:t xml:space="preserve"> (Corán 91:7-8, traducción de Julio Cortés)</w:t>
      </w:r>
      <w:r>
        <w:t>.</w:t>
      </w:r>
    </w:p>
    <w:p>
      <w:pPr>
        <w:pStyle w:val="ListBullet"/>
      </w:pPr>
      <w:r>
        <w:t>Mencio: todo ser humano tiene el brote del sentido de lo justo (</w:t>
      </w:r>
      <w:r>
        <w:t>1.4</w:t>
      </w:r>
      <w:r>
        <w:t>).</w:t>
      </w:r>
    </w:p>
    <w:p>
      <w:pPr>
        <w:pStyle w:val="ListBullet"/>
      </w:pPr>
      <w:r>
        <w:t>Y el discernimiento se forma con la práctica: es de «los que por la costumbre tienen los sentidos ejercitados en el discernimiento del bien y del mal» (Heb 5:14).</w:t>
      </w:r>
    </w:p>
    <w:p>
      <w:r>
        <w:t>[00.00-2.18; Reina-Valera Antigua y Corán de Cortés, leídos el 5-oct]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[original: «Im Reiche der Zwecke hat alles entweder einen Preis, oder eine Würde»]</w:t>
      </w:r>
      <w:r>
        <w:t xml:space="preserve"> (Kant, Fundamentación de la metafísica de las costumbres, 1785)</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[original: «Handle so, daß du die Menschheit sowohl in deiner Person, als in der Person eines jeden andern jederzeit zugleich als Zweck, niemals bloß als Mittel brauchst»]</w:t>
      </w:r>
      <w:r>
        <w:t xml:space="preserve"> (misma obra)</w:t>
      </w:r>
      <w:r>
        <w:t>. Es la idea de 2.2: la dignidad no se concede, se reconoce.</w:t>
      </w:r>
    </w:p>
    <w:p>
      <w:r>
        <w:t>[08.00-3.1 y 3.2; Kant leído en alemán, edición de la Academia, IV, 429 y 434]</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t>. Si alguien dice una cosa y hace otra, el pacto se rompe solo, sin tribunal ni castigo. Coherencia es pensar, decir, sentir y hacer en la misma dirección.</w:t>
      </w:r>
    </w:p>
    <w:p>
      <w:r>
        <w:t>[08.00-4.1 y 5.1, corregido: la pieza decía «Por sus actos los conoceréis», y el versículo dice «Por sus frutos»]</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t>[08.00-7.6 y 7.7]</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t>. Quien quiera dar ese paso necesita asesoramiento profesional.</w:t>
      </w:r>
    </w:p>
    <w:p>
      <w:r>
        <w:t>[08.00-6.1 y 7.5]</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[original: «οὗτος μὲν οἴεταί τι εἰδέναι οὐκ εἰδώς, ἐγὼ δέ, ὥσπερ οὖν οὐκ οἶδα, οὐδὲ οἴομαι»]</w:t>
      </w:r>
      <w:r>
        <w:t xml:space="preserve"> (Platón, Apología 21d)</w:t>
      </w:r>
      <w:r>
        <w:t>. Es lo que se resume en «solo sé que no sé nada».</w:t>
      </w:r>
    </w:p>
    <w:p>
      <w:pPr>
        <w:pStyle w:val="ListBullet"/>
      </w:pPr>
      <w:r>
        <w:rPr>
          <w:b/>
        </w:rPr>
        <w:t>Confucio:</w:t>
      </w:r>
      <w:r>
        <w:t xml:space="preserve"> «saber lo que se sabe, y saber que no se sabe lo que no se sabe: eso es saber»</w:t>
      </w:r>
      <w:r>
        <w:t xml:space="preserve"> [original: «知之爲知之，不知爲不知，是知也»]</w:t>
      </w:r>
      <w:r>
        <w:t xml:space="preserve"> (Analectas 2.17)</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t>.</w:t>
      </w:r>
    </w:p>
    <w:p>
      <w:pPr>
        <w:pStyle w:val="ListBullet"/>
      </w:pPr>
      <w:r>
        <w:rPr>
          <w:b/>
        </w:rPr>
        <w:t>Laozi:</w:t>
      </w:r>
      <w:r>
        <w:t xml:space="preserve"> «知不知上，不知知病» (saber que no se sabe es lo más alto; no saber que no se sabe es una enfermedad; Daodejing 71).</w:t>
      </w:r>
    </w:p>
    <w:p>
      <w:pPr>
        <w:pStyle w:val="ListBullet"/>
      </w:pPr>
      <w:r>
        <w:rPr>
          <w:b/>
        </w:rPr>
        <w:t>Los Pirkei Avot:</w:t>
      </w:r>
      <w:r>
        <w:t xml:space="preserve"> «אֵיזֶהוּ חָכָם, הַלּוֹמֵד מִכָּל אָדָם» (¿quién es sabio? El que aprende de toda persona; 4:1, palabras de Ben Zoma).</w:t>
      </w:r>
    </w:p>
    <w:p>
      <w:pPr>
        <w:pStyle w:val="ListBullet"/>
      </w:pPr>
      <w:r>
        <w:rPr>
          <w:b/>
        </w:rPr>
        <w:t>El islam:</w:t>
      </w:r>
      <w:r>
        <w:t xml:space="preserve"> «وَمَا تَوَاضَعَ أَحَدٌ لِلَّهِ إِلاَّ رَفَعَهُ اللَّهُ» (nadie se humilla ante Dios sin que Dios lo eleve; Sahih Muslim 2588; fuente secundaria: copia de datos de la colección, pendiente de cotejar con la edición impresa).</w:t>
      </w:r>
    </w:p>
    <w:p>
      <w:pPr>
        <w:pStyle w:val="ListBullet"/>
      </w:pPr>
      <w:r>
        <w:rPr>
          <w:b/>
        </w:rPr>
        <w:t>Y Job,</w:t>
      </w:r>
      <w:r>
        <w:t xml:space="preserve"> tras la mayor revelación de su libro, no se declara justo: «De oídas te había oído; Mas ahora mis ojos te ven. Por tanto me aborrezco, y me arrepiento En el polvo y en la ceniza» (Job 42:5-6).</w:t>
      </w:r>
    </w:p>
    <w:p>
      <w:r>
        <w:t>[00.00-3.1 a 3.8, corregido: Mateo y Job con el texto literal de la Reina-Valera; todos leídos en su original]</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[original: «ὁ μὲν αὐτῷ καλός τε καὶ ἀγαθὸς [...], ὁ δ᾽ ἐξ ἐναντίων τε καὶ ἐναντίος»; «χαλεπὴ δὴ καὶ δύσκολος»]</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[original: «人之性惡，其善者僞也»]</w:t>
      </w:r>
      <w:r>
        <w:t xml:space="preserve"> (Xunzi 23)</w:t>
      </w:r>
      <w:r>
        <w:t>.</w:t>
      </w:r>
    </w:p>
    <w:p>
      <w:pPr>
        <w:pStyle w:val="ListBullet"/>
      </w:pPr>
      <w:r>
        <w:t>Y además: «Miserable hombre de mí!» (Rm 7:24, así en la Reina-Valera); «¿Por qué me llamas bueno? Ninguno es bueno sino uno, es á saber, Dios» (Mt 19:17); y el desacuerdo de Agustín y Pelagio en la cristiandad, el mismo que el de Mencio y Xunzi: para Agustín, la naturaleza con la que nacemos «ya necesita médico, porque no está sana» (iam medico indiget, quia sana non est); Pelagio respondía: «yo digo que el hombre puede estar sin pecado» (Ego dico posse esse hominem sine peccato; De natura et gratia 3 y 7).</w:t>
      </w:r>
    </w:p>
    <w:p>
      <w:pPr>
        <w:pStyle w:val="ListBullet"/>
      </w:pPr>
      <w:r>
        <w:t>Y un testimonio moderno: Aleksandr Solzhenitsyn, que sobrevivió a los campos soviéticos, escribió que «la línea que separa el bien del mal no pasa entre Estados, ni entre clases, ni entre partidos: pasa por cada corazón humano, y por todos los corazones humanos»; que incluso en un corazón abrazado por el mal «se mantiene una pequeña cabeza de puente del bien», y en el más bueno, «un rincón de mal sin arrancar» (линия, разделяющая добро и зло, проходит не между государствами, не между классами, не между партиями, — она проходит через каждое человеческое сердце; Archipiélago Gulag, parte IV, cap. 1).</w:t>
      </w:r>
    </w:p>
    <w:p>
      <w:r>
        <w:t>[00.00-4.1 a 4.6, corregido: Romanos y Mateo con el texto literal de la Reina-Valera; Platón, Xunzi, Agustín (latín) y Solzhenitsyn (ruso) leídos en el original]</w:t>
      </w:r>
    </w:p>
    <w:p>
      <w:r>
        <w:t xml:space="preserve">Lo que pasa cuando un poder deja de sentirse aprendiz, y deja de corregirse, se verá en </w:t>
      </w:r>
      <w:r>
        <w:t>6.2</w:t>
      </w:r>
      <w:r>
        <w:t>.</w:t>
      </w:r>
    </w:p>
    <w:p>
      <w:r>
        <w:t>[00.00-3.9 y 4.9]</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t>[glosario 9.2]</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xml:space="preserve"> [original: «they had never been schooled by trial»]</w:t>
      </w:r>
      <w:r>
        <w:t>; en cambio, las que venían de la tierra, «habiendo sufrido ellas mismas y visto sufrir a otros, no se precipitaban al elegir»</w:t>
      </w:r>
      <w:r>
        <w:t xml:space="preserve"> [original: «having themselves suffered and seen others suffer, were not in a hurry to choose»]</w:t>
      </w:r>
      <w:r>
        <w:t xml:space="preserve"> (República X, 619c-d, traducción inglesa de Jowett)</w:t>
      </w:r>
      <w:r>
        <w:t>. El límite: que la dificultad enseñe no justifica a quien la causa. El daño al prójimo se sigue midiendo con la vara (</w:t>
      </w:r>
      <w:r>
        <w:t>0.5</w:t>
      </w:r>
      <w:r>
        <w:t>).</w:t>
      </w:r>
    </w:p>
    <w:p>
      <w:r>
        <w:t>[glosario 9.2]</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t>Los textos:</w:t>
      </w:r>
    </w:p>
    <w:p>
      <w:pPr>
        <w:pStyle w:val="ListBullet"/>
      </w:pPr>
      <w:r>
        <w:t>«Yo Jehová, que escudriño el corazón, que pruebo los riñones, para dar á cada uno según su camino, según el fruto de sus obras» (Jer 17:10);</w:t>
      </w:r>
    </w:p>
    <w:p>
      <w:pPr>
        <w:pStyle w:val="ListBullet"/>
      </w:pPr>
      <w:r>
        <w:t>el día del juicio «no aprovechen hacienda ni hijos varones, excepto a quien vaya a Alá con corazón sano» (Corán 26:88-89);</w:t>
      </w:r>
    </w:p>
    <w:p>
      <w:pPr>
        <w:pStyle w:val="ListBullet"/>
      </w:pPr>
      <w:r>
        <w:t>«yaṁ yaṁ vāpi smaran bhāvaṁ tyajaty ante kalevaram / taṁ tam evaiti» (el estado del ser que uno recuerda al dejar el cuerpo, ese mismo alcanza; Bhagavad Gita 8.6);</w:t>
      </w:r>
    </w:p>
    <w:p>
      <w:pPr>
        <w:pStyle w:val="ListBullet"/>
      </w:pPr>
      <w:r>
        <w:t>«aneka-janma-saṁsiddhas tato yāti parāṁ gatim» (perfeccionado a lo largo de muchos nacimientos, alcanza entonces la meta suprema; Gita 6.45).</w:t>
      </w:r>
    </w:p>
    <w:p>
      <w:r>
        <w:t>[glosario 9.2.1, leído en su fuente el 5-oct; Jeremías, en la Reina-Valera]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[original: «discern between good and evil, and so to choose always and everywhere the better life»]</w:t>
      </w:r>
      <w:r>
        <w:t xml:space="preserve"> (Platón, República X, 618c)</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t>[glosario 9.2; 00.00-4.8]</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t>. Con la condición del propio texto: «Dejad crecer juntamente lo uno y lo otro hasta la siega»</w:t>
      </w:r>
      <w:r>
        <w:t xml:space="preserve"> (Mt 13:30)</w:t>
      </w:r>
      <w:r>
        <w:t>, y «la siega es el fin del mundo, y los segadores son los ángeles»</w:t>
      </w:r>
      <w:r>
        <w:t xml:space="preserve"> (Mt 13:39)</w:t>
      </w:r>
      <w:r>
        <w:t>. Por eso la obra no arranca a nadie: discierne caso a caso, con pruebas, y la siega final no es nuestra. Que «ha llegado este tiempo» es lectura del autor: es el tiempo del desvelamiento y del discernimiento, no de la siega.</w:t>
      </w:r>
    </w:p>
    <w:p>
      <w:r>
        <w:t>[00.00-2.20; glosario 9.2; Reina-Valera Antigua]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t>.</w:t>
      </w:r>
    </w:p>
    <w:p>
      <w:r>
        <w:t>Proverbios lo dice así: «No tienen en poco al ladrón, cuando hurtare Para saciar su alma teniendo hambre: Empero tomado, paga las setenas» (Pr 6:30-31).</w:t>
      </w:r>
    </w:p>
    <w:p>
      <w:r>
        <w:t>[00.00-2.21, corregido: Proverbios con el texto literal; Código Civil y Código Penal leídos en el BOE]</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t>[09.00-0.1]</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t>[09.00-6.1]</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t>. No se ha encontrado ninguna sentencia española que nombre estas teorías por su nombre.</w:t>
      </w:r>
    </w:p>
    <w:p>
      <w:r>
        <w:t>[09.00-5.1 y 5.2; Código Penal leído en el BOE]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t>[09.00-6.1]</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t>. No invita a desobedecer. Su vía es la constancia escrita, la petición documentada y el juicio popular de la verdad, que juzga instituciones, no personas (</w:t>
      </w:r>
      <w:r>
        <w:t>0.2</w:t>
      </w:r>
      <w:r>
        <w:t>).</w:t>
      </w:r>
    </w:p>
    <w:p>
      <w:r>
        <w:t>[libro de estilo §4; 09.00-7.9]</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r>
        <w:t>[03.00-30.2; Constitución leída en el BOE]</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r>
        <w:t>[03.00-34.4 y 34.5]</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r>
        <w:t>[03.00-34.6 y 34.7]</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r>
        <w:t>[08.00-7.2 y 7.3]</w:t>
      </w:r>
    </w:p>
    <w:p>
      <w:pPr>
        <w:pStyle w:val="ListBullet"/>
      </w:pPr>
      <w:r>
        <w:rPr>
          <w:b/>
        </w:rPr>
        <w:t>«Soberanos somos todos» no exime de la ley</w:t>
      </w:r>
      <w:r>
        <w:t xml:space="preserve"> ni da autoridad frente a nadie</w:t>
      </w:r>
      <w:r>
        <w:t xml:space="preserve"> (Constitución, art. 9.1)</w:t>
      </w:r>
      <w:r>
        <w:t xml:space="preserve">. </w:t>
      </w:r>
      <w:r>
        <w:t>[00.00-1.3]</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r>
        <w:t>[08.00-7.4 y 7.5]</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r>
        <w:t>[09.00-7.2, 7.3, 7.8 y 7.9]</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[clasificación de las defensas, aprobada; glosario 8.13]</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