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jc w:val="center"/>
      </w:pPr>
      <w:r>
        <w:rPr>
          <w:rFonts w:ascii="Georgia" w:hAnsi="Georgia" w:eastAsia="Georgia" w:cs="Georgia"/>
          <w:b/>
          <w:color w:val="1F1D1A"/>
          <w:sz w:val="60"/>
        </w:rPr>
        <w:t>Apocalipsis del Sistema</w:t>
      </w:r>
    </w:p>
    <w:p>
      <w:pPr>
        <w:spacing w:after="80"/>
        <w:jc w:val="center"/>
      </w:pPr>
      <w:r>
        <w:rPr>
          <w:rFonts w:ascii="Segoe UI" w:hAnsi="Segoe UI" w:eastAsia="Segoe UI" w:cs="Segoe UI"/>
          <w:b w:val="0"/>
          <w:color w:val="1F1D1A"/>
          <w:sz w:val="28"/>
        </w:rPr>
        <w:t>Edición de lectura</w:t>
      </w:r>
    </w:p>
    <w:p>
      <w:pPr>
        <w:spacing w:after="80"/>
        <w:jc w:val="center"/>
      </w:pPr>
      <w:r>
        <w:rPr>
          <w:rFonts w:ascii="Segoe UI" w:hAnsi="Segoe UI" w:eastAsia="Segoe UI" w:cs="Segoe UI"/>
          <w:b w:val="0"/>
          <w:color w:val="6B665E"/>
          <w:sz w:val="24"/>
        </w:rPr>
        <w:t>Kiko Orozco Rocamora</w:t>
      </w:r>
    </w:p>
    <w:p>
      <w:pPr>
        <w:spacing w:after="80"/>
        <w:jc w:val="center"/>
      </w:pPr>
      <w:r>
        <w:rPr>
          <w:rFonts w:ascii="Segoe UI" w:hAnsi="Segoe UI" w:eastAsia="Segoe UI" w:cs="Segoe UI"/>
          <w:b/>
          <w:color w:val="6B665E"/>
          <w:sz w:val="24"/>
        </w:rPr>
        <w:t>La obra entera: completo</w:t>
      </w:r>
    </w:p>
    <w:p>
      <w:pPr>
        <w:spacing w:after="80"/>
        <w:jc w:val="center"/>
      </w:pPr>
      <w:r>
        <w:rPr>
          <w:rFonts w:ascii="Segoe UI" w:hAnsi="Segoe UI" w:eastAsia="Segoe UI" w:cs="Segoe UI"/>
          <w:b w:val="0"/>
          <w:color w:val="6B665E"/>
          <w:sz w:val="18"/>
        </w:rPr>
        <w:t>Versión del 13 de octubre de 2026 · huella SHA-256 de los textos 2a4fcfc34e05630b…</w:t>
      </w:r>
    </w:p>
    <w:p>
      <w:pPr>
        <w:spacing w:before="360"/>
        <w:jc w:val="center"/>
      </w:pPr>
      <w:r>
        <w:rPr>
          <w:rFonts w:ascii="Georgia" w:hAnsi="Georgia" w:eastAsia="Georgia" w:cs="Georgia"/>
          <w:b w:val="0"/>
          <w:i/>
          <w:color w:val="6B665E"/>
          <w:sz w:val="22"/>
        </w:rPr>
        <w:t>«Esta obra no pide fe, la somete a examen».</w:t>
      </w:r>
    </w:p>
    <w:p>
      <w:r>
        <w:br w:type="page"/>
      </w:r>
    </w:p>
    <w:p>
      <w:pPr>
        <w:pStyle w:val="Heading1"/>
      </w:pPr>
      <w:r>
        <w:t>Contenido</w:t>
      </w:r>
    </w:p>
    <w:p>
      <w:pPr>
        <w:spacing w:after="40"/>
      </w:pPr>
      <w:r>
        <w:t>Agradecimientos del autor</w:t>
      </w:r>
    </w:p>
    <w:p>
      <w:pPr>
        <w:spacing w:after="40"/>
      </w:pPr>
      <w:r>
        <w:t>0 Propósito, y cómo se lee esta obra</w:t>
      </w:r>
    </w:p>
    <w:p>
      <w:pPr>
        <w:spacing w:after="40"/>
      </w:pPr>
      <w:r>
        <w:t>1 El orden de las leyes</w:t>
      </w:r>
    </w:p>
    <w:p>
      <w:pPr>
        <w:spacing w:after="40"/>
      </w:pPr>
      <w:r>
        <w:t>2 La persona y los derechos que preceden al Estado</w:t>
      </w:r>
    </w:p>
    <w:p>
      <w:pPr>
        <w:spacing w:after="40"/>
      </w:pPr>
      <w:r>
        <w:t>3 Lo que todas las tradiciones guardaron: el Arca</w:t>
      </w:r>
    </w:p>
    <w:p>
      <w:pPr>
        <w:spacing w:after="40"/>
      </w:pPr>
      <w:r>
        <w:t>4 Discernir: el mal sin cuerpo</w:t>
      </w:r>
    </w:p>
    <w:p>
      <w:pPr>
        <w:spacing w:after="40"/>
      </w:pPr>
      <w:r>
        <w:t>5 Lo que se da por supuesto</w:t>
      </w:r>
    </w:p>
    <w:p>
      <w:pPr>
        <w:spacing w:after="40"/>
      </w:pPr>
      <w:r>
        <w:t>6 Cómo se construyó el Estado</w:t>
      </w:r>
    </w:p>
    <w:p>
      <w:pPr>
        <w:spacing w:after="40"/>
      </w:pPr>
      <w:r>
        <w:t>7 La auditoría: la Constitución frente a los hechos</w:t>
      </w:r>
    </w:p>
    <w:p>
      <w:pPr>
        <w:spacing w:after="40"/>
      </w:pPr>
      <w:r>
        <w:t>8 Los frutos</w:t>
      </w:r>
    </w:p>
    <w:p>
      <w:pPr>
        <w:spacing w:after="40"/>
      </w:pPr>
      <w:r>
        <w:t>9 El dictamen</w:t>
      </w:r>
    </w:p>
    <w:p>
      <w:pPr>
        <w:spacing w:after="40"/>
      </w:pPr>
      <w:r>
        <w:t>10 Las puertas</w:t>
      </w:r>
    </w:p>
    <w:p>
      <w:pPr>
        <w:spacing w:after="40"/>
      </w:pPr>
      <w:r>
        <w:t>11 El juicio popular de la verdad</w:t>
      </w:r>
    </w:p>
    <w:p>
      <w:pPr>
        <w:spacing w:after="40"/>
      </w:pPr>
      <w:r>
        <w:t>Anexo A. La auditoría completa de la Constitución: los 169 artículos</w:t>
      </w:r>
    </w:p>
    <w:p>
      <w:pPr>
        <w:spacing w:after="40"/>
      </w:pPr>
      <w:r>
        <w:t>Anexo B. La carga fiscal en detalle</w:t>
      </w:r>
    </w:p>
    <w:p>
      <w:pPr>
        <w:spacing w:after="40"/>
      </w:pPr>
      <w:r>
        <w:t>Anexo C. Lo que cuesta el Estado: el anexo de datos</w:t>
      </w:r>
    </w:p>
    <w:p>
      <w:pPr>
        <w:spacing w:after="40"/>
      </w:pPr>
      <w:r>
        <w:t>Anexo D. El botiquín: los doce modelos de escrito</w:t>
      </w:r>
    </w:p>
    <w:p>
      <w:pPr>
        <w:spacing w:after="40"/>
      </w:pPr>
      <w:r>
        <w:t>Anexo E. Lo que se afirma sin documento</w:t>
      </w:r>
    </w:p>
    <w:p>
      <w:pPr>
        <w:spacing w:after="40"/>
      </w:pPr>
      <w:r>
        <w:t>Anexo F. El Arca: los textos de cada tradición, con su fuente</w:t>
      </w:r>
    </w:p>
    <w:p>
      <w:pPr>
        <w:spacing w:after="40"/>
      </w:pPr>
      <w:r>
        <w:t>Anexo G. Cómo se hizo esta obra, para repetirla en otro país</w:t>
      </w:r>
    </w:p>
    <w:p>
      <w:pPr>
        <w:spacing w:after="40"/>
      </w:pPr>
      <w:r>
        <w:t>Anexo H. El glosario</w:t>
      </w:r>
    </w:p>
    <w:p>
      <w:pPr>
        <w:spacing w:after="40"/>
      </w:pPr>
      <w:r>
        <w:t>Anexo I. Las fuentes</w:t>
      </w:r>
    </w:p>
    <w:p>
      <w:pPr>
        <w:spacing w:after="40"/>
      </w:pPr>
      <w:r>
        <w:t>Anexo J. La balanza equilibrada: lo que habría sido de ajustarse a lo recibido</w:t>
      </w:r>
    </w:p>
    <w:p>
      <w:r>
        <w:br w:type="page"/>
      </w:r>
    </w:p>
    <w:p>
      <w:pPr>
        <w:pStyle w:val="Heading1"/>
      </w:pPr>
      <w:r>
        <w:t>Agradecimientos del autor</w:t>
      </w:r>
    </w:p>
    <w:p>
      <w:pPr>
        <w:spacing w:after="200"/>
      </w:pPr>
      <w:r>
        <w:rPr>
          <w:rFonts w:ascii="Segoe UI" w:hAnsi="Segoe UI" w:eastAsia="Segoe UI" w:cs="Segoe UI"/>
          <w:color w:val="6B665E"/>
          <w:sz w:val="17"/>
        </w:rPr>
        <w:t>Primera versión: 5 de octubre de 2026 · Última revisión: 5 de octubre de 2026</w:t>
      </w:r>
    </w:p>
    <w:p>
      <w:pPr>
        <w:keepNext/>
      </w:pPr>
      <w:r>
        <w:rPr>
          <w:rFonts w:ascii="Segoe UI" w:hAnsi="Segoe UI" w:eastAsia="Segoe UI" w:cs="Segoe UI"/>
          <w:b/>
          <w:color w:val="6B665E"/>
          <w:sz w:val="20"/>
        </w:rPr>
        <w:t>Notas de trabajo (estado y trazabilidad)</w:t>
      </w:r>
    </w:p>
    <w:p>
      <w:r>
        <w:t>ESTADO: APROBADO por Kiko el 5-oct-2026 («sí a las tres»). Cambio de Kiko, el mismo día: «los verdaderos guardianes» pasa a «unos guardianes fieles», «para que sea más inclusivo». Origen: palabras de Kiko del 5-oct-2026 (libreta 72, punto 101; tabla 06, #192). Es testimonio del autor, no dato: va firmado por él, fuera de la numeración, antes del capítulo 0. Los hechos que menciona están leídos en su fuente en el apartado 0.1 (Iglesia ortodoxa Tewahedo de Etiopía, ethiopianorthodox.org; Ethiopian Heritage Fund) [A].</w:t>
      </w:r>
    </w:p>
    <w:p>
      <w:r>
        <w:t>Doy las gracias, de todo corazón, a la Iglesia ortodoxa Tewahedo de Etiopía. Para mí, son unos guardianes fieles del cristianismo: así los veo y así los reconozco. Gracias a ellos se conservan enteros el Libro de Enoc y el de los Jubileos, que solo han llegado completos en su lengua, el ge'ez, y los Evangelios de Garima, escritos hace unos mil quinientos años (</w:t>
      </w:r>
      <w:r>
        <w:t>0.1</w:t>
      </w:r>
      <w:r>
        <w:t>).</w:t>
      </w:r>
    </w:p>
    <w:p>
      <w:r>
        <w:t>Doy las gracias también a todos los que, a lo largo de toda la historia y en todas las religiones, han custodiado con dignidad la palabra de Dios. Cada uno ha conservado una pieza del rompecabezas. Y gracias a Jesús, a su palabra y al resto de los custodios de todas las religiones, se ha podido recuperar.</w:t>
      </w:r>
    </w:p>
    <w:p>
      <w:r>
        <w:t>Y un agradecimiento muy, pero que muy especial, a todos los custodios. Reconozco su gran sacrificio. En especial, a quienes han custodiado el arca de la alianza.</w:t>
      </w:r>
    </w:p>
    <w:p>
      <w:r>
        <w:t>Kiko Orozco Rocamora</w:t>
      </w:r>
    </w:p>
    <w:p>
      <w:r>
        <w:t>[palabras del autor, 5-oct-2026; los hechos, en 0.1]</w:t>
      </w:r>
    </w:p>
    <w:p>
      <w:r>
        <w:br w:type="page"/>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keepNext/>
      </w:pPr>
      <w:r>
        <w:rPr>
          <w:rFonts w:ascii="Segoe UI" w:hAnsi="Segoe UI" w:eastAsia="Segoe UI" w:cs="Segoe UI"/>
          <w:b/>
          <w:color w:val="6B665E"/>
          <w:sz w:val="20"/>
        </w:rPr>
        <w:t>Notas de trabajo (estado y trazabilidad)</w:t>
      </w:r>
    </w:p>
    <w:p>
      <w:r>
        <w:t>Cambio del 12-oct-2026 (Kiko, chat de 08.26, 16:4x, pasado por 08.26 tal cual: «Este punto se tiene que presentar exactamente cómo los daños colaterales de un sistema, basado contra natura. Y aquí vemos los daños colaterales de la naturaleza.»; filas 600 y 604 de 08/01; el sitio, decidido por 08.26; borrador B20 bis de 10.34, b74d1fd): en 0.2, al principio de la «Lectura del autor» que va detrás de la conclusión, una frase con sus palabras: «lo que se pierde en el planeta son los daños colaterales de un sistema basado contra natura (5.2): aquí vemos los daños colaterales de la naturaleza.»; «por eso» pasa a «Por eso», porque ahora abre frase; y su remisión en la trazabilidad del párrafo. La conclusión y sus datos no cambian. Sin dato ni cita nuevos. Ninguna otra palabra cambia. Cambio del 12-oct-2026 (Kiko, chat de 08.26, pasado por 08.26 tal cual a la pregunta del B20: «SI»; fila 599 de 08/01; la decisión de fondo, fila 522: «añadir estado en cada una y si existe algun tipo de deterioro contaminacion etc... [...] con el matiz concuerdo»; borrador B20 de 10.33, verificado por 08.25, fila 591): en 0.2, la «Conclusión, lo que arrojan los datos» pasa a dos puntos: «El sistema», con su frase sin cambiar una palabra, y «El planeta», una línea por cosa (la vida silvestre, los bosques, el mar, el aire, el agua, el suelo, lo que se recupera y la natalidad, que remite a 8.8), cada cifra con lo que mide, sus años y su fuente leída, y al final «estas cifras miden el estado, no quién lo causa»; debajo, un {breve} y, solo en el nivel completo, la tabla de 25 filas (lo que se pierde, lo que se gana, el estado y el deterioro), con su línea de fuente. Leído hoy en su original: los diecisiete documentos del lote frutos_del_planeta_12oct de 10 FUENTES LEIDAS (comprobar_B20.py, 66 de 66 frases y 3 cálculos). Sin cita literal nueva. Ninguna otra palabra cambia. Cambio del 12-oct-2026 (Kiko, chat de 08.21, 11:0x, pasado por 08.21 tal cual, a «¿Entran así la pesa en 0.5 y la tabla de J.8?»: «si concuerdo»; la pesa calibrada, a las 10:5x: «concuerdo» y «si concuerdo»; parlamento de la balanza, 08/22, apartados 10 y 11): en 0.5, «La idea» lleva detrás la frase de la pesa que eligió Kiko («La pesa: ¿roca o arena? Y, por sus frutos, ¿sirve más allá de sí, se sirve, o no cuida ni cumple? Vale para quien pesa»), con «(lectura del autor)» al final; y en el cuerpo, detrás de «La vara» y antes de «La convergencia», dos bloques (borrador B17): «La balanza» (la vara, la pesa justa, el centro y el dial, un solo instrumento con cuatro nombres, con remisión a J) y «Lectura del autor: la pesa» (las palabras del autor tal cual y lo que significan en este libro; 0.4 no cambia). Sin dato ni cita nueva. Ninguna otra palabra cambia. Cambio del 12-oct-2026 (Kiko, chat de 08.19, 08:5x, pasado por 08.19 tal cual, a «¿entran así los tres textos, el de 0.2, el llamamiento y estas líneas de cierre?»: «si entran»; parlamento del hilo de la poda, 08/20, con la forma que Kiko decidió a las 08:0x): en 0.2, detrás de «Adónde lleva» y antes de «Lo que no hace», el propósito en el fondo (borrador B15): una lectura del autor (la poda de las ramas secas del árbol del conocimiento, el método, el árbol de la vida), una conclusión con las palabras de 9.1 (la causa de disolución; más años de vida, más normas y más trámites para obtener lo mismo) y otra lectura del autor (por eso la poda empieza por el Estado; el capitán y el timón, siempre por las puertas de la ley; el aliento de vida; el mapa de J.1). «No sostiene la vida» va como lectura y no como dato: 8.8 y 8.10 no afirman ninguna causa. Ninguna otra palabra cambia. Cambio del 12-oct-2026 (B13, punto 7 en otra forma; decisión de 08.18 sobre la frase que Kiko aprobó en el chat de 08.18, 06:3x: «si»; la vio 10.29): en 0.5, «lo dicen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en 0.5, «La esclavitud estuvo en casi todos los pueblos» pasa a «La esclavitud estuvo muy extendida»: ninguna fuente de la obra da ese «casi todos». Ninguna otra palabra cambia. Cambio del 9-oct-2026 (Kiko: «Sí, ponlo en 1.5»; fila 29 de 04p): en 0.5, en «La condición», una frase tras el caso de la esclavitud que añade el robo hacia fuera de unos germanos y la mutilación genital femenina como casos que no pasan la vara y remite a 1.5. Cambio del 9-oct-2026 (Kiko: «si» al borrador F30; fila 30 de 04p, la regla de oro como apoyo del criterio de reciprocidad): en 0.5, tras «Lo dicen todas las tradiciones», un bloque nuevo, «La regla de oro»: cuatro ejemplos a la vista (Israel, el Evangelio, China, India) y cinco en el nivel completo (budismo, jainismo, Persia, Grecia, islam), con «coinciden» y no «convergen»; sin el taoísmo (forma actual tardía) ni Egipto (no se halló; el Campesino elocuente, sin leer en su fuente). «La idea» de 0.5 no cambia. Cambio del 9-oct-2026 (Kiko: «Sí al M6 con las tres recomendaciones» en el chat de 08 y «sí al M6, sí a P-11.6» en el de 07; borrador M6 de la carpeta 07; 04p filas 25, 27 y 35): en 0.6, una viñeta nueva al final de la lista: «El mapa del árbol», la segunda puerta de entrada de la obra (se abre desde el índice general). No cambia ningún dato. Cambio del 9-oct-2026 (Kiko: «Sí al M4 con las tres recomendaciones» en el chat de 08 y «Sí al M4, aplícalo» en el de 07; borrador M4 de la carpeta 07; 07/05 y fila 26 de 04p): en 0.3, «Tres maneras de leer» pasa a «Tres puertas, seis escalones» (lo que concluye, lo que lo sostiene y lo que lo confirma), con una «Lectura del autor» sobre Tomás (Jn 20:25, 27 y 29, leídos en la Reina-Valera 1909 local); y «En los tres niveles» pasa a «En todos los escalones». El lector se rehace con las tres puertas, las pestañas por apartado y el plegado. Cambio del 9-oct-2026 (Kiko: «Sí a todo el B3 y el B4, aplícalos» y «SÍ A TODO, LO PARLAMENTADO EN ESTE CONSENSO»; fila 1 de 04p; borrador B4 de la carpeta 07): en 0.6, la lista de anexos pasa de «A a I» a «A a J», con una viñeta nueva: la balanza equilibrada, el método con que se mide hacia dónde apunta cada cosa, con lo que las tradiciones guardaron como centro. Cambio del 9-oct-2026 (Kiko: «Sí al B1, aplícalo en 06»; borrador B1 de la carpeta 07; filas 3, 4 y 36 de 04p y definición de «ley escrita»): en 0.4, un párrafo nuevo «La presunción, en la ley»: la ley exige un hecho de partida admitido o probado (Ley de Enjuiciamiento Civil, arts. 385.1 y 386.1, leída en el BOE), y la obra toma esa regla como vara. No cambia la definición de la presunción. Cambio del 8-oct-2026 (lectura de la dirección de la obra, aviso PASO 4.8): en 0.2, «Como dice el Pórtico» pasa a «Se resume así»: el Pórtico era una pieza de la Biblioteca que el lector todavía no conoce (anclaje). La cita no cambia. Cambio del 8-oct-2026 (parlamento sobre los mitos; Kiko: «sí a las tres, con tus recomendaciones» y el añadido del método de medir): 0.3 («lo que no se ha podido comprobar no entra») pasa a «no entra como hecho» y explica la etiqueta «presunción»; 0.4 la nombra; 0.6 llama al anexo E «lo que se afirma sin documento». ESTADO: APROBADO por Kiko el 5-oct-2026 («sí a las tres»). Su material está marcado en el inventario (04 CAPITULOS/marcas/marcas del capitulo 0.txt). Cualquier cambio posterior, con su aprobación. Trazabilidad: al final de cada párrafo, entre corchetes, de dónde sale (código del inventario de procedencia, entrada del glosario único o del archivo del Arca). Al aprobarse, esas entradas se marcan [x] en el inventario. Anclaje comprobado con mapa_anclaje.py: ningún concepto de capítulos posteriores se usa antes del mapa (0.6), salvo «orden natural» dentro de la cita literal del autor (0.2). Conceptos que ancla este capítulo: la revelación (el nombre); la Biblioteca y la edición; la constancia escrita; el Registro de los frutos; el juicio popular de la verdad; la metamorfosis del Estado; las capas (hechos, «Conclusión, lo que arrojan los datos», «Lectura del autor», «La mejor defensa del Estado y los contrapuntos», «Límite honesto de la prueba»); la dirección de los hechos; las dos fórmulas de la lectura del autor (el padre de la mentira; lo que clama al cielo); la escala verdad, presunción, falso y mentira; por sus frutos; la vara; la convergencia y la pata coja; los tres niveles de lectura. TRES NIVELES (Kiko, 5-oct-2026, «sí a las dos»; libreta 72, puntos 112 y 113): pasado al formato de tres niveles sin cambiar ningún dato ni ninguna cita. Añadido: «En pocas palabras», «La idea» de cada apartado, «Para recordar» y, en 0.3, «Tres maneras de leer». En 0.2, «cada párrafo dice de qué pieza sale» pasa a «en el nivel completo».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t xml:space="preserve"> (Museo de Israel, «The Digital Dead Sea Scrolls»)</w:t>
      </w:r>
      <w:r>
        <w:t>.</w:t>
      </w:r>
    </w:p>
    <w:p>
      <w:pPr>
        <w:pStyle w:val="ListBullet"/>
      </w:pPr>
      <w:r>
        <w:rPr>
          <w:b/>
        </w:rPr>
        <w:t>Los Vedas</w:t>
      </w:r>
      <w:r>
        <w:t xml:space="preserve"> se han transmitido de memoria durante miles de años, cuidando que no cambie el sonido de cada palabra</w:t>
      </w:r>
      <w:r>
        <w:t xml:space="preserve"> (UNESCO, ficha de la tradición del canto védico)</w:t>
      </w:r>
      <w:r>
        <w:t>.</w:t>
      </w:r>
    </w:p>
    <w:p>
      <w:pPr>
        <w:pStyle w:val="ListBullet"/>
      </w:pPr>
      <w:r>
        <w:rPr>
          <w:b/>
        </w:rPr>
        <w:t>Los Evangelios de Garima,</w:t>
      </w:r>
      <w:r>
        <w:t xml:space="preserve"> escritos hace unos mil quinientos años, todavía se veneran en su monasterio de Etiopía</w:t>
      </w:r>
      <w:r>
        <w:t xml:space="preserve"> (Ethiopian Heritage Fund)</w:t>
      </w:r>
      <w:r>
        <w:t>.</w:t>
      </w:r>
    </w:p>
    <w:p>
      <w:r>
        <w:t xml:space="preserve">Ese celo es un testimonio: muestra lo que los pueblos han tenido por ley por encima de toda ley. Da igual el nombre que cada pueblo dé a Dios: lo que todos guardaron coincide en lo esencial. </w:t>
      </w:r>
      <w:r>
        <w:t>[00.0-1.1, corregido: véase la nota al pie del apartado]</w:t>
      </w:r>
    </w:p>
    <w:p>
      <w:r>
        <w:t>Los hechos que lo sostienen, leídos en su fuente original:</w:t>
      </w:r>
    </w:p>
    <w:p>
      <w:pPr>
        <w:pStyle w:val="ListBullet"/>
      </w:pPr>
      <w:r>
        <w:rPr>
          <w:b/>
        </w:rPr>
        <w:t>El gran rollo de Isaías.</w:t>
      </w:r>
      <w:r>
        <w:t xml:space="preserve"> </w:t>
      </w:r>
    </w:p>
    <w:p>
      <w:pPr>
        <w:pStyle w:val="ListBullet2"/>
      </w:pPr>
      <w:r>
        <w:t>Se halló en Qumrán en 1947 y es de hacia el año 125 antes de Cristo, «some one thousand years older than the oldest manuscripts of the Hebrew Bible known to us before the scrolls' discovery» (unos mil años más antiguo que los manuscritos de la Biblia hebrea más antiguos que se conocían antes de su descubrimiento).</w:t>
      </w:r>
    </w:p>
    <w:p>
      <w:pPr>
        <w:pStyle w:val="ListBullet2"/>
      </w:pPr>
      <w:r>
        <w:t>Su texto coincide en general con el de los códices medievales, como el de Alepo, «but it contains many variant readings, alternative spellings, scribal errors, and corrections» (pero tiene muchas variantes de lectura, grafías distintas, errores de copista y correcciones).</w:t>
      </w:r>
    </w:p>
    <w:p>
      <w:pPr>
        <w:pStyle w:val="ListBullet2"/>
      </w:pPr>
      <w:r>
        <w:t>Fuente: Museo de Israel, «The Digital Dead Sea Scrolls» (Los manuscritos del mar Muerto, en digital).</w:t>
      </w:r>
    </w:p>
    <w:p>
      <w:pPr>
        <w:pStyle w:val="ListBullet"/>
      </w:pPr>
      <w:r>
        <w:rPr>
          <w:b/>
        </w:rPr>
        <w:t>Los Vedas.</w:t>
      </w:r>
      <w:r>
        <w:t xml:space="preserve"> </w:t>
      </w:r>
    </w:p>
    <w:p>
      <w:pPr>
        <w:pStyle w:val="ListBullet2"/>
      </w:pPr>
      <w:r>
        <w:t>Se transmiten de memoria. Para que «the sound of each word remains unaltered» (el sonido de cada palabra no cambie), se enseñan desde la niñez técnicas de recitación muy complejas.</w:t>
      </w:r>
    </w:p>
    <w:p>
      <w:pPr>
        <w:pStyle w:val="ListBullet2"/>
      </w:pPr>
      <w:r>
        <w:t>La UNESCO proclamó esta tradición en 2003, y en 2008 la inscribió en la Lista Representativa del Patrimonio Cultural Inmaterial de la Humanidad.</w:t>
      </w:r>
    </w:p>
    <w:p>
      <w:pPr>
        <w:pStyle w:val="ListBullet2"/>
      </w:pPr>
      <w:r>
        <w:t>Fuente: UNESCO, ficha de la tradición del canto védico.</w:t>
      </w:r>
    </w:p>
    <w:p>
      <w:pPr>
        <w:pStyle w:val="ListBullet"/>
      </w:pPr>
      <w:r>
        <w:rPr>
          <w:b/>
        </w:rPr>
        <w:t>Los Evangelios de Garima.</w:t>
      </w:r>
      <w:r>
        <w:t xml:space="preserve"> </w:t>
      </w:r>
    </w:p>
    <w:p>
      <w:pPr>
        <w:pStyle w:val="ListBullet2"/>
      </w:pPr>
      <w:r>
        <w:t>El monasterio de Abuna Garima, en Etiopía, conserva dos libros de los evangelios que los cristianos del lugar todavía veneran como reliquias.</w:t>
      </w:r>
    </w:p>
    <w:p>
      <w:pPr>
        <w:pStyle w:val="ListBullet2"/>
      </w:pPr>
      <w:r>
        <w:t>Se creían de hacia el año 1000. Dos análisis de radiocarbono los sitúan entre finales del siglo V y principios del VII: el segundo dio los años 390 a 570 para Garima 2, y 550 a 660 para Garima 1.</w:t>
      </w:r>
    </w:p>
    <w:p>
      <w:pPr>
        <w:pStyle w:val="ListBullet2"/>
      </w:pPr>
      <w:r>
        <w:t>Están «among the very earliest extant manuscripts illustrated with Christian images» (entre los manuscritos más antiguos que se conservan con imágenes cristianas).</w:t>
      </w:r>
    </w:p>
    <w:p>
      <w:pPr>
        <w:pStyle w:val="ListBullet2"/>
      </w:pPr>
      <w:r>
        <w:t>Fuente: Ethiopian Heritage Fund (Fondo del Patrimonio Etíope), la entidad que encargó los análisis.</w:t>
      </w:r>
    </w:p>
    <w:p>
      <w:pPr>
        <w:pStyle w:val="ListBullet"/>
      </w:pPr>
      <w:r>
        <w:rPr>
          <w:b/>
        </w:rPr>
        <w:t>El canon de la Iglesia etíope.</w:t>
      </w:r>
      <w:r>
        <w:t xml:space="preserve"> </w:t>
      </w:r>
    </w:p>
    <w:p>
      <w:pPr>
        <w:pStyle w:val="ListBullet2"/>
      </w:pPr>
      <w:r>
        <w:t>Tiene 81 libros: «46 books of the Old Testament and 35 books of the New Testament» (46 del Antiguo Testamento y 35 del Nuevo). Entre ellos están Enoc y Jubileos.</w:t>
      </w:r>
    </w:p>
    <w:p>
      <w:pPr>
        <w:pStyle w:val="ListBullet2"/>
      </w:pPr>
      <w:r>
        <w:t>Del segundo dice la propia Iglesia que «has also been preserved entire only in the Ethiopic version» (también se ha conservado entero solo en la versión etíope). El «también» se refiere a Enoc, del que acaba de hablar.</w:t>
      </w:r>
    </w:p>
    <w:p>
      <w:pPr>
        <w:pStyle w:val="ListBullet2"/>
      </w:pPr>
      <w:r>
        <w:t>Fuente: Iglesia ortodoxa Tewahedo de Etiopía, ethiopianorthodox.org.</w:t>
      </w:r>
    </w:p>
    <w:p>
      <w:r>
        <w:t xml:space="preserve">[00.0-1.2; 00.0-1.5. Fuentes originales leídas el 5-oct-2026. </w:t>
      </w:r>
      <w:r>
        <w:rPr>
          <w:i/>
        </w:rPr>
        <w:t>Nota de trazabilidad:</w:t>
      </w:r>
      <w:r>
        <w:t xml:space="preserve"> corregido respecto al Pórtico I de la Biblioteca. Garima se creía de hacia el año 1000, no del 1100, y sus análisis dan 390-660, no 330-650 ni «desde el siglo IV». Las diferencias del rollo de Isaías no son «sobre todo de ortografía», sino también variantes de lectura, errores y correcciones. De la UNESCO consta el año, 2003, pero no el día. Y «ninguna ley humana…» se sustituye por los hechos, que sí se pueden comprobar.]</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t xml:space="preserve"> (Diccionario de la lengua española)</w:t>
      </w:r>
      <w:r>
        <w:t xml:space="preserve">. La obra usa la palabra en ese sentido: descubrir cómo funciona el sistema, que está a la vista de todos, pero escondido en su complejidad. No anuncia el fin del mundo. </w:t>
      </w:r>
      <w:r>
        <w:t>[glosario 1.1]</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 </w:t>
      </w:r>
      <w:r>
        <w:t>[00.0-0.0.2; 00.00-1.3; título de la 14.00]</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 </w:t>
      </w:r>
      <w:r>
        <w:t>[glosario 0, palabras de Kiko del 5-oct]</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 </w:t>
      </w:r>
      <w:r>
        <w:t>[glosario 1.1 y 1.4; 00.0-0.0.4]</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r>
        <w:t>[00.0-10.11; glosario 8.5]</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r>
        <w:t>[00.0-10.12; 00.00-10.4; glosario 8.6]</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r>
        <w:t>[00.0-10.13; 00.00-10.5; glosario 8.10]</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r>
        <w:t>[00.0-10.15; 00.0-7.3; glosario 8.1]</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t xml:space="preserve"> (WWF y ZSL, Informe Planeta Vivo 2026 y 2024)</w:t>
      </w:r>
      <w:r>
        <w:t>; en España, 1.855 especies amenazadas y el 74 % de los tipos de hábitat en estado desfavorable (2013-2018), cifra que sube sobre todo porque hay menos evaluaciones con resultado desconocido</w:t>
      </w:r>
      <w:r>
        <w:t xml:space="preserve"> (MITECO, informes del Patrimonio Natural y de la Biodiversidad 2024 y 2020)</w:t>
      </w:r>
      <w:r>
        <w:t>;</w:t>
      </w:r>
    </w:p>
    <w:p>
      <w:pPr>
        <w:pStyle w:val="ListBullet2"/>
      </w:pPr>
      <w:r>
        <w:rPr>
          <w:b/>
        </w:rPr>
        <w:t>los bosques:</w:t>
      </w:r>
      <w:r>
        <w:t xml:space="preserve"> el del mundo mengua, cada vez más despacio; el de España crece un 37,6 % de 1990 a 2025 (cálculo de la edición), sobre todo el que se regenera solo</w:t>
      </w:r>
      <w:r>
        <w:t xml:space="preserve"> (FAO, Evaluación de los recursos forestales mundiales 2025)</w:t>
      </w:r>
      <w:r>
        <w:t>, pero en 2024 casi una cuarta parte de sus árboles muestreados había perdido más de la cuarta parte de sus hojas, sobre todo por la sequía</w:t>
      </w:r>
      <w:r>
        <w:t xml:space="preserve"> (MITECO, informe del Patrimonio Natural y de la Biodiversidad 2024)</w:t>
      </w:r>
      <w:r>
        <w:t>;</w:t>
      </w:r>
    </w:p>
    <w:p>
      <w:pPr>
        <w:pStyle w:val="ListBullet2"/>
      </w:pPr>
      <w:r>
        <w:rPr>
          <w:b/>
        </w:rPr>
        <w:t>el mar:</w:t>
      </w:r>
      <w:r>
        <w:t xml:space="preserve"> las poblaciones marinas que se siguen, un 59 % menos de 1970 a 2022</w:t>
      </w:r>
      <w:r>
        <w:t xml:space="preserve"> (WWF y ZSL, 2026)</w:t>
      </w:r>
      <w:r>
        <w:t>; las pesquerías sobreexplotadas, del 10 % al 37,7 % de las poblaciones evaluadas de 1974 a 2021; el Mediterráneo y el mar Negro, entre lo peor, pero mejoran</w:t>
      </w:r>
      <w:r>
        <w:t xml:space="preserve"> (FAO, El estado mundial de la pesca y la acuicultura 2024; Comisión General de Pesca del Mediterráneo, 2023)</w:t>
      </w:r>
      <w:r>
        <w:t>; en los mares de Europa, el 80 % de las zonas evaluadas, con problemas por contaminantes</w:t>
      </w:r>
      <w:r>
        <w:t xml:space="preserve"> (Agencia Europea de Medio Ambiente)</w:t>
      </w:r>
      <w:r>
        <w:t>;</w:t>
      </w:r>
    </w:p>
    <w:p>
      <w:pPr>
        <w:pStyle w:val="ListBullet2"/>
      </w:pPr>
      <w:r>
        <w:rPr>
          <w:b/>
        </w:rPr>
        <w:t>el aire:</w:t>
      </w:r>
      <w:r>
        <w:t xml:space="preserve"> en España, casi ninguna zona por encima de los valores legales, salvo el ozono (20 de 132 zonas en 2024)</w:t>
      </w:r>
      <w:r>
        <w:t xml:space="preserve"> (MITECO, Evaluación de la calidad del aire en España 2024)</w:t>
      </w:r>
      <w:r>
        <w:t>; con los valores guía de la OMS, más exigentes, más del 90 % de la población urbana de la UE, por encima; y la contaminación baja desde hace dos décadas</w:t>
      </w:r>
      <w:r>
        <w:t xml:space="preserve"> (Agencia Europea de Medio Ambiente, 2026)</w:t>
      </w:r>
      <w:r>
        <w:t>;</w:t>
      </w:r>
    </w:p>
    <w:p>
      <w:pPr>
        <w:pStyle w:val="ListBullet2"/>
      </w:pPr>
      <w:r>
        <w:rPr>
          <w:b/>
        </w:rPr>
        <w:t>el agua:</w:t>
      </w:r>
      <w:r>
        <w:t xml:space="preserve"> en España, en buen estado, el 50,2 % de las masas superficiales y el 54,1 % de las subterráneas (2023; cálculo de la edición)</w:t>
      </w:r>
      <w:r>
        <w:t xml:space="preserve"> (MITECO, informe del Patrimonio Natural y de la Biodiversidad 2024)</w:t>
      </w:r>
      <w:r>
        <w:t>;</w:t>
      </w:r>
    </w:p>
    <w:p>
      <w:pPr>
        <w:pStyle w:val="ListBullet2"/>
      </w:pPr>
      <w:r>
        <w:rPr>
          <w:b/>
        </w:rPr>
        <w:t>el suelo:</w:t>
      </w:r>
      <w:r>
        <w:t xml:space="preserve"> en España, el 24,8 % de la superficie erosionable, con erosión media o alta</w:t>
      </w:r>
      <w:r>
        <w:t xml:space="preserve"> (MITECO, informe del Patrimonio Natural y de la Biodiversidad 2024)</w:t>
      </w:r>
      <w:r>
        <w:t>; en la UE, más del 60 % de los suelos, probablemente degradado</w:t>
      </w:r>
      <w:r>
        <w:t xml:space="preserve"> (Centro Común de Investigación de la Comisión Europea, 2024)</w:t>
      </w:r>
      <w:r>
        <w:t>;</w:t>
      </w:r>
    </w:p>
    <w:p>
      <w:pPr>
        <w:pStyle w:val="ListBullet2"/>
      </w:pPr>
      <w:r>
        <w:rPr>
          <w:b/>
        </w:rPr>
        <w:t>lo que se recupera:</w:t>
      </w:r>
      <w:r>
        <w:t xml:space="preserve"> en España, el lince ibérico, de unos 100 ejemplares en 2011 a más de 600 en 2017, y el águila imperial, el quebrantahuesos y el oso pardo</w:t>
      </w:r>
      <w:r>
        <w:t xml:space="preserve"> (MITECO, informe del Patrimonio Natural y de la Biodiversidad 2020)</w:t>
      </w:r>
      <w:r>
        <w:t>;</w:t>
      </w:r>
    </w:p>
    <w:p>
      <w:pPr>
        <w:pStyle w:val="ListBullet2"/>
      </w:pPr>
      <w:r>
        <w:rPr>
          <w:b/>
        </w:rPr>
        <w:t>y nacen menos:</w:t>
      </w:r>
      <w:r>
        <w:t xml:space="preserve"> 1,10 hijos por mujer en España (</w:t>
      </w:r>
      <w:r>
        <w:t>8.8</w:t>
      </w:r>
      <w:r>
        <w:t>), 1,34 en la UE y 2,25 en el mundo, en 2024</w:t>
      </w:r>
      <w:r>
        <w:t xml:space="preserve"> (Eurostat, estadísticas de fecundidad; Naciones Unidas, Perspectivas de la población mundial 2024)</w:t>
      </w:r>
      <w:r>
        <w:t>;</w:t>
      </w:r>
    </w:p>
    <w:p>
      <w:pPr>
        <w:pStyle w:val="ListBullet2"/>
      </w:pPr>
      <w:r>
        <w:rPr>
          <w:b/>
        </w:rPr>
        <w:t>lo que no dicen:</w:t>
      </w:r>
      <w:r>
        <w:t xml:space="preserve"> estas cifras miden el estado, no quién lo causa.</w:t>
      </w:r>
    </w:p>
    <w:p>
      <w:r>
        <w:rPr>
          <w:b/>
        </w:rPr>
        <w:t>Los frutos del planeta, cosa por cosa</w:t>
      </w:r>
      <w:r>
        <w:t xml:space="preserve"> (cada cifra, con su fuente leída; «sin dato leído» donde la fuente no lo da):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Qué se mide</w:t>
            </w:r>
          </w:p>
        </w:tc>
        <w:tc>
          <w:tcPr>
            <w:tcW w:type="dxa" w:w="1312"/>
            <w:shd w:val="clear" w:color="auto" w:fill="F1EEE8"/>
          </w:tcPr>
          <w:p>
            <w:pPr>
              <w:spacing w:after="20" w:line="264" w:lineRule="auto"/>
            </w:pPr>
            <w:r>
              <w:rPr>
                <w:b/>
              </w:rPr>
            </w:r>
            <w:r>
              <w:rPr>
                <w:rFonts w:ascii="Segoe UI" w:hAnsi="Segoe UI" w:eastAsia="Segoe UI" w:cs="Segoe UI"/>
                <w:b/>
                <w:color w:val="1F1D1A"/>
                <w:sz w:val="18"/>
              </w:rPr>
              <w:t>Dónde y cuándo</w:t>
            </w:r>
          </w:p>
        </w:tc>
        <w:tc>
          <w:tcPr>
            <w:tcW w:type="dxa" w:w="1312"/>
            <w:shd w:val="clear" w:color="auto" w:fill="F1EEE8"/>
          </w:tcPr>
          <w:p>
            <w:pPr>
              <w:spacing w:after="20" w:line="264" w:lineRule="auto"/>
            </w:pPr>
            <w:r>
              <w:rPr>
                <w:b/>
              </w:rPr>
            </w:r>
            <w:r>
              <w:rPr>
                <w:rFonts w:ascii="Segoe UI" w:hAnsi="Segoe UI" w:eastAsia="Segoe UI" w:cs="Segoe UI"/>
                <w:b/>
                <w:color w:val="1F1D1A"/>
                <w:sz w:val="18"/>
              </w:rPr>
              <w:t>Se pierde o se gana</w:t>
            </w:r>
          </w:p>
        </w:tc>
        <w:tc>
          <w:tcPr>
            <w:tcW w:type="dxa" w:w="1312"/>
            <w:shd w:val="clear" w:color="auto" w:fill="F1EEE8"/>
          </w:tcPr>
          <w:p>
            <w:pPr>
              <w:spacing w:after="20" w:line="264" w:lineRule="auto"/>
            </w:pPr>
            <w:r>
              <w:rPr>
                <w:b/>
              </w:rPr>
            </w:r>
            <w:r>
              <w:rPr>
                <w:rFonts w:ascii="Segoe UI" w:hAnsi="Segoe UI" w:eastAsia="Segoe UI" w:cs="Segoe UI"/>
                <w:b/>
                <w:color w:val="1F1D1A"/>
                <w:sz w:val="18"/>
              </w:rPr>
              <w:t>La cifra</w:t>
            </w:r>
          </w:p>
        </w:tc>
        <w:tc>
          <w:tcPr>
            <w:tcW w:type="dxa" w:w="1312"/>
            <w:shd w:val="clear" w:color="auto" w:fill="F1EEE8"/>
          </w:tcPr>
          <w:p>
            <w:pPr>
              <w:spacing w:after="20" w:line="264" w:lineRule="auto"/>
            </w:pPr>
            <w:r>
              <w:rPr>
                <w:b/>
              </w:rPr>
            </w:r>
            <w:r>
              <w:rPr>
                <w:rFonts w:ascii="Segoe UI" w:hAnsi="Segoe UI" w:eastAsia="Segoe UI" w:cs="Segoe UI"/>
                <w:b/>
                <w:color w:val="1F1D1A"/>
                <w:sz w:val="18"/>
              </w:rPr>
              <w:t>Estado</w:t>
            </w:r>
          </w:p>
        </w:tc>
        <w:tc>
          <w:tcPr>
            <w:tcW w:type="dxa" w:w="1312"/>
            <w:shd w:val="clear" w:color="auto" w:fill="F1EEE8"/>
          </w:tcPr>
          <w:p>
            <w:pPr>
              <w:spacing w:after="20" w:line="264" w:lineRule="auto"/>
            </w:pPr>
            <w:r>
              <w:rPr>
                <w:b/>
              </w:rPr>
            </w:r>
            <w:r>
              <w:rPr>
                <w:rFonts w:ascii="Segoe UI" w:hAnsi="Segoe UI" w:eastAsia="Segoe UI" w:cs="Segoe UI"/>
                <w:b/>
                <w:color w:val="1F1D1A"/>
                <w:sz w:val="18"/>
              </w:rPr>
              <w:t>Deterioro</w:t>
            </w:r>
          </w:p>
        </w:tc>
        <w:tc>
          <w:tcPr>
            <w:tcW w:type="dxa" w:w="1312"/>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1312"/>
          </w:tcPr>
          <w:p>
            <w:pPr>
              <w:spacing w:after="20" w:line="264" w:lineRule="auto"/>
            </w:pPr>
            <w:r/>
            <w:r>
              <w:rPr>
                <w:rFonts w:ascii="Segoe UI" w:hAnsi="Segoe UI" w:eastAsia="Segoe UI" w:cs="Segoe UI"/>
                <w:color w:val="1F1D1A"/>
                <w:sz w:val="18"/>
              </w:rPr>
              <w:t>Poblaciones de vertebrados que se siguen (tamaño medio, no número de animales)</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−73,2 %; agua dulce, −85 %; tierra, −69 %; mar, −59 %</w:t>
            </w:r>
          </w:p>
        </w:tc>
        <w:tc>
          <w:tcPr>
            <w:tcW w:type="dxa" w:w="1312"/>
          </w:tcPr>
          <w:p>
            <w:pPr>
              <w:spacing w:after="20" w:line="264" w:lineRule="auto"/>
            </w:pPr>
            <w:r/>
            <w:r>
              <w:rPr>
                <w:rFonts w:ascii="Segoe UI" w:hAnsi="Segoe UI" w:eastAsia="Segoe UI" w:cs="Segoe UI"/>
                <w:color w:val="1F1D1A"/>
                <w:sz w:val="18"/>
              </w:rPr>
              <w:t>La mitad baja; la otra mitad, estable o 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Informe Planeta Vivo 2026</w:t>
            </w:r>
          </w:p>
        </w:tc>
      </w:tr>
      <w:tr>
        <w:tc>
          <w:tcPr>
            <w:tcW w:type="dxa" w:w="1312"/>
          </w:tcPr>
          <w:p>
            <w:pPr>
              <w:spacing w:after="20" w:line="264" w:lineRule="auto"/>
            </w:pPr>
            <w:r/>
            <w:r>
              <w:rPr>
                <w:rFonts w:ascii="Segoe UI" w:hAnsi="Segoe UI" w:eastAsia="Segoe UI" w:cs="Segoe UI"/>
                <w:color w:val="1F1D1A"/>
                <w:sz w:val="18"/>
              </w:rPr>
              <w:t>Lo mismo, sin el mar</w:t>
            </w:r>
          </w:p>
        </w:tc>
        <w:tc>
          <w:tcPr>
            <w:tcW w:type="dxa" w:w="1312"/>
          </w:tcPr>
          <w:p>
            <w:pPr>
              <w:spacing w:after="20" w:line="264" w:lineRule="auto"/>
            </w:pPr>
            <w:r/>
            <w:r>
              <w:rPr>
                <w:rFonts w:ascii="Segoe UI" w:hAnsi="Segoe UI" w:eastAsia="Segoe UI" w:cs="Segoe UI"/>
                <w:color w:val="1F1D1A"/>
                <w:sz w:val="18"/>
              </w:rPr>
              <w:t>Europa y Asia Central,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−23 % (el informe de 2024 daba −35 % para 1970-2020; el de 2026 no explica la diferencia en esta región)</w:t>
            </w:r>
          </w:p>
        </w:tc>
        <w:tc>
          <w:tcPr>
            <w:tcW w:type="dxa" w:w="1312"/>
          </w:tcPr>
          <w:p>
            <w:pPr>
              <w:spacing w:after="20" w:line="264" w:lineRule="auto"/>
            </w:pPr>
            <w:r/>
            <w:r>
              <w:rPr>
                <w:rFonts w:ascii="Segoe UI" w:hAnsi="Segoe UI" w:eastAsia="Segoe UI" w:cs="Segoe UI"/>
                <w:color w:val="1F1D1A"/>
                <w:sz w:val="18"/>
              </w:rPr>
              <w:t>Ya estaba peor en 1970; vuelven muchas especies de mamíferos y aves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 y 2024</w:t>
            </w:r>
          </w:p>
        </w:tc>
      </w:tr>
      <w:tr>
        <w:tc>
          <w:tcPr>
            <w:tcW w:type="dxa" w:w="1312"/>
          </w:tcPr>
          <w:p>
            <w:pPr>
              <w:spacing w:after="20" w:line="264" w:lineRule="auto"/>
            </w:pPr>
            <w:r/>
            <w:r>
              <w:rPr>
                <w:rFonts w:ascii="Segoe UI" w:hAnsi="Segoe UI" w:eastAsia="Segoe UI" w:cs="Segoe UI"/>
                <w:color w:val="1F1D1A"/>
                <w:sz w:val="18"/>
              </w:rPr>
              <w:t>Especies que se enfrentan a la extinción</w:t>
            </w:r>
          </w:p>
        </w:tc>
        <w:tc>
          <w:tcPr>
            <w:tcW w:type="dxa" w:w="1312"/>
          </w:tcPr>
          <w:p>
            <w:pPr>
              <w:spacing w:after="20" w:line="264" w:lineRule="auto"/>
            </w:pPr>
            <w:r/>
            <w:r>
              <w:rPr>
                <w:rFonts w:ascii="Segoe UI" w:hAnsi="Segoe UI" w:eastAsia="Segoe UI" w:cs="Segoe UI"/>
                <w:color w:val="1F1D1A"/>
                <w:sz w:val="18"/>
              </w:rPr>
              <w:t>Mundo, evaluación de 2019</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Alrededor de un millón (estimación)</w:t>
            </w:r>
          </w:p>
        </w:tc>
        <w:tc>
          <w:tcPr>
            <w:tcW w:type="dxa" w:w="1312"/>
          </w:tcPr>
          <w:p>
            <w:pPr>
              <w:spacing w:after="20" w:line="264" w:lineRule="auto"/>
            </w:pPr>
            <w:r/>
            <w:r>
              <w:rPr>
                <w:rFonts w:ascii="Segoe UI" w:hAnsi="Segoe UI" w:eastAsia="Segoe UI" w:cs="Segoe UI"/>
                <w:color w:val="1F1D1A"/>
                <w:sz w:val="18"/>
              </w:rPr>
              <w:t>Amenazadas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Biomasa de los mamíferos salvajes</w:t>
            </w:r>
          </w:p>
        </w:tc>
        <w:tc>
          <w:tcPr>
            <w:tcW w:type="dxa" w:w="1312"/>
          </w:tcPr>
          <w:p>
            <w:pPr>
              <w:spacing w:after="20" w:line="264" w:lineRule="auto"/>
            </w:pPr>
            <w:r/>
            <w:r>
              <w:rPr>
                <w:rFonts w:ascii="Segoe UI" w:hAnsi="Segoe UI" w:eastAsia="Segoe UI" w:cs="Segoe UI"/>
                <w:color w:val="1F1D1A"/>
                <w:sz w:val="18"/>
              </w:rPr>
              <w:t>Mundo, tierra y mar</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−82 % (la fuente no da el periodo en esa frase)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Especies amenazadas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1.855 de las 63.375 especies silvestres conocidas</w:t>
            </w:r>
          </w:p>
        </w:tc>
        <w:tc>
          <w:tcPr>
            <w:tcW w:type="dxa" w:w="1312"/>
          </w:tcPr>
          <w:p>
            <w:pPr>
              <w:spacing w:after="20" w:line="264" w:lineRule="auto"/>
            </w:pPr>
            <w:r/>
            <w:r>
              <w:rPr>
                <w:rFonts w:ascii="Segoe UI" w:hAnsi="Segoe UI" w:eastAsia="Segoe UI" w:cs="Segoe UI"/>
                <w:color w:val="1F1D1A"/>
                <w:sz w:val="18"/>
              </w:rPr>
              <w:t>Con algún grado de amenaza</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Aves comunes de ambientes agrícolas</w:t>
            </w:r>
          </w:p>
        </w:tc>
        <w:tc>
          <w:tcPr>
            <w:tcW w:type="dxa" w:w="1312"/>
          </w:tcPr>
          <w:p>
            <w:pPr>
              <w:spacing w:after="20" w:line="264" w:lineRule="auto"/>
            </w:pPr>
            <w:r/>
            <w:r>
              <w:rPr>
                <w:rFonts w:ascii="Segoe UI" w:hAnsi="Segoe UI" w:eastAsia="Segoe UI" w:cs="Segoe UI"/>
                <w:color w:val="1F1D1A"/>
                <w:sz w:val="18"/>
              </w:rPr>
              <w:t>España, desde 2000 (informe de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En torno al −34 %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Lince ibérico, águila imperial, quebrantahuesos y oso pardo</w:t>
            </w:r>
          </w:p>
        </w:tc>
        <w:tc>
          <w:tcPr>
            <w:tcW w:type="dxa" w:w="1312"/>
          </w:tcPr>
          <w:p>
            <w:pPr>
              <w:spacing w:after="20" w:line="264" w:lineRule="auto"/>
            </w:pPr>
            <w:r/>
            <w:r>
              <w:rPr>
                <w:rFonts w:ascii="Segoe UI" w:hAnsi="Segoe UI" w:eastAsia="Segoe UI" w:cs="Segoe UI"/>
                <w:color w:val="1F1D1A"/>
                <w:sz w:val="18"/>
              </w:rPr>
              <w:t>España, de 1970-2011 a 2017-2018</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Lince, de unos 100 (2011) a más de 600 (2017); águila imperial, de unas decenas de parejas en los años setenta a 520 (2017); quebrantahuesos, de 22 parejas (1982) a 133 (2018); oso pardo, de 100-120 (1989) a 310-350 (2018)</w:t>
            </w:r>
          </w:p>
        </w:tc>
        <w:tc>
          <w:tcPr>
            <w:tcW w:type="dxa" w:w="1312"/>
          </w:tcPr>
          <w:p>
            <w:pPr>
              <w:spacing w:after="20" w:line="264" w:lineRule="auto"/>
            </w:pPr>
            <w:r/>
            <w:r>
              <w:rPr>
                <w:rFonts w:ascii="Segoe UI" w:hAnsi="Segoe UI" w:eastAsia="Segoe UI" w:cs="Segoe UI"/>
                <w:color w:val="1F1D1A"/>
                <w:sz w:val="18"/>
              </w:rPr>
              <w:t>Se recuperan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Tipos de hábitat de interés comunitario</w:t>
            </w:r>
          </w:p>
        </w:tc>
        <w:tc>
          <w:tcPr>
            <w:tcW w:type="dxa" w:w="1312"/>
          </w:tcPr>
          <w:p>
            <w:pPr>
              <w:spacing w:after="20" w:line="264" w:lineRule="auto"/>
            </w:pPr>
            <w:r/>
            <w:r>
              <w:rPr>
                <w:rFonts w:ascii="Segoe UI" w:hAnsi="Segoe UI" w:eastAsia="Segoe UI" w:cs="Segoe UI"/>
                <w:color w:val="1F1D1A"/>
                <w:sz w:val="18"/>
              </w:rPr>
              <w:t>España, 2013-2018</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74 % en estado desfavorable (62 % en 2007-2012; sube sobre todo porque hay menos evaluaciones con resultado desconocido; solo la región atlántica parece empeorar de verdad)</w:t>
            </w:r>
          </w:p>
        </w:tc>
        <w:tc>
          <w:tcPr>
            <w:tcW w:type="dxa" w:w="1312"/>
          </w:tcPr>
          <w:p>
            <w:pPr>
              <w:spacing w:after="20" w:line="264" w:lineRule="auto"/>
            </w:pPr>
            <w:r/>
            <w:r>
              <w:rPr>
                <w:rFonts w:ascii="Segoe UI" w:hAnsi="Segoe UI" w:eastAsia="Segoe UI" w:cs="Segoe UI"/>
                <w:color w:val="1F1D1A"/>
                <w:sz w:val="18"/>
              </w:rPr>
              <w:t>Los bosques y, sobre todo, las turberas, los peores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Mundo, 1990-2025</w:t>
            </w:r>
          </w:p>
        </w:tc>
        <w:tc>
          <w:tcPr>
            <w:tcW w:type="dxa" w:w="1312"/>
          </w:tcPr>
          <w:p>
            <w:pPr>
              <w:spacing w:after="20" w:line="264" w:lineRule="auto"/>
            </w:pPr>
            <w:r/>
            <w:r>
              <w:rPr>
                <w:rFonts w:ascii="Segoe UI" w:hAnsi="Segoe UI" w:eastAsia="Segoe UI" w:cs="Segoe UI"/>
                <w:color w:val="1F1D1A"/>
                <w:sz w:val="18"/>
              </w:rPr>
              <w:t>Se pierde (neto)</w:t>
            </w:r>
          </w:p>
        </w:tc>
        <w:tc>
          <w:tcPr>
            <w:tcW w:type="dxa" w:w="1312"/>
          </w:tcPr>
          <w:p>
            <w:pPr>
              <w:spacing w:after="20" w:line="264" w:lineRule="auto"/>
            </w:pPr>
            <w:r/>
            <w:r>
              <w:rPr>
                <w:rFonts w:ascii="Segoe UI" w:hAnsi="Segoe UI" w:eastAsia="Segoe UI" w:cs="Segoe UI"/>
                <w:color w:val="1F1D1A"/>
                <w:sz w:val="18"/>
              </w:rPr>
              <w:t>De 4.343.534 a 4.140.217 miles de hectáreas; la pérdida neta por año baja de 10,7 millones de hectáreas (1990-2000) a 4,12 (2015-2025)</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Evaluación de los recursos forestales mundiales 2025</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Europa, con Rusia, 1990-2025</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2025</w:t>
            </w:r>
          </w:p>
        </w:tc>
      </w:tr>
      <w:tr>
        <w:tc>
          <w:tcPr>
            <w:tcW w:type="dxa" w:w="1312"/>
          </w:tcPr>
          <w:p>
            <w:pPr>
              <w:spacing w:after="20" w:line="264" w:lineRule="auto"/>
            </w:pPr>
            <w:r/>
            <w:r>
              <w:rPr>
                <w:rFonts w:ascii="Segoe UI" w:hAnsi="Segoe UI" w:eastAsia="Segoe UI" w:cs="Segoe UI"/>
                <w:color w:val="1F1D1A"/>
                <w:sz w:val="18"/>
              </w:rPr>
              <w:t>Bosque, superficie y cómo es</w:t>
            </w:r>
          </w:p>
        </w:tc>
        <w:tc>
          <w:tcPr>
            <w:tcW w:type="dxa" w:w="1312"/>
          </w:tcPr>
          <w:p>
            <w:pPr>
              <w:spacing w:after="20" w:line="264" w:lineRule="auto"/>
            </w:pPr>
            <w:r/>
            <w:r>
              <w:rPr>
                <w:rFonts w:ascii="Segoe UI" w:hAnsi="Segoe UI" w:eastAsia="Segoe UI" w:cs="Segoe UI"/>
                <w:color w:val="1F1D1A"/>
                <w:sz w:val="18"/>
              </w:rPr>
              <w:t>España, 1990-2025</w:t>
            </w:r>
          </w:p>
        </w:tc>
        <w:tc>
          <w:tcPr>
            <w:tcW w:type="dxa" w:w="1312"/>
          </w:tcPr>
          <w:p>
            <w:pPr>
              <w:spacing w:after="20" w:line="264" w:lineRule="auto"/>
            </w:pPr>
            <w:r/>
            <w:r>
              <w:rPr>
                <w:rFonts w:ascii="Segoe UI" w:hAnsi="Segoe UI" w:eastAsia="Segoe UI" w:cs="Segoe UI"/>
                <w:color w:val="1F1D1A"/>
                <w:sz w:val="18"/>
              </w:rPr>
              <w:t>Se gana, sobre todo el que se regenera solo</w:t>
            </w:r>
          </w:p>
        </w:tc>
        <w:tc>
          <w:tcPr>
            <w:tcW w:type="dxa" w:w="1312"/>
          </w:tcPr>
          <w:p>
            <w:pPr>
              <w:spacing w:after="20" w:line="264" w:lineRule="auto"/>
            </w:pPr>
            <w:r/>
            <w:r>
              <w:rPr>
                <w:rFonts w:ascii="Segoe UI" w:hAnsi="Segoe UI" w:eastAsia="Segoe UI" w:cs="Segoe UI"/>
                <w:color w:val="1F1D1A"/>
                <w:sz w:val="18"/>
              </w:rPr>
              <w:t>+37,6 % (cálculo: de 13.905 a 19.133 miles de hectáreas); el que se regenera solo, de 11.959 a 16.314; el plantado, de 1.945 a 2.819</w:t>
            </w:r>
          </w:p>
        </w:tc>
        <w:tc>
          <w:tcPr>
            <w:tcW w:type="dxa" w:w="1312"/>
          </w:tcPr>
          <w:p>
            <w:pPr>
              <w:spacing w:after="20" w:line="264" w:lineRule="auto"/>
            </w:pPr>
            <w:r/>
            <w:r>
              <w:rPr>
                <w:rFonts w:ascii="Segoe UI" w:hAnsi="Segoe UI" w:eastAsia="Segoe UI" w:cs="Segoe UI"/>
                <w:color w:val="1F1D1A"/>
                <w:sz w:val="18"/>
              </w:rPr>
              <w:t>De lo plantado, el 37 % es plantación de gestión intensiva (en Europa, en torno al 6 %); los hábitats de bosque, entre los peores (2013-2018)</w:t>
            </w:r>
          </w:p>
        </w:tc>
        <w:tc>
          <w:tcPr>
            <w:tcW w:type="dxa" w:w="1312"/>
          </w:tcPr>
          <w:p>
            <w:pPr>
              <w:spacing w:after="20" w:line="264" w:lineRule="auto"/>
            </w:pPr>
            <w:r/>
            <w:r>
              <w:rPr>
                <w:rFonts w:ascii="Segoe UI" w:hAnsi="Segoe UI" w:eastAsia="Segoe UI" w:cs="Segoe UI"/>
                <w:color w:val="1F1D1A"/>
                <w:sz w:val="18"/>
              </w:rPr>
              <w:t>En 2024, casi una cuarta parte de los árboles muestreados había perdido más de la cuarta parte de sus hojas (defoliación moderada o grave), sobre todo por daños ligados a la sequía</w:t>
            </w:r>
          </w:p>
        </w:tc>
        <w:tc>
          <w:tcPr>
            <w:tcW w:type="dxa" w:w="1312"/>
          </w:tcPr>
          <w:p>
            <w:pPr>
              <w:spacing w:after="20" w:line="264" w:lineRule="auto"/>
            </w:pPr>
            <w:r/>
            <w:r>
              <w:rPr>
                <w:rFonts w:ascii="Segoe UI" w:hAnsi="Segoe UI" w:eastAsia="Segoe UI" w:cs="Segoe UI"/>
                <w:color w:val="1F1D1A"/>
                <w:sz w:val="18"/>
              </w:rPr>
              <w:t>FAO, 2025; MITECO, informes del Patrimonio Natural y de la Biodiversidad 2020 y 2024</w:t>
            </w:r>
          </w:p>
        </w:tc>
      </w:tr>
      <w:tr>
        <w:tc>
          <w:tcPr>
            <w:tcW w:type="dxa" w:w="1312"/>
          </w:tcPr>
          <w:p>
            <w:pPr>
              <w:spacing w:after="20" w:line="264" w:lineRule="auto"/>
            </w:pPr>
            <w:r/>
            <w:r>
              <w:rPr>
                <w:rFonts w:ascii="Segoe UI" w:hAnsi="Segoe UI" w:eastAsia="Segoe UI" w:cs="Segoe UI"/>
                <w:color w:val="1F1D1A"/>
                <w:sz w:val="18"/>
              </w:rPr>
              <w:t>Poblaciones marinas que se siguen (abundancia, no biomasa)</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−59 %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w:t>
            </w:r>
          </w:p>
        </w:tc>
      </w:tr>
      <w:tr>
        <w:tc>
          <w:tcPr>
            <w:tcW w:type="dxa" w:w="1312"/>
          </w:tcPr>
          <w:p>
            <w:pPr>
              <w:spacing w:after="20" w:line="264" w:lineRule="auto"/>
            </w:pPr>
            <w:r/>
            <w:r>
              <w:rPr>
                <w:rFonts w:ascii="Segoe UI" w:hAnsi="Segoe UI" w:eastAsia="Segoe UI" w:cs="Segoe UI"/>
                <w:color w:val="1F1D1A"/>
                <w:sz w:val="18"/>
              </w:rPr>
              <w:t>Pesquerías sobreexplotadas</w:t>
            </w:r>
          </w:p>
        </w:tc>
        <w:tc>
          <w:tcPr>
            <w:tcW w:type="dxa" w:w="1312"/>
          </w:tcPr>
          <w:p>
            <w:pPr>
              <w:spacing w:after="20" w:line="264" w:lineRule="auto"/>
            </w:pPr>
            <w:r/>
            <w:r>
              <w:rPr>
                <w:rFonts w:ascii="Segoe UI" w:hAnsi="Segoe UI" w:eastAsia="Segoe UI" w:cs="Segoe UI"/>
                <w:color w:val="1F1D1A"/>
                <w:sz w:val="18"/>
              </w:rPr>
              <w:t>Mundo, 1974-2021</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Del 10 % al 37,7 % de las poblaciones evaluadas (cuenta poblaciones, no capturas)</w:t>
            </w:r>
          </w:p>
        </w:tc>
        <w:tc>
          <w:tcPr>
            <w:tcW w:type="dxa" w:w="1312"/>
          </w:tcPr>
          <w:p>
            <w:pPr>
              <w:spacing w:after="20" w:line="264" w:lineRule="auto"/>
            </w:pPr>
            <w:r/>
            <w:r>
              <w:rPr>
                <w:rFonts w:ascii="Segoe UI" w:hAnsi="Segoe UI" w:eastAsia="Segoe UI" w:cs="Segoe UI"/>
                <w:color w:val="1F1D1A"/>
                <w:sz w:val="18"/>
              </w:rPr>
              <w:t>El 76,9 % de lo desembarcado en 2021 viene de poblaciones sostenibles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El estado mundial de la pesca y la acuicultura 2024</w:t>
            </w:r>
          </w:p>
        </w:tc>
      </w:tr>
      <w:tr>
        <w:tc>
          <w:tcPr>
            <w:tcW w:type="dxa" w:w="1312"/>
          </w:tcPr>
          <w:p>
            <w:pPr>
              <w:spacing w:after="20" w:line="264" w:lineRule="auto"/>
            </w:pPr>
            <w:r/>
            <w:r>
              <w:rPr>
                <w:rFonts w:ascii="Segoe UI" w:hAnsi="Segoe UI" w:eastAsia="Segoe UI" w:cs="Segoe UI"/>
                <w:color w:val="1F1D1A"/>
                <w:sz w:val="18"/>
              </w:rPr>
              <w:t>Pesquerías del Mediterráneo y el mar Negro</w:t>
            </w:r>
          </w:p>
        </w:tc>
        <w:tc>
          <w:tcPr>
            <w:tcW w:type="dxa" w:w="1312"/>
          </w:tcPr>
          <w:p>
            <w:pPr>
              <w:spacing w:after="20" w:line="264" w:lineRule="auto"/>
            </w:pPr>
            <w:r/>
            <w:r>
              <w:rPr>
                <w:rFonts w:ascii="Segoe UI" w:hAnsi="Segoe UI" w:eastAsia="Segoe UI" w:cs="Segoe UI"/>
                <w:color w:val="1F1D1A"/>
                <w:sz w:val="18"/>
              </w:rPr>
              <w:t>2012-2021</w:t>
            </w:r>
          </w:p>
        </w:tc>
        <w:tc>
          <w:tcPr>
            <w:tcW w:type="dxa" w:w="1312"/>
          </w:tcPr>
          <w:p>
            <w:pPr>
              <w:spacing w:after="20" w:line="264" w:lineRule="auto"/>
            </w:pPr>
            <w:r/>
            <w:r>
              <w:rPr>
                <w:rFonts w:ascii="Segoe UI" w:hAnsi="Segoe UI" w:eastAsia="Segoe UI" w:cs="Segoe UI"/>
                <w:color w:val="1F1D1A"/>
                <w:sz w:val="18"/>
              </w:rPr>
              <w:t>Se pierde en el nivel; se gana en la tendencia</w:t>
            </w:r>
          </w:p>
        </w:tc>
        <w:tc>
          <w:tcPr>
            <w:tcW w:type="dxa" w:w="1312"/>
          </w:tcPr>
          <w:p>
            <w:pPr>
              <w:spacing w:after="20" w:line="264" w:lineRule="auto"/>
            </w:pPr>
            <w:r/>
            <w:r>
              <w:rPr>
                <w:rFonts w:ascii="Segoe UI" w:hAnsi="Segoe UI" w:eastAsia="Segoe UI" w:cs="Segoe UI"/>
                <w:color w:val="1F1D1A"/>
                <w:sz w:val="18"/>
              </w:rPr>
              <w:t>El 37,5 % de las poblaciones, en niveles sostenibles (2021)</w:t>
            </w:r>
          </w:p>
        </w:tc>
        <w:tc>
          <w:tcPr>
            <w:tcW w:type="dxa" w:w="1312"/>
          </w:tcPr>
          <w:p>
            <w:pPr>
              <w:spacing w:after="20" w:line="264" w:lineRule="auto"/>
            </w:pPr>
            <w:r/>
            <w:r>
              <w:rPr>
                <w:rFonts w:ascii="Segoe UI" w:hAnsi="Segoe UI" w:eastAsia="Segoe UI" w:cs="Segoe UI"/>
                <w:color w:val="1F1D1A"/>
                <w:sz w:val="18"/>
              </w:rPr>
              <w:t>Las sobreexplotadas, del 73 % (2020) al 58 % (2021); la presión pesquera, un 31 % menos desde 2012</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2024; Comisión General de Pesca del Mediterráneo, 2023</w:t>
            </w:r>
          </w:p>
        </w:tc>
      </w:tr>
      <w:tr>
        <w:tc>
          <w:tcPr>
            <w:tcW w:type="dxa" w:w="1312"/>
          </w:tcPr>
          <w:p>
            <w:pPr>
              <w:spacing w:after="20" w:line="264" w:lineRule="auto"/>
            </w:pPr>
            <w:r/>
            <w:r>
              <w:rPr>
                <w:rFonts w:ascii="Segoe UI" w:hAnsi="Segoe UI" w:eastAsia="Segoe UI" w:cs="Segoe UI"/>
                <w:color w:val="1F1D1A"/>
                <w:sz w:val="18"/>
              </w:rPr>
              <w:t>Los mares de Europa</w:t>
            </w:r>
          </w:p>
        </w:tc>
        <w:tc>
          <w:tcPr>
            <w:tcW w:type="dxa" w:w="1312"/>
          </w:tcPr>
          <w:p>
            <w:pPr>
              <w:spacing w:after="20" w:line="264" w:lineRule="auto"/>
            </w:pPr>
            <w:r/>
            <w:r>
              <w:rPr>
                <w:rFonts w:ascii="Segoe UI" w:hAnsi="Segoe UI" w:eastAsia="Segoe UI" w:cs="Segoe UI"/>
                <w:color w:val="1F1D1A"/>
                <w:sz w:val="18"/>
              </w:rPr>
              <w:t>Europa; las basuras, con datos de 2010 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general, malo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Contaminantes, el 80 % de las zonas evaluadas; exceso de nutrientes, casi una cuarta parte; basuras, casi el 75 % (2010-2021); hay indicios de que la basura plástica en el mar puede estar bajando</w:t>
            </w:r>
          </w:p>
        </w:tc>
        <w:tc>
          <w:tcPr>
            <w:tcW w:type="dxa" w:w="1312"/>
          </w:tcPr>
          <w:p>
            <w:pPr>
              <w:spacing w:after="20" w:line="264" w:lineRule="auto"/>
            </w:pPr>
            <w:r/>
            <w:r>
              <w:rPr>
                <w:rFonts w:ascii="Segoe UI" w:hAnsi="Segoe UI" w:eastAsia="Segoe UI" w:cs="Segoe UI"/>
                <w:color w:val="1F1D1A"/>
                <w:sz w:val="18"/>
              </w:rPr>
              <w:t>Agencia Europea de Medio Ambiente</w:t>
            </w:r>
          </w:p>
        </w:tc>
      </w:tr>
      <w:tr>
        <w:tc>
          <w:tcPr>
            <w:tcW w:type="dxa" w:w="1312"/>
          </w:tcPr>
          <w:p>
            <w:pPr>
              <w:spacing w:after="20" w:line="264" w:lineRule="auto"/>
            </w:pPr>
            <w:r/>
            <w:r>
              <w:rPr>
                <w:rFonts w:ascii="Segoe UI" w:hAnsi="Segoe UI" w:eastAsia="Segoe UI" w:cs="Segoe UI"/>
                <w:color w:val="1F1D1A"/>
                <w:sz w:val="18"/>
              </w:rPr>
              <w:t>Basuras en las playas</w:t>
            </w:r>
          </w:p>
        </w:tc>
        <w:tc>
          <w:tcPr>
            <w:tcW w:type="dxa" w:w="1312"/>
          </w:tcPr>
          <w:p>
            <w:pPr>
              <w:spacing w:after="20" w:line="264" w:lineRule="auto"/>
            </w:pPr>
            <w:r/>
            <w:r>
              <w:rPr>
                <w:rFonts w:ascii="Segoe UI" w:hAnsi="Segoe UI" w:eastAsia="Segoe UI" w:cs="Segoe UI"/>
                <w:color w:val="1F1D1A"/>
                <w:sz w:val="18"/>
              </w:rPr>
              <w:t>España, 29 playas,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316 objetos de media por muestreo, en tramos de 100 metros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Basuras</w:t>
            </w:r>
          </w:p>
        </w:tc>
        <w:tc>
          <w:tcPr>
            <w:tcW w:type="dxa" w:w="1312"/>
          </w:tcPr>
          <w:p>
            <w:pPr>
              <w:spacing w:after="20" w:line="264" w:lineRule="auto"/>
            </w:pPr>
            <w:r/>
            <w:r>
              <w:rPr>
                <w:rFonts w:ascii="Segoe UI" w:hAnsi="Segoe UI" w:eastAsia="Segoe UI" w:cs="Segoe UI"/>
                <w:color w:val="1F1D1A"/>
                <w:sz w:val="18"/>
              </w:rPr>
              <w:t>MITECO, resultados de 2023 del seguimiento de basuras en playas</w:t>
            </w:r>
          </w:p>
        </w:tc>
      </w:tr>
      <w:tr>
        <w:tc>
          <w:tcPr>
            <w:tcW w:type="dxa" w:w="1312"/>
          </w:tcPr>
          <w:p>
            <w:pPr>
              <w:spacing w:after="20" w:line="264" w:lineRule="auto"/>
            </w:pPr>
            <w:r/>
            <w:r>
              <w:rPr>
                <w:rFonts w:ascii="Segoe UI" w:hAnsi="Segoe UI" w:eastAsia="Segoe UI" w:cs="Segoe UI"/>
                <w:color w:val="1F1D1A"/>
                <w:sz w:val="18"/>
              </w:rPr>
              <w:t>El aire, con los valores legales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Por encima del valor límite: dióxido de nitrógeno, 0 de 133 zonas; PM2,5, 0 de 137; PM10, 1 de 137. Ozono, por encima del valor objetivo para la salud: 20 de 132 (14 en 2023)</w:t>
            </w:r>
          </w:p>
        </w:tc>
        <w:tc>
          <w:tcPr>
            <w:tcW w:type="dxa" w:w="1312"/>
          </w:tcPr>
          <w:p>
            <w:pPr>
              <w:spacing w:after="20" w:line="264" w:lineRule="auto"/>
            </w:pPr>
            <w:r/>
            <w:r>
              <w:rPr>
                <w:rFonts w:ascii="Segoe UI" w:hAnsi="Segoe UI" w:eastAsia="Segoe UI" w:cs="Segoe UI"/>
                <w:color w:val="1F1D1A"/>
                <w:sz w:val="18"/>
              </w:rPr>
              <w:t>La exposición media a las PM2,5, un 18,44 % menos que en 2011</w:t>
            </w:r>
          </w:p>
        </w:tc>
        <w:tc>
          <w:tcPr>
            <w:tcW w:type="dxa" w:w="1312"/>
          </w:tcPr>
          <w:p>
            <w:pPr>
              <w:spacing w:after="20" w:line="264" w:lineRule="auto"/>
            </w:pPr>
            <w:r/>
            <w:r>
              <w:rPr>
                <w:rFonts w:ascii="Segoe UI" w:hAnsi="Segoe UI" w:eastAsia="Segoe UI" w:cs="Segoe UI"/>
                <w:color w:val="1F1D1A"/>
                <w:sz w:val="18"/>
              </w:rPr>
              <w:t>El ozono</w:t>
            </w:r>
          </w:p>
        </w:tc>
        <w:tc>
          <w:tcPr>
            <w:tcW w:type="dxa" w:w="1312"/>
          </w:tcPr>
          <w:p>
            <w:pPr>
              <w:spacing w:after="20" w:line="264" w:lineRule="auto"/>
            </w:pPr>
            <w:r/>
            <w:r>
              <w:rPr>
                <w:rFonts w:ascii="Segoe UI" w:hAnsi="Segoe UI" w:eastAsia="Segoe UI" w:cs="Segoe UI"/>
                <w:color w:val="1F1D1A"/>
                <w:sz w:val="18"/>
              </w:rPr>
              <w:t>MITECO, Evaluación de la calidad del aire en España 2024</w:t>
            </w:r>
          </w:p>
        </w:tc>
      </w:tr>
      <w:tr>
        <w:tc>
          <w:tcPr>
            <w:tcW w:type="dxa" w:w="1312"/>
          </w:tcPr>
          <w:p>
            <w:pPr>
              <w:spacing w:after="20" w:line="264" w:lineRule="auto"/>
            </w:pPr>
            <w:r/>
            <w:r>
              <w:rPr>
                <w:rFonts w:ascii="Segoe UI" w:hAnsi="Segoe UI" w:eastAsia="Segoe UI" w:cs="Segoe UI"/>
                <w:color w:val="1F1D1A"/>
                <w:sz w:val="18"/>
              </w:rPr>
              <w:t>El aire, con los valores guía de la OMS</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90 % de la población urbana, expuesta por encima de ellos</w:t>
            </w:r>
          </w:p>
        </w:tc>
        <w:tc>
          <w:tcPr>
            <w:tcW w:type="dxa" w:w="1312"/>
          </w:tcPr>
          <w:p>
            <w:pPr>
              <w:spacing w:after="20" w:line="264" w:lineRule="auto"/>
            </w:pPr>
            <w:r/>
            <w:r>
              <w:rPr>
                <w:rFonts w:ascii="Segoe UI" w:hAnsi="Segoe UI" w:eastAsia="Segoe UI" w:cs="Segoe UI"/>
                <w:color w:val="1F1D1A"/>
                <w:sz w:val="18"/>
              </w:rPr>
              <w:t>La contaminación baja desde hace dos décadas</w:t>
            </w:r>
          </w:p>
        </w:tc>
        <w:tc>
          <w:tcPr>
            <w:tcW w:type="dxa" w:w="1312"/>
          </w:tcPr>
          <w:p>
            <w:pPr>
              <w:spacing w:after="20" w:line="264" w:lineRule="auto"/>
            </w:pPr>
            <w:r/>
            <w:r>
              <w:rPr>
                <w:rFonts w:ascii="Segoe UI" w:hAnsi="Segoe UI" w:eastAsia="Segoe UI" w:cs="Segoe UI"/>
                <w:color w:val="1F1D1A"/>
                <w:sz w:val="18"/>
              </w:rPr>
              <w:t>Hasta un 20 % de las estaciones, por encima de las normas legales de la UE</w:t>
            </w:r>
          </w:p>
        </w:tc>
        <w:tc>
          <w:tcPr>
            <w:tcW w:type="dxa" w:w="1312"/>
          </w:tcPr>
          <w:p>
            <w:pPr>
              <w:spacing w:after="20" w:line="264" w:lineRule="auto"/>
            </w:pPr>
            <w:r/>
            <w:r>
              <w:rPr>
                <w:rFonts w:ascii="Segoe UI" w:hAnsi="Segoe UI" w:eastAsia="Segoe UI" w:cs="Segoe UI"/>
                <w:color w:val="1F1D1A"/>
                <w:sz w:val="18"/>
              </w:rPr>
              <w:t>Agencia Europea de Medio Ambiente, 2026</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España, seguimiento de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buen estado, el 50,2 % de las masas superficiales (2.745 de 5.470) y el 54,1 % de las subterráneas (435 de 804); cálculo de la edición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Europa,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Estado ecológico bueno o muy bueno, el 37 % de las aguas superficiales; buen estado químico, el 29 %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Agencia Europea de Medio Ambiente,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España</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El 24,8 % de la superficie erosionable, con erosión media o alta (más de 10 toneladas por hectárea y año)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erosión</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60 %, probablemente no sano (basta un proceso de degradación)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degradación</w:t>
            </w:r>
          </w:p>
        </w:tc>
        <w:tc>
          <w:tcPr>
            <w:tcW w:type="dxa" w:w="1312"/>
          </w:tcPr>
          <w:p>
            <w:pPr>
              <w:spacing w:after="20" w:line="264" w:lineRule="auto"/>
            </w:pPr>
            <w:r/>
            <w:r>
              <w:rPr>
                <w:rFonts w:ascii="Segoe UI" w:hAnsi="Segoe UI" w:eastAsia="Segoe UI" w:cs="Segoe UI"/>
                <w:color w:val="1F1D1A"/>
                <w:sz w:val="18"/>
              </w:rPr>
              <w:t>Centro Común de Investigación de la Comisión Europea, 2024</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1,10 (</w:t>
            </w:r>
            <w:r>
              <w:rPr>
                <w:rFonts w:ascii="Segoe UI" w:hAnsi="Segoe UI" w:eastAsia="Segoe UI" w:cs="Segoe UI"/>
                <w:color w:val="1F1D1A"/>
                <w:sz w:val="18"/>
              </w:rPr>
              <w:t>8.8</w:t>
            </w:r>
            <w:r>
              <w:rPr>
                <w:rFonts w:ascii="Segoe UI" w:hAnsi="Segoe UI" w:eastAsia="Segoe UI" w:cs="Segoe UI"/>
                <w:color w:val="1F1D1A"/>
                <w:sz w:val="18"/>
              </w:rPr>
              <w:t>)</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INE (</w:t>
            </w:r>
            <w:r>
              <w:rPr>
                <w:rFonts w:ascii="Segoe UI" w:hAnsi="Segoe UI" w:eastAsia="Segoe UI" w:cs="Segoe UI"/>
                <w:color w:val="1F1D1A"/>
                <w:sz w:val="18"/>
              </w:rPr>
              <w:t>8.8</w:t>
            </w:r>
            <w:r>
              <w:rPr>
                <w:rFonts w:ascii="Segoe UI" w:hAnsi="Segoe UI" w:eastAsia="Segoe UI" w:cs="Segoe UI"/>
                <w:color w:val="1F1D1A"/>
                <w:sz w:val="18"/>
              </w:rPr>
              <w: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UE, 2001-2024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1,43 a 1,34, su mínimo</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Eurostat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Mundo, 1970-2024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4,83 a 2,25 (1970, estimación; 2024, primer año de la proyección)</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Naciones Unidas, Perspectivas de la población mundial 2024</w:t>
            </w:r>
          </w:p>
        </w:tc>
      </w:tr>
    </w:tbl>
    <w:p>
      <w:pPr>
        <w:spacing w:after="80"/>
      </w:pPr>
    </w:p>
    <w:p>
      <w:r>
        <w:t>Sin leer en su fuente, y por eso fuera de la tabla: la biomasa de los peces del mar, el buen estado del mar de España por descriptores, los plásticos que entran al mar en el mundo, el estado del suelo del mundo y la superficie del eucalipto en España.</w:t>
      </w:r>
    </w:p>
    <w:p>
      <w:r>
        <w:t>[encargo de fuentes «frutos del planeta», lotes A a D, 12-oct-2026 (</w:t>
      </w:r>
      <w:r>
        <w:rPr>
          <w:rFonts w:ascii="Consolas" w:hAnsi="Consolas" w:eastAsia="Consolas" w:cs="Consolas"/>
          <w:color w:val="1F1D1A"/>
          <w:sz w:val="19"/>
        </w:rPr>
        <w:t>07/fuentes/frutos_del_planeta</w:t>
      </w:r>
      <w:r>
        <w:t>), verificados por programa; cada cifra, vuelta a buscar en su archivo (</w:t>
      </w:r>
      <w:r>
        <w:rPr>
          <w:rFonts w:ascii="Consolas" w:hAnsi="Consolas" w:eastAsia="Consolas" w:cs="Consolas"/>
          <w:color w:val="1F1D1A"/>
          <w:sz w:val="19"/>
        </w:rPr>
        <w:t>comprobar_B20.py</w:t>
      </w:r>
      <w:r>
        <w:t>, 66 de 66); borrador B20]</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xml:space="preserve">). Qué parte del árbol mira cada capítulo está en el mapa de J.1. </w:t>
      </w:r>
      <w:r>
        <w:t>[Kiko, chats de 08.18 y 08.19, 12-oct-2026; parlamento del hilo de la poda (08/20), apartados 5.1, 11 y 12; borrador B15; lectura del autor y una conclusión con las palabras de 9.1; sin dato nuevo; los daños colaterales, con las palabras de Kiko en el chat de 08.26, 12-oct-2026 (B20 bis)]</w:t>
      </w:r>
    </w:p>
    <w:p>
      <w:r>
        <w:rPr>
          <w:b/>
        </w:rPr>
        <w:t>Lo que no hace.</w:t>
      </w:r>
      <w:r>
        <w:t xml:space="preserve"> La obra no exime de ninguna obligación vigente: mientras el Estado no cambie, las obligaciones vigentes siguen vigentes</w:t>
      </w:r>
      <w:r>
        <w:t xml:space="preserve"> (Constitución, art. 9.1)</w:t>
      </w:r>
      <w:r>
        <w:t xml:space="preserve">. Tampoco invita a desobedecer. Juzga instituciones y diseños legales, nunca personas ni colectivos. Y no da consejo financiero ni de inversión. </w:t>
      </w:r>
      <w:r>
        <w:t>[00.0-7.4; libro de estilo §4]</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t>[glosario 1.2 y 1.3; plan de la edición]</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 xml:space="preserve">. </w:t>
      </w:r>
      <w:r>
        <w:t>[glosario 1.4]</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t xml:space="preserve"> (Jn 20:25)</w:t>
      </w:r>
      <w:r>
        <w:t>. Y no se le reprendió: «Mete tu dedo aquí, y ve mis manos: y alarga acá tu mano, y métela en mi costado»</w:t>
      </w:r>
      <w:r>
        <w:t xml:space="preserve"> (Jn 20:27)</w:t>
      </w:r>
      <w:r>
        <w:t>; «bienaventurados los que no vieron y creyeron»</w:t>
      </w:r>
      <w:r>
        <w:t xml:space="preserve"> (Jn 20:29)</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t xml:space="preserve">[Kiko, 9-oct-2026: las tres puertas y la versión D («Sí a las dos, concuerdo»; </w:t>
      </w:r>
      <w:r>
        <w:rPr>
          <w:rFonts w:ascii="Consolas" w:hAnsi="Consolas" w:eastAsia="Consolas" w:cs="Consolas"/>
          <w:color w:val="1F1D1A"/>
          <w:sz w:val="19"/>
        </w:rPr>
        <w:t>07/05</w:t>
      </w:r>
      <w:r>
        <w:t xml:space="preserve">) y, en el chat de 08, «el ejemplo de santo Tomás: si no lo veo y no lo palpo, no me lo creo; quien necesita más pruebas según su endurecimiento, como daño colateral de coexistir en un sistema totalmente contra natura»; Jn 20:25, 27 y 29 en la Reina-Valera 1909 de </w:t>
      </w:r>
      <w:r>
        <w:rPr>
          <w:rFonts w:ascii="Consolas" w:hAnsi="Consolas" w:eastAsia="Consolas" w:cs="Consolas"/>
          <w:color w:val="1F1D1A"/>
          <w:sz w:val="19"/>
        </w:rPr>
        <w:t>06</w:t>
      </w:r>
      <w:r>
        <w:t xml:space="preserve"> (</w:t>
      </w:r>
      <w:r>
        <w:rPr>
          <w:rFonts w:ascii="Consolas" w:hAnsi="Consolas" w:eastAsia="Consolas" w:cs="Consolas"/>
          <w:color w:val="1F1D1A"/>
          <w:sz w:val="19"/>
        </w:rPr>
        <w:t>spaRV1909_vpl.txt</w:t>
      </w:r>
      <w:r>
        <w:t>, leídos hoy); «contra natura» se dice de normas e instituciones, nunca de personas (5.2)]</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 </w:t>
      </w:r>
      <w:r>
        <w:t>[Kiko, 5-oct-2026; libreta 72, punto 120]</w:t>
      </w:r>
    </w:p>
    <w:p>
      <w:r>
        <w:t xml:space="preserve">En todos los escalones se ven siempre los rótulos que separan el dato de la interpretación. Cada capítulo empieza con «En pocas palabras» y termina con «Para recordar», y cada apartado se abre con su idea en una frase. </w:t>
      </w:r>
      <w:r>
        <w:t>[decisión de Kiko del 5-oct; libreta 72, punto 112]</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t>[00.0-0.0.3; 00.0-10.7; 01.00-17.1; glosario 5.5 y 8.13; libro de estilo §2 y §3]</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t xml:space="preserve"> (Jn 8:44)</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t xml:space="preserve"> (Catecismo de la Iglesia católica, n.º 1867)</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r>
        <w:t>[glosario 9.1 y 9.3; libro de estilo §3 y §4; Jn 8:44, Reina-Valera Antigua]</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t xml:space="preserve"> [original: «innaturale est et indebitum quod aliquis voce significet id quod non habet in mente»]</w:t>
      </w:r>
      <w:r>
        <w:t xml:space="preserve"> (Suma teológica II-II, q. 110, a. 3)</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t xml:space="preserve"> (Ley de Enjuiciamiento Civil, art. 385.1)</w:t>
      </w:r>
      <w:r>
        <w:t>. Y el tribunal que presume un hecho necesita otro «admitido o probado», un «enlace preciso y directo» entre los dos, y debe razonarlo en la sentencia</w:t>
      </w:r>
      <w:r>
        <w:t xml:space="preserve"> (Ley de Enjuiciamiento Civil, art. 386.1)</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r>
        <w:t>[glosario 3.4 y 3.5; Ley de Enjuiciamiento Civil, arts. 385.1 y 386.1, leídos en el BOE; borrador B1, 9-oct; 04p fila 36]</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t xml:space="preserve"> (Mt 7:16)</w:t>
      </w:r>
      <w:r>
        <w:t>.</w:t>
      </w:r>
    </w:p>
    <w:p>
      <w:pPr>
        <w:pStyle w:val="ListBullet"/>
      </w:pPr>
      <w:r>
        <w:t>En el griego del Evangelio dice «por sus frutos los reconoceréis»</w:t>
      </w:r>
      <w:r>
        <w:t xml:space="preserve"> [original: «ἀπὸ τῶν καρπῶν αὐτῶν ἐπιγνώσεσθε αὐτούς»]</w:t>
      </w:r>
      <w:r>
        <w:t xml:space="preserve">. El verbo es </w:t>
      </w:r>
      <w:r>
        <w:rPr>
          <w:i/>
        </w:rPr>
        <w:t>epiginóskō</w:t>
      </w:r>
      <w:r>
        <w:t>, «reconocer».</w:t>
      </w:r>
    </w:p>
    <w:p>
      <w:pPr>
        <w:pStyle w:val="ListBullet"/>
      </w:pPr>
      <w:r>
        <w:t>No es el mismo verbo de «No juzguéis, para que no seáis juzgados»</w:t>
      </w:r>
      <w:r>
        <w:t xml:space="preserve"> (Mt 7:1)</w:t>
      </w:r>
      <w:r>
        <w:t xml:space="preserve">, que es </w:t>
      </w:r>
      <w:r>
        <w:rPr>
          <w:i/>
        </w:rPr>
        <w:t>krínō</w:t>
      </w:r>
      <w:r>
        <w:t>, «juzgar». En Lucas, ese «no juzguéis» va con «no condenéis»</w:t>
      </w:r>
      <w:r>
        <w:t xml:space="preserve"> (Lc 6:37)</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t xml:space="preserve"> (Jn 7:24)</w:t>
      </w:r>
      <w:r>
        <w:t>. Por eso esta obra es un análisis, no un juicio.</w:t>
      </w:r>
    </w:p>
    <w:p>
      <w:r>
        <w:t>[00.00-2.1; 00.0-10.5; glosario 5.3; Mt 7:1, Mt 7:16, Lc 6:37 y Jn 7:24, Reina-Valera Antigua]</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t xml:space="preserve"> (Corán 61:2, traducción de Julio Cortés)</w:t>
      </w:r>
      <w:r>
        <w:t>.</w:t>
      </w:r>
    </w:p>
    <w:p>
      <w:pPr>
        <w:pStyle w:val="ListBullet"/>
      </w:pPr>
      <w:r>
        <w:rPr>
          <w:b/>
        </w:rPr>
        <w:t>Judaísmo:</w:t>
      </w:r>
      <w:r>
        <w:t xml:space="preserve"> «no es el estudio lo principal, sino la acción»</w:t>
      </w:r>
      <w:r>
        <w:t xml:space="preserve"> [original: «וְלֹא הַמִּדְרָשׁ הוּא הָעִקָּר, אֶלָּא הַמַּעֲשֶׂה»]</w:t>
      </w:r>
      <w:r>
        <w:t xml:space="preserve"> (Pirkei Avot 1:17)</w:t>
      </w:r>
      <w:r>
        <w:t>.</w:t>
      </w:r>
    </w:p>
    <w:p>
      <w:pPr>
        <w:pStyle w:val="ListBullet"/>
      </w:pPr>
      <w:r>
        <w:rPr>
          <w:b/>
        </w:rPr>
        <w:t>Primera carta de Juan:</w:t>
      </w:r>
      <w:r>
        <w:t xml:space="preserve"> «no amemos de palabra ni de lengua, sino de obra y en verdad»</w:t>
      </w:r>
      <w:r>
        <w:t xml:space="preserve"> (1 Jn 3:18)</w:t>
      </w:r>
      <w:r>
        <w:t>.</w:t>
      </w:r>
    </w:p>
    <w:p>
      <w:pPr>
        <w:pStyle w:val="ListBullet"/>
      </w:pPr>
      <w:r>
        <w:rPr>
          <w:b/>
        </w:rPr>
        <w:t>Aristóteles:</w:t>
      </w:r>
      <w:r>
        <w:t xml:space="preserve"> «la verdad, en materia de conducta, se juzga por los hechos y por la vida real»</w:t>
      </w:r>
      <w:r>
        <w:t xml:space="preserve"> [original: «truth, in matters of moral action, is judged from facts and from actual life», en la traducción inglesa de Chase]</w:t>
      </w:r>
      <w:r>
        <w:t xml:space="preserve"> (Ética a Nicómaco X, 8)</w:t>
      </w:r>
      <w:r>
        <w:t>.</w:t>
      </w:r>
    </w:p>
    <w:p>
      <w:r>
        <w:t>Y con la misma coincidencia, el criterio de no hacer daño al otro: «amarás á tu prójimo como á ti mismo»</w:t>
      </w:r>
      <w:r>
        <w:t xml:space="preserve"> (Lv 19:18)</w:t>
      </w:r>
      <w:r>
        <w:t>; «La caridad no hace mal al prójimo: así que, el cumplimento de la ley es la caridad»</w:t>
      </w:r>
      <w:r>
        <w:t xml:space="preserve"> (Rm 13:10)</w:t>
      </w:r>
      <w:r>
        <w:t>.</w:t>
      </w:r>
    </w:p>
    <w:p>
      <w:r>
        <w:t>[00.00-2.2 a 2.14; glosario 5.3; las citas, comprobadas en su fuente]</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t xml:space="preserve"> (Lv 19:18)</w:t>
      </w:r>
      <w:r>
        <w:t>. Y Hillel, a quien pedían la Torá entera, respondió: «Lo que te es odioso no lo hagas a otro; eso es toda la Torá, y el resto es su explicación»</w:t>
      </w:r>
      <w:r>
        <w:t xml:space="preserve"> [original: «That which is hateful to you do not do to another; that is the entire Torah, and the rest is its interpretation. Go study.», en la traducción inglesa de Sefaria]</w:t>
      </w:r>
      <w:r>
        <w:t xml:space="preserve"> (Talmud de Babilonia, Shabat 31a)</w:t>
      </w:r>
      <w:r>
        <w:t>.</w:t>
      </w:r>
    </w:p>
    <w:p>
      <w:pPr>
        <w:pStyle w:val="ListBullet"/>
      </w:pPr>
      <w:r>
        <w:rPr>
          <w:b/>
        </w:rPr>
        <w:t>El Evangelio:</w:t>
      </w:r>
      <w:r>
        <w:t xml:space="preserve"> «todas las cosas que quisierais que los hombres hiciesen con vosotros, así también haced vosotros con ellos; porque esta es la ley y los profetas»</w:t>
      </w:r>
      <w:r>
        <w:t xml:space="preserve"> (Mt 7:12)</w:t>
      </w:r>
      <w:r>
        <w:t>.</w:t>
      </w:r>
    </w:p>
    <w:p>
      <w:pPr>
        <w:pStyle w:val="ListBullet"/>
      </w:pPr>
      <w:r>
        <w:rPr>
          <w:b/>
        </w:rPr>
        <w:t>China:</w:t>
      </w:r>
      <w:r>
        <w:t xml:space="preserve"> Confucio, preguntado si hay una palabra que sirva de regla para toda la vida: «¿No es la reciprocidad? Lo que no quieras que te hagan, no se lo hagas a otros»</w:t>
      </w:r>
      <w:r>
        <w:t xml:space="preserve"> [original: «子曰、其恕乎、己所不欲、勿施於人。»]</w:t>
      </w:r>
      <w:r>
        <w:t xml:space="preserve"> (Analectas 15, 23, en la edición de Legge)</w:t>
      </w:r>
      <w:r>
        <w:t>.</w:t>
      </w:r>
    </w:p>
    <w:p>
      <w:pPr>
        <w:pStyle w:val="ListBullet"/>
      </w:pPr>
      <w:r>
        <w:rPr>
          <w:b/>
        </w:rPr>
        <w:t>India:</w:t>
      </w:r>
      <w:r>
        <w:t xml:space="preserve"> «No debe hacerse nunca a otro lo que uno tiene por dañino para sí mismo. Esta es, en breve, la regla de la Rectitud»</w:t>
      </w:r>
      <w:r>
        <w:t xml:space="preserve"> [original: «One should never do that to another which one regards as injurious to one's own self. This, in brief, is the rule of Righteousness.», en la traducción inglesa de Ganguli]</w:t>
      </w:r>
      <w:r>
        <w:t xml:space="preserve"> (Mahabharata, Anushasana Parva, sección 113)</w:t>
      </w:r>
      <w:r>
        <w:t>.</w:t>
      </w:r>
    </w:p>
    <w:p>
      <w:pPr>
        <w:pStyle w:val="ListBullet"/>
      </w:pPr>
      <w:r>
        <w:rPr>
          <w:b/>
        </w:rPr>
        <w:t>El budismo,</w:t>
      </w:r>
      <w:r>
        <w:t xml:space="preserve"> en el </w:t>
      </w:r>
      <w:r>
        <w:rPr>
          <w:i/>
        </w:rPr>
        <w:t>Udanavarga</w:t>
      </w:r>
      <w:r>
        <w:t>: «como lo que es querido para ti lo es también para los otros, no hieras a otros con lo que te duele a ti»</w:t>
      </w:r>
      <w:r>
        <w:t xml:space="preserve"> [original: «as it is the same thing that is dear to you and to others, hurt not others with what pains yourself», en la traducción inglesa de Rockhill]</w:t>
      </w:r>
      <w:r>
        <w:t xml:space="preserve"> (Udanavarga V, 18)</w:t>
      </w:r>
      <w:r>
        <w:t>.</w:t>
      </w:r>
    </w:p>
    <w:p>
      <w:pPr>
        <w:pStyle w:val="ListBullet"/>
      </w:pPr>
      <w:r>
        <w:rPr>
          <w:b/>
        </w:rPr>
        <w:t>El jainismo:</w:t>
      </w:r>
      <w:r>
        <w:t xml:space="preserve"> «tratar a todos los seres del mundo como uno mismo querría ser tratado»</w:t>
      </w:r>
      <w:r>
        <w:t xml:space="preserve"> [original: «treating all creatures in the world so as he himself would be treated», en la traducción inglesa de Jacobi]</w:t>
      </w:r>
      <w:r>
        <w:t xml:space="preserve"> (Sutrakritanga I, 11)</w:t>
      </w:r>
      <w:r>
        <w:t>.</w:t>
      </w:r>
    </w:p>
    <w:p>
      <w:pPr>
        <w:pStyle w:val="ListBullet"/>
      </w:pPr>
      <w:r>
        <w:rPr>
          <w:b/>
        </w:rPr>
        <w:t>Persia (zoroastrismo):</w:t>
      </w:r>
      <w:r>
        <w:t xml:space="preserve"> la naturaleza es buena solo cuando «no hace a otro lo que no es bueno para sí misma»</w:t>
      </w:r>
      <w:r>
        <w:t xml:space="preserve"> [original: «shall not do unto another whatever is not good for its own self», en la traducción inglesa de West]</w:t>
      </w:r>
      <w:r>
        <w:t xml:space="preserve"> (Dadistan-i-Dinik 94, 5)</w:t>
      </w:r>
      <w:r>
        <w:t>.</w:t>
      </w:r>
    </w:p>
    <w:p>
      <w:pPr>
        <w:pStyle w:val="ListBullet"/>
      </w:pPr>
      <w:r>
        <w:rPr>
          <w:b/>
        </w:rPr>
        <w:t>Grecia:</w:t>
      </w:r>
      <w:r>
        <w:t xml:space="preserve"> «No hagas a otros lo que te irrita que te hagan a ti»</w:t>
      </w:r>
      <w:r>
        <w:t xml:space="preserve"> [original: «Do not do to others that which angers you when they do it to you.», en la traducción inglesa de Norlin]</w:t>
      </w:r>
      <w:r>
        <w:t xml:space="preserve"> (Isócrates, Nicocles 61)</w:t>
      </w:r>
      <w:r>
        <w:t>.</w:t>
      </w:r>
    </w:p>
    <w:p>
      <w:pPr>
        <w:pStyle w:val="ListBullet"/>
      </w:pPr>
      <w:r>
        <w:rPr>
          <w:b/>
        </w:rPr>
        <w:t>El islam:</w:t>
      </w:r>
      <w:r>
        <w:t xml:space="preserve"> «Ninguno de vosotros tendrá fe hasta que desee para su hermano lo que desea para sí»</w:t>
      </w:r>
      <w:r>
        <w:t xml:space="preserve"> [original: «None of you will have faith till he wishes for his (Muslim) brother what he likes for himself», en la copia inglesa de la colección de Bujari]</w:t>
      </w:r>
      <w:r>
        <w:t xml:space="preserve"> (Sahih al-Bujari 13)</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xml:space="preserve">, no se leyó en su fuente. </w:t>
      </w:r>
      <w:r>
        <w:t>[fuentes del agente de flecos, lote 6 (9-oct-2026); lista 04p, fila 30; 04o, 5]</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t>[00.00-2.15; 00.00-2.20; 00.0-10.2; glosario 5.1]</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 xml:space="preserve">). </w:t>
      </w:r>
      <w:r>
        <w:t>[parlamento de la balanza (08/22), apartados 8 y 11; J.0 a J.4]</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 xml:space="preserve">). </w:t>
      </w:r>
      <w:r>
        <w:t>[Kiko, chats de 08.20 y 08.21, 12-oct-2026, 10:0x a 10:5x; parlamento de la balanza (08/22), apartados 10 y 11; lectura del autor, sin dato nuevo]</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r>
        <w:t>[01.00-0.1; 00.00-1.5; glosario 5.4]</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r>
        <w:t>[índice aprobado en la F2; 00.0-8 (mapa de la auditoría del Pórtico), rehecho; el mapa del árbol, M6, 9-oct-2026]</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r>
        <w:t>[glosario 8.13; el texto pasa a «11 material -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r>
        <w:br w:type="page"/>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(c) en 1.3, «carta a los tesalonicenses», en minúscula, como «carta a los corintios» en 3.7 (07/herramientas/aplicar_cinco_de_forma.py). Ninguna otra palabra cambia. Cambio del 12-oct-2026, el cierre, dentro del paso 3 (B13: Kiko, chat de 08.18, 06:3x, «si» a la forma «sin contacto documentado entre sí»; orden de 08.29, filas 709 y 710 de 08/01, tras la auditoría de 10.36): las 5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2 (borrador B16). Ninguna otra palabra cambia. Cambio del 12-oct-2026 (B13, punto 7 en otra forma; decisión de 08.18 sobre la frase que Kiko aprobó en el chat de 08.18, 06:3x: «si»; la vio 10.29): en 1.9, «convergen 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«tradiciones que nunca se leyeron entre sí» pasa a «tradiciones sin contacto documentado entre sí» en «En pocas palabras» y en «La idea» de 1.4 (la forma del veredicto de 1.4 y de 1.9); y en 1.5, «la esclavitud estuvo en casi todos los pueblos» pasa a «estuvo muy extendida»: ninguna fuente de la obra da ese «casi todos». Ninguna otra palabra cambia. Cambio del 9-oct-2026 (Kiko: «Sí, ponlo en 1.5»; fila 29 de 04p): en 1.5, tras «La condición», un bloque nuevo, «Dos ejemplos de costumbre que no pasa la vara»: el robo hacia fuera de la propia tribu entre los germanos según César (VI, 23) y la mutilación genital femenina con las cifras de la OMS y la resolución de la ONU de 2012, con su «Lectura del autor». «La idea» de 1.5 no cambia. Cambio del 9-oct-2026 (Kiko: «sí al B10 con las dos recomendaciones, aplícalo»; fila 41 de 04p; borrador B10): en el ejemplo de la moneda, al final de 1.5, la lista de dónde están los hechos de hoy añade 8.10 (la salud y la familia). Cambio del 9-oct-2026 (Kiko: «Sí a las tres, redáctalo» y «sí a B9»; fila 41 de 04p, parte a; borrador B9 de la carpeta 07): al final de 1.5, una «Lectura del autor» con la moneda como ejemplo de costumbre que se asume por el uso y no pasa la vara (el paso del oro a la confianza, la ironía de la confianza que se pierde con la inflación, «en el plan divino esto no cabía»); los hechos se remiten a 8.1, 5.1, 5.4 y 8.4, sin cifras nuevas. Y una línea al final de 1.6 que remite al ejemplo. Cambio del 9-oct-2026 (Kiko: «Sí a todo el B3 y el B4, aplícalos» en el chat de la ventana que acompaña, y «SÍ A TODO, LO PARLAMENTADO EN ESTE CONSENSO» en el de la que trabaja; fila 2 de 04p; borrador B3 de la carpeta 07): al final del capítulo, un apartado nuevo, 1.9 «La legitimidad de la autoridad: original y derivada» (la autoridad original es la de la ley de Dios y la natural; la derivada, la de la costumbre y la ley escrita, que se pierde por el conflicto de interés, por salirse del bien común y por apartarse de lo superior; Mencio y el Shû King como testigos del criterio, no del hecho; la prueba de una pregunta; que se elige), con una viñeta en «En pocas palabras», una frase en 1.0 y una viñeta en «Para recordar». «Verdad comprobada», no «verdad absoluta» (decisión del borrador, aprobada). Cambio del 9-oct-2026 (Kiko: «Sí al B1, aplícalo en 06»; borrador B1 de la carpeta 07; filas 3, 4 y 36 de 04p y definición de «ley escrita»): en 1.1, un párrafo nuevo «La ley escrita se juzga por a quién sirve» (sirve a lo de arriba, o sirve a quien la escribe; lo mismo vale para la costumbre; el testimonio escrito de la ley de Dios o de la natural no es «ley escrita» en este sentido); en 1.4, «Dos sentidos de “natural”»; en 1.5, «La condición» de la costumbre; en 1.6, «Las tres maneras de servir al hombre» (Aquino, Suma teológica I-II, q. 96, a. 4, leído en el latín de Corpus Thomisticum). No cambia ninguna cita anterior. Cambio del 9-oct-2026 (Kiko, decisión Q16 del bloque 04n, «sí a todas»; fila 5 de 04p): en la voz de la obra, «ley escrita» en lugar de «derecho positivo», que queda solo entre comillas al citar a Aquino y para decir cómo la llama él. Cambiados: el concepto de esta cabecera, el orden de las cuatro leyes y el apartado de la ley escrita en 1.1, la lectura del autor de 1.1 y el título de 1.6. Ninguna cita, dato ni fuente cambia. Cambio del 8-oct-2026 (fase de reparación, traducciones sin original, quinta tanda): puestos, junto a sus traducciones, los originales de Savigny (1814, pp. 13-14), de la ley del 30 ventoso del año XII (art. 7), del ABGB austriaco (§ 10) y de Hobbes (Leviatán XXVI); los cuatro estaban leídos en su fuente (libreta 58) y hoy se bajaron y se cotejaron letra a letra. Cambio del 8-oct-2026 (fase de reparación, auditoría de las citas contra los originales): puesto el original latino junto a cuatro citas traducidas que no lo llevaban (libro de estilo §1): Digesto 1.3.32, Suma teológica I-II q. 97 a. 3, Código de Justiniano 8.52.2 y 3.5.1. Leídos hoy en los archivos locales (Digesto y Códice en Grenoble; Aquino en Corpus Thomisticum). ESTADO: APROBADO por Kiko el 5-oct-2026 («sí a las dos»). Su material está marcado en el inventario (04 CAPITULOS/marcas/marcas del capitulo 1.txt).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Lo que el capítulo no usa pasa, sin perderse, a su sitio: la metáfora del árbol de Kiko (11.00) a 2.0; el catálogo de presunciones de los cimientos (00.2 §1) a 5.2; la caída (Gn 6) a 4.3; las tradiciones orales y Suárez a 3.5 (antes 3.6); Ubuntu a 2.2; el taoísmo a 3.2; Mill y Dworkin a 11.2; las correcciones de Crisipo, Ulpiano, Bentham y «sine causa» al anexo G; la Unión Europea y las leyes orgánicas a los cargos 2 y 12; las vías reales de defensa (20.00) a 10.4; las máximas latinas, al anexo H. Citas: todas las literales se han leído hoy en su fuente original (Aquino en corpusthomisticum.org; Isidoro en thelatinlibrary.com; Aristóteles, Platón y Sófocles en Perseus; Mencio en Wikisource; Biblia en la Reina-Valera Antigua; Corán en la traducción de Julio Cortés; Dhammapada en SuttaCentral; Principios de Núremberg en legal.un.org; Código Civil, Constitución, Ley Orgánica del Poder Judicial, Leyes 29/1998, 39/2015 y 40/2015 en el BOE), o ya estaban leídas en su fuente en la libreta 58 (jerarquía de las fuentes). Lo que no se ha podido leer en el original lleva la marca «fuente secundaria». Conceptos que ancla este capítulo: el orden de las leyes; la ley de Dios; la ley natural y el orden natural; la costumbre; la ley escrita («la ley puesta por los hombres»); la corrupción de la ley; el principio de Núremberg; el orden oficial, «el orden puesto por el hombre» y «el orden invertido»; las dos jurisdicciones; la autoridad original y la derivada; la prueba de una pregunta. TRES NIVELES (Kiko, 5-oct-2026, «sí a las dos»; libreta 72, puntos 112 y 113): pasado al formato de tres niveles sin cambiar ningún dato ni ninguna cita. Añadido: «En pocas palabras», «La idea» de cada apartado y «Para recordar».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xml:space="preserve">). A partir de aquí, cada cosa se llama por su lugar en ese orden, y no por el nombre que le da el orden oficial. </w:t>
      </w:r>
      <w:r>
        <w:t>[glosario 4.1, 4.7 y 4.8]</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t xml:space="preserve"> (I-II, q. 91)</w:t>
      </w:r>
      <w:r>
        <w:t xml:space="preserve">, y el que guardaron, cada una a su manera, las tradiciones que este capítulo recorre. </w:t>
      </w:r>
      <w:r>
        <w:t>[00.0-2.1; glosario 4.1]</w:t>
      </w:r>
    </w:p>
    <w:p>
      <w:r>
        <w:rPr>
          <w:b/>
        </w:rPr>
        <w:t>La ley natural</w:t>
      </w:r>
      <w:r>
        <w:t>, para Aquino, es la parte de la ley de Dios que la razón humana alcanza por sí misma: «esa participación de la ley eterna en la criatura racional se llama ley natural»</w:t>
      </w:r>
      <w:r>
        <w:t xml:space="preserve"> [original: «talis participatio legis aeternae in rationali creatura lex naturalis dicitur»]</w:t>
      </w:r>
      <w:r>
        <w:t xml:space="preserve"> (Suma teológica I-II, q. 91, a. 2)</w:t>
      </w:r>
      <w:r>
        <w:t xml:space="preserve">. </w:t>
      </w:r>
      <w:r>
        <w:t>[00.0-2.1; Aquino leído en latín]</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t xml:space="preserve"> [original: «lex humanitus posita»]</w:t>
      </w:r>
      <w:r>
        <w:t xml:space="preserve"> (Suma teológica I-II, q. 95, a. 2)</w:t>
      </w:r>
      <w:r>
        <w:t>.</w:t>
      </w:r>
    </w:p>
    <w:p>
      <w:pPr>
        <w:pStyle w:val="ListBullet"/>
      </w:pPr>
      <w:r>
        <w:t>Es el derecho que se fija por acuerdo, o «cuando lo ordena el príncipe, que tiene a su cargo al pueblo»: «y esto se llama derecho positivo»</w:t>
      </w:r>
      <w:r>
        <w:t xml:space="preserve"> [original: «ex condicto»; «cum hoc ordinat princeps, qui curam populi habet»; «Et hoc dicitur ius positivum»]</w:t>
      </w:r>
      <w:r>
        <w:t xml:space="preserve"> (Suma teológica II-II, q. 57, a. 2)</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t xml:space="preserve"> [original: «si aliquid de se repugnantiam habeat ad ius naturale, non potest voluntate humana fieri iustum»; «unde dicitur Isaiae X, vae qui condunt leges iniquas»]</w:t>
      </w:r>
      <w:r>
        <w:t xml:space="preserve"> (Suma teológica II-II, q. 57, a. 2, respuesta a la segunda objeción)</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t xml:space="preserve"> (Is 10:1-2)</w:t>
      </w:r>
      <w:r>
        <w:t>.</w:t>
      </w:r>
    </w:p>
    <w:p>
      <w:pPr>
        <w:pStyle w:val="ListBullet"/>
      </w:pPr>
      <w:r>
        <w:t>Y la ley humana que se aparta de la natural deja de ser ley: «si en algo discrepa de la ley natural, ya no será ley, sino corrupción de la ley»</w:t>
      </w:r>
      <w:r>
        <w:t xml:space="preserve"> [original: «Si vero in aliquo a lege naturali discordet, iam non erit lex, sed legis corruptio»]</w:t>
      </w:r>
      <w:r>
        <w:t xml:space="preserve"> (Suma teológica I-II, q. 95, a. 2)</w:t>
      </w:r>
      <w:r>
        <w:t>.</w:t>
      </w:r>
    </w:p>
    <w:p>
      <w:r>
        <w:t>[00.0-2.2 y 00.0-2.6, corregido: la frase «se llama positivo a lo que procede de la voluntad humana» está en una objeción del artículo, no en la respuesta de Aquino; se cita la respuesta. Glosario 4.5]</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t xml:space="preserve"> [original: «omnis lex humanitus posita intantum habet de ratione legis, inquantum a lege naturae derivatur»]</w:t>
      </w:r>
      <w:r>
        <w:t xml:space="preserve"> (Suma teológica I-II, q. 95, a. 2)</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t xml:space="preserve"> [original: «non pertinentes ad utilitatem communem, sed magis ad propriam cupiditatem vel gloriam»]</w:t>
      </w:r>
      <w:r>
        <w:t xml:space="preserve"> (Suma teológica I-II, q. 96, a. 4)</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 xml:space="preserve">). </w:t>
      </w:r>
      <w:r>
        <w:t>[Aquino, I-II q. 95 a. 2 y q. 96 a. 4, leído en latín; borrador B1, 9-oct]</w:t>
      </w:r>
    </w:p>
    <w:p>
      <w:r>
        <w:rPr>
          <w:b/>
        </w:rPr>
        <w:t>El orden oficial es el inverso.</w:t>
      </w:r>
      <w:r>
        <w:t xml:space="preserve"> El Código Civil fija así las fuentes del derecho: «Las fuentes del ordenamiento jurídico español son la ley, la costumbre y los principios generales del derecho»</w:t>
      </w:r>
      <w:r>
        <w:t xml:space="preserve"> (Código Civil, art. 1.1)</w:t>
      </w:r>
      <w:r>
        <w:t>. La costumbre «sólo regirá en defecto de ley aplicable, siempre que no sea contraria a la moral o al orden público, y que resulte probada»</w:t>
      </w:r>
      <w:r>
        <w:t xml:space="preserve"> (art. 1.3)</w:t>
      </w:r>
      <w:r>
        <w:t>. Y los principios generales del derecho, que son la puerta por la que entra la ley natural, «se aplicarán en defecto de ley o costumbre»</w:t>
      </w:r>
      <w:r>
        <w:t xml:space="preserve"> (art. 1.4)</w:t>
      </w:r>
      <w:r>
        <w:t xml:space="preserve">. Lo humano, arriba; lo natural, al final. </w:t>
      </w:r>
      <w:r>
        <w:t>[00.2-1.1 y 1.3; 02.00-2.3; 11.00-7.1; Código Civil leído en el BOE]</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t xml:space="preserve"> (Fuero Nuevo de Navarra, ley 3)</w:t>
      </w:r>
      <w:r>
        <w:t xml:space="preserve">. </w:t>
      </w:r>
      <w:r>
        <w:t>[00.0-2.3; 02.00-9.2; libreta 58]</w:t>
      </w:r>
    </w:p>
    <w:p>
      <w:r>
        <w:rPr>
          <w:b/>
        </w:rPr>
        <w:t>Lectura del autor:</w:t>
      </w:r>
      <w:r>
        <w:t xml:space="preserve"> la ley escrita no es mala por ser obra de los hombres. Se tuerce cuando se pone por encima de la ley natural y de la ley de Dios, a las que debía servir. </w:t>
      </w:r>
      <w:r>
        <w:t>[00.0-2.4]</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t xml:space="preserve"> (Suma teológica I-II, q. 91, a. 1 y 4)</w:t>
      </w:r>
      <w:r>
        <w:t xml:space="preserve">. La obra reúne las dos en el primer escalón. </w:t>
      </w:r>
      <w:r>
        <w:t>[glosario 4.2; 00.0-1.1]</w:t>
      </w:r>
    </w:p>
    <w:p>
      <w:r>
        <w:t>Por qué va la primera lo dice la propia Escritura: «Es menester obedecer á Dios antes que á los hombres»</w:t>
      </w:r>
      <w:r>
        <w:t xml:space="preserve"> (Hch 5:29)</w:t>
      </w:r>
      <w:r>
        <w:t xml:space="preserve">. </w:t>
      </w:r>
      <w:r>
        <w:t>[00.2-2.2; Reina-Valera Antigua]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t xml:space="preserve"> (2 Co 4:4)</w:t>
      </w:r>
      <w:r>
        <w:t>;</w:t>
      </w:r>
    </w:p>
    <w:p>
      <w:pPr>
        <w:pStyle w:val="ListBullet"/>
      </w:pPr>
      <w:r>
        <w:t>dice de ciertos sacrificios que «á los demonios lo sacrifican, y no á Dios»</w:t>
      </w:r>
      <w:r>
        <w:t xml:space="preserve"> (1 Co 10:20)</w:t>
      </w:r>
      <w:r>
        <w:t>;</w:t>
      </w:r>
    </w:p>
    <w:p>
      <w:pPr>
        <w:pStyle w:val="ListBullet"/>
      </w:pPr>
      <w:r>
        <w:t>y a unos «dioses» que juzgaban injustamente les dice: «Yo dije: Vosotros sois dioses. E hijos todos vosotros del Altísimo. Empero como hombres moriréis. Y caeréis como cualquiera de los tiranos»</w:t>
      </w:r>
      <w:r>
        <w:t xml:space="preserve"> (Sal 82:6-7)</w:t>
      </w:r>
      <w:r>
        <w:t>.</w:t>
      </w:r>
    </w:p>
    <w:p>
      <w:r>
        <w:t>Por eso pide discernir: «no creáis á todo espíritu, sino probad los espíritus si son de Dios»</w:t>
      </w:r>
      <w:r>
        <w:t xml:space="preserve"> (1 Jn 4:1)</w:t>
      </w:r>
      <w:r>
        <w:t>. Y da la vara: «el que no ama, no conoce á Dios; porque Dios es amor»</w:t>
      </w:r>
      <w:r>
        <w:t xml:space="preserve"> (1 Jn 4:8)</w:t>
      </w:r>
      <w:r>
        <w:t xml:space="preserve">. Lo que exige daño, venganza o sacrificio del prójimo no procede de quien es amor. </w:t>
      </w:r>
      <w:r>
        <w:t>[00.0-3.1, 3.2 y 3.4; Reina-Valera Antigua]</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t xml:space="preserve"> (Hch 14:15)</w:t>
      </w:r>
      <w:r>
        <w:t>. El ángel del Apocalipsis: «Mira que no lo hagas: porque yo soy siervo contigo […] Adora á Dios»</w:t>
      </w:r>
      <w:r>
        <w:t xml:space="preserve"> (Ap 22:9)</w:t>
      </w:r>
      <w:r>
        <w:t>.</w:t>
      </w:r>
    </w:p>
    <w:p>
      <w:pPr>
        <w:pStyle w:val="ListBullet"/>
      </w:pPr>
      <w:r>
        <w:rPr>
          <w:b/>
        </w:rPr>
        <w:t>El falso la acepta.</w:t>
      </w:r>
      <w:r>
        <w:t xml:space="preserve"> Herodes se dejó aclamar como «Voz de Dios, y no de hombre», y cayó «por cuanto no dió la gloria á Dios»</w:t>
      </w:r>
      <w:r>
        <w:t xml:space="preserve"> (Hch 12:22-23)</w:t>
      </w:r>
      <w:r>
        <w:t>.</w:t>
      </w:r>
    </w:p>
    <w:p>
      <w:pPr>
        <w:pStyle w:val="ListBullet"/>
      </w:pPr>
      <w:r>
        <w:rPr>
          <w:b/>
        </w:rPr>
        <w:t>Un ser llegado antes, tomado por el Creador.</w:t>
      </w:r>
      <w:r>
        <w:t xml:space="preserve"> En el budismo, el primer ser que renace en un mundo nuevo piensa «soy Brahmā […], el Señor, el Hacedor, el Creador»</w:t>
      </w:r>
      <w:r>
        <w:t xml:space="preserve"> [original: «ahamasmi brahmā […] issaro kattā nimmātā»]</w:t>
      </w:r>
      <w:r>
        <w:t>, y los que llegan después lo creen porque llegó primero</w:t>
      </w:r>
      <w:r>
        <w:t xml:space="preserve"> (Dīgha Nikāya 1, 2.5-2.6)</w:t>
      </w:r>
      <w:r>
        <w:t>.</w:t>
      </w:r>
    </w:p>
    <w:p>
      <w:r>
        <w:t>[glosario 5.4.1, con sus citas leídas en el original]</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 </w:t>
      </w:r>
      <w:r>
        <w:t>[glosario 5.4.1]</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 </w:t>
      </w:r>
      <w:r>
        <w:t>[00.0-3.5]</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t xml:space="preserve"> (2 Ts 2:4)</w:t>
      </w:r>
      <w:r>
        <w:t xml:space="preserve">. Es una analogía, no un dato. </w:t>
      </w:r>
      <w:r>
        <w:t>[glosario 5.4.1, lectura aprobada por Kiko]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xml:space="preserve">) en quince tradiciones, con un resultado «deliberadamente mixto»: unas confirman, otras contradicen y otras no dan resultado. </w:t>
      </w:r>
      <w:r>
        <w:t>[01.00-0.1]</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 xml:space="preserve">). </w:t>
      </w:r>
      <w:r>
        <w:t>[borrador B1, 9-oct; 04n Q4]</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t xml:space="preserve"> [original: «τρέφονται γὰρ πάντες οἱ ἀνθρώπειοι νόμοι ὑπὸ ἑνὸς τοῦ θείου»]</w:t>
      </w:r>
      <w:r>
        <w:t xml:space="preserve"> (Heráclito, fragmento 114 (Diels-Kranz))</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t xml:space="preserve"> [original: «φυσικὸν μὲν τὸ πανταχοῦ τὴν αὐτὴν ἔχον δύναμιν, καὶ οὐ τῷ δοκεῖν ἢ μή»]</w:t>
      </w:r>
      <w:r>
        <w:t xml:space="preserve"> (Ética a Nicómaco V, 7, 1134b)</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xml:space="preserve"> [original: «今人乍見孺子將入於井，皆有怵惕惻隱之心»]</w:t>
      </w:r>
      <w:r>
        <w:t>, y no por ganarse a los padres del niño ni por la fama</w:t>
      </w:r>
      <w:r>
        <w:t xml:space="preserve"> (Mencio 2A:6)</w:t>
      </w:r>
      <w:r>
        <w:t>. De ahí sus cuatro brotes: la compasión, la vergüenza ante el mal, la cortesía y el sentido de lo justo, que todos tienen «como tienen cuatro miembros»</w:t>
      </w:r>
      <w:r>
        <w:t xml:space="preserve"> [original: «人之有是四端也，猶其有四體也»]</w:t>
      </w:r>
      <w:r>
        <w:t>.</w:t>
      </w:r>
    </w:p>
    <w:p>
      <w:r>
        <w:t>[01.00-1.1, 2.1, 4.1 y 4.2; Heráclito, Aristóteles y Mencio leídos en el original; Heráclito, en Wikisource griego, cotejado con Diels, 1901]</w:t>
      </w:r>
    </w:p>
    <w:p>
      <w:r>
        <w:rPr>
          <w:b/>
        </w:rPr>
        <w:t>La pata coja, también en las dos civilizaciones:</w:t>
      </w:r>
    </w:p>
    <w:p>
      <w:pPr>
        <w:pStyle w:val="ListBullet"/>
      </w:pPr>
      <w:r>
        <w:t>En Grecia, Trasímaco: «digo que lo justo no es otra cosa que lo que le conviene al más fuerte»</w:t>
      </w:r>
      <w:r>
        <w:t xml:space="preserve"> [original: «φημὶ γὰρ ἐγὼ εἶναι τὸ δίκαιον οὐκ ἄλλο τι ἢ τὸ τοῦ κρείττονος συμφέρον»]</w:t>
      </w:r>
      <w:r>
        <w:t xml:space="preserve"> (Platón, República I, 338c)</w:t>
      </w:r>
      <w:r>
        <w:t>.</w:t>
      </w:r>
    </w:p>
    <w:p>
      <w:pPr>
        <w:pStyle w:val="ListBullet"/>
      </w:pPr>
      <w:r>
        <w:t>En China, Yang Zhu, contemporáneo de Mencio, que se quedaba con el «para mí»</w:t>
      </w:r>
      <w:r>
        <w:t xml:space="preserve"> [original: «為我»]</w:t>
      </w:r>
      <w:r>
        <w:t>: «no se arrancaría un pelo aunque con ello beneficiara al mundo entero»</w:t>
      </w:r>
      <w:r>
        <w:t xml:space="preserve"> [original: «拔一毛而利天下，不為也»]</w:t>
      </w:r>
      <w:r>
        <w:t xml:space="preserve"> (Mencio 7A:26)</w:t>
      </w:r>
      <w:r>
        <w:t>.</w:t>
      </w:r>
    </w:p>
    <w:p>
      <w:r>
        <w:t>[01.00-3.1 y 4.2; leídos en el original]</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 </w:t>
      </w:r>
      <w:r>
        <w:t>[01.00-5.1]</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xml:space="preserve"> [original: «ἄγραπτα κἀσφαλῆ θεῶν νόμιμα»]</w:t>
      </w:r>
      <w:r>
        <w:t>, que «no son de hoy ni de ayer, sino que viven siempre»</w:t>
      </w:r>
      <w:r>
        <w:t xml:space="preserve"> [original: «οὐ γάρ τι νῦν γε κἀχθές, ἀλλ᾽ ἀεί ποτε ζῇ ταῦτα»]</w:t>
      </w:r>
      <w:r>
        <w:t xml:space="preserve"> (Antígona, vv. 454-457)</w:t>
      </w:r>
      <w:r>
        <w:t>.</w:t>
      </w:r>
    </w:p>
    <w:p>
      <w:pPr>
        <w:pStyle w:val="ListBullet"/>
      </w:pPr>
      <w:r>
        <w:rPr>
          <w:b/>
        </w:rPr>
        <w:t>El islam.</w:t>
      </w:r>
      <w:r>
        <w:t xml:space="preserve"> «¡Profesa la religión como hanif, según la naturaleza primigenia que Alá ha puesto en los hombres! No cabe alteración en la creación de Alá»</w:t>
      </w:r>
      <w:r>
        <w:t xml:space="preserve"> (Corán 30:30, traducción de Julio Cortés)</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t xml:space="preserve"> [original: «Sabbe tasanti daṇḍassa, sabbe bhāyanti maccuno; attānaṁ upamaṁ katvā, na haneyya na ghātaye»]</w:t>
      </w:r>
      <w:r>
        <w:t xml:space="preserve"> (Dhammapada 129)</w:t>
      </w:r>
      <w:r>
        <w:t>.</w:t>
      </w:r>
    </w:p>
    <w:p>
      <w:pPr>
        <w:pStyle w:val="ListBullet"/>
      </w:pPr>
      <w:r>
        <w:rPr>
          <w:b/>
        </w:rPr>
        <w:t>Isidoro de Sevilla.</w:t>
      </w:r>
      <w:r>
        <w:t xml:space="preserve"> «Ius naturale est commune omnium nationum, et quod ubique instinctu naturae, non constitutione aliqua habetur» (el derecho natural es común a todas las naciones, y se tiene en todas partes por instinto de la naturaleza, no por ninguna ley puesta). Entre sus ejemplos está «depositae rei vel commendatae pecuniae restitutio» (devolver lo depositado o el dinero confiado; Etimologías V, 4).</w:t>
      </w:r>
    </w:p>
    <w:p>
      <w:pPr>
        <w:pStyle w:val="ListBullet"/>
      </w:pPr>
      <w:r>
        <w:rPr>
          <w:b/>
        </w:rPr>
        <w:t>La ley aborigen de Australia,</w:t>
      </w:r>
      <w:r>
        <w:t xml:space="preserve"> el Tjukurpa, que «establece las reglas que usamos para gobernar la sociedad y gestionar la tierra», y que «dicta los procedimientos correctos para tratar los problemas y las penas por quebrantar la Ley»</w:t>
      </w:r>
      <w:r>
        <w:t xml:space="preserve"> [original: «Tjukurpa establishes the rules we use to govern society and manage the land. It dictates correct procedures for dealing with problems and penalties for breaking the Law.»]</w:t>
      </w:r>
      <w:r>
        <w:t xml:space="preserve"> (Parks Australia (Gobierno de Australia), ficha «Tjukurpa», 2021)</w:t>
      </w:r>
      <w:r>
        <w:t>. Con su límite: parte de ese saber solo se transmite a quien «ha heredado el derecho» a conocerlo.</w:t>
      </w:r>
    </w:p>
    <w:p>
      <w:pPr>
        <w:pStyle w:val="ListBullet"/>
      </w:pPr>
      <w:r>
        <w:rPr>
          <w:b/>
        </w:rPr>
        <w:t>La línea romana y cristiana</w:t>
      </w:r>
      <w:r>
        <w:t xml:space="preserve"> (Cicerón, Séneca, Aquino) dice lo mismo, pero no cuenta como pata nueva, porque viene de los griegos. Tampoco la Escuela de Salamanca: Francisco de Vitoria sostuvo en 1539 que los pueblos de América «eran, sin duda, verdaderos señores, pública y privadamente, igual que los cristianos», y que no perdían ese dominio por no ser cristianos</w:t>
      </w:r>
      <w:r>
        <w:t xml:space="preserve"> [original: «sine dubio barbari erant &amp; publice &amp; priuatim ita ueri domini, sicut Christiani»]</w:t>
      </w:r>
      <w:r>
        <w:t xml:space="preserve"> (Vitoria, Relectio de Indis I, edición de Lyon, 1557)</w:t>
      </w:r>
      <w:r>
        <w:t>. Con su matiz: en la misma lección admitió otros títulos para el dominio español, como el derecho a viajar y a comerciar «por derecho de gentes»</w:t>
      </w:r>
      <w:r>
        <w:t xml:space="preserve"> [original: «ex iure gentium»]</w:t>
      </w:r>
      <w:r>
        <w:t>.</w:t>
      </w:r>
    </w:p>
    <w:p>
      <w:r>
        <w:t>[01.00-6.1 a 6.5, 8.1 a 8.3 y 11.1 a 11.3; 02.00-10.1 y 11.2; los textos leídos en el original; el Tjukurpa y Vitoria, leídos el 5-oct]</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 </w:t>
      </w:r>
      <w:r>
        <w:t>[01.00-9.1 y 9.2]</w:t>
      </w:r>
    </w:p>
    <w:p>
      <w:r>
        <w:rPr>
          <w:b/>
        </w:rPr>
        <w:t>La ley natural frente a la mayoría.</w:t>
      </w:r>
      <w:r>
        <w:t xml:space="preserve"> Aquino distingue el bien común del bien de la mayoría: «el bien común de la ciudad y el bien de una persona no se diferencian solo en lo mucho o lo poco, sino en su forma»</w:t>
      </w:r>
      <w:r>
        <w:t xml:space="preserve"> [original: «bonum commune civitatis et bonum singulare unius personae non differunt solum secundum multum et paucum, sed secundum formalem differentiam»]</w:t>
      </w:r>
      <w:r>
        <w:t xml:space="preserve"> (Suma teológica II-II, q. 58, a. 7, respuesta a la segunda objeción)</w:t>
      </w:r>
      <w:r>
        <w:t xml:space="preserve">. Lo que conviene a la mayoría no es, sin más, el bien común. </w:t>
      </w:r>
      <w:r>
        <w:t>[01.00-14.1, corregido: el latín dice «no solo», y la Biblioteca lo citaba sin el «solo»; Aquino leído en latín]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t xml:space="preserve"> [original: «The fact that internal law does not impose a penalty for an act which constitutes a crime under international law does not relieve the person who committed the act from responsibility»]</w:t>
      </w:r>
      <w:r>
        <w:t xml:space="preserve"> (Principios de Núremberg, Principio II)</w:t>
      </w:r>
      <w:r>
        <w:t>;</w:t>
      </w:r>
    </w:p>
    <w:p>
      <w:pPr>
        <w:pStyle w:val="ListBullet"/>
      </w:pPr>
      <w:r>
        <w:t>haber actuado por orden de su Gobierno o de un superior no exime de responsabilidad, siempre que de hecho le fuera posible elegir moralmente</w:t>
      </w:r>
      <w:r>
        <w:t xml:space="preserve"> [original: «The fact that a person acted pursuant to order of his Government or of a superior does not relieve him from responsibility under international law, provided a moral choice was in fact possible to him»]</w:t>
      </w:r>
      <w:r>
        <w:t xml:space="preserve"> (Principios de Núremberg, Principio IV)</w:t>
      </w:r>
      <w:r>
        <w:t>.</w:t>
      </w:r>
    </w:p>
    <w:p>
      <w:r>
        <w:t>La propia Constitución española reconoce algo anterior a ella: «La dignidad de la persona, los derechos inviolables que le son inherentes» son «fundamento del orden político y de la paz social»</w:t>
      </w:r>
      <w:r>
        <w:t xml:space="preserve"> (Constitución, art. 10.1)</w:t>
      </w:r>
      <w:r>
        <w:t>. Inherentes: no los crea el Estado, los encuentra.</w:t>
      </w:r>
    </w:p>
    <w:p>
      <w:r>
        <w:t>[02.00-12.1 y 12.3; Principios de Núremberg leídos en legal.un.org; Constitución leída en el BOE]</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xml:space="preserve"> [original: «Mos est vetustate probata consuetudo, sive lex non scripta»]</w:t>
      </w:r>
      <w:r>
        <w:t>. Y precisó cuándo manda: «se toma por ley cuando falta la ley»</w:t>
      </w:r>
      <w:r>
        <w:t xml:space="preserve"> [original: «quod pro lege suscipitur, cum deficit lex»]</w:t>
      </w:r>
      <w:r>
        <w:t xml:space="preserve"> (Etimologías V, 3)</w:t>
      </w:r>
      <w:r>
        <w:t xml:space="preserve">. </w:t>
      </w:r>
      <w:r>
        <w:t>[11.00-5.1; glosario 4.4; Isidoro leído en latín]</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t xml:space="preserve"> [original: «non immerito»; «tacito consensu omnium per desuetudinem abrogentur»]</w:t>
      </w:r>
      <w:r>
        <w:t xml:space="preserve"> (Digesto 1.3.32)</w:t>
      </w:r>
      <w:r>
        <w:t>.</w:t>
      </w:r>
    </w:p>
    <w:p>
      <w:pPr>
        <w:pStyle w:val="ListBullet"/>
      </w:pPr>
      <w:r>
        <w:rPr>
          <w:b/>
        </w:rPr>
        <w:t>Confucio:</w:t>
      </w:r>
      <w:r>
        <w:t xml:space="preserve"> el pueblo guiado por leyes y castigos evita el castigo, «pero no tiene vergüenza»; guiado por la virtud y los ritos, «se hace bueno»</w:t>
      </w:r>
      <w:r>
        <w:t xml:space="preserve"> (Analectas 2.3)</w:t>
      </w:r>
      <w:r>
        <w:t>.</w:t>
      </w:r>
    </w:p>
    <w:p>
      <w:pPr>
        <w:pStyle w:val="ListBullet"/>
      </w:pPr>
      <w:r>
        <w:rPr>
          <w:b/>
        </w:rPr>
        <w:t>Aquino:</w:t>
      </w:r>
      <w:r>
        <w:t xml:space="preserve"> la costumbre «tiene fuerza de ley, abole la ley y es intérprete de la ley»</w:t>
      </w:r>
      <w:r>
        <w:t xml:space="preserve"> [original: «consuetudo et habet vim legis, et legem abolet, et est legum interpretatrix»]</w:t>
      </w:r>
      <w:r>
        <w:t xml:space="preserve"> (Suma teológica I-II, q. 97, a. 3)</w:t>
      </w:r>
      <w:r>
        <w:t>.</w:t>
      </w:r>
    </w:p>
    <w:p>
      <w:pPr>
        <w:pStyle w:val="ListBullet"/>
      </w:pPr>
      <w:r>
        <w:rPr>
          <w:b/>
        </w:rPr>
        <w:t>Savigny</w:t>
      </w:r>
      <w:r>
        <w:t xml:space="preserve"> (1814): todo derecho nace «primero por la costumbre y la creencia del pueblo […], no por el arbitrio de un legislador»</w:t>
      </w:r>
      <w:r>
        <w:t xml:space="preserve"> [original: «erst durch Sitte und Volksglaube […], nicht durch die Willkühr eines Gesetzgebers»]</w:t>
      </w:r>
      <w:r>
        <w:t xml:space="preserve"> (Savigny, Vom Beruf unsrer Zeit für Gesetzgebung und Rechtswissenschaft, Heidelberg, 1814, pp. 13-14)</w:t>
      </w:r>
      <w:r>
        <w:t>.</w:t>
      </w:r>
    </w:p>
    <w:p>
      <w:pPr>
        <w:pStyle w:val="ListBullet"/>
      </w:pPr>
      <w:r>
        <w:rPr>
          <w:b/>
        </w:rPr>
        <w:t>Las Leyes de Manu</w:t>
      </w:r>
      <w:r>
        <w:t xml:space="preserve"> (India): primero el Veda, después la tradición y después la costumbre de los virtuosos</w:t>
      </w:r>
      <w:r>
        <w:t xml:space="preserve"> (Leyes de Manu 2.6 y 2.12)</w:t>
      </w:r>
      <w:r>
        <w:t>.</w:t>
      </w:r>
    </w:p>
    <w:p>
      <w:r>
        <w:t>[11.00-8.3; libreta 58, todos leídos en su fuente]</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t xml:space="preserve"> [original: «vitioso more»]</w:t>
      </w:r>
      <w:r>
        <w:t xml:space="preserve"> (Tusculanas I, 30)</w:t>
      </w:r>
      <w:r>
        <w:t>. El propio Código Civil la pone bajo condición: solo rige «siempre que no sea contraria a la moral o al orden público»</w:t>
      </w:r>
      <w:r>
        <w:t xml:space="preserve"> (Código Civil, art. 1.3)</w:t>
      </w:r>
      <w:r>
        <w:t xml:space="preserve">. </w:t>
      </w:r>
      <w:r>
        <w:t>[borrador B1, 9-oct; 04n Q6]</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t xml:space="preserve"> [original: «Latrocinia nullam habent infamiam, quae extra fines cuiusque civitatis fiunt, atque ea iuventutis exercendae ac desidiae minuendae causa fieri praedicant»]</w:t>
      </w:r>
      <w:r>
        <w:t xml:space="preserve"> (César, La guerra de las Galias VI, 23)</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t xml:space="preserve"> [original: «Hospitem violare fas non putant»]</w:t>
      </w:r>
      <w:r>
        <w:t xml:space="preserve"> (César, La guerra de las Galias VI, 23)</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xml:space="preserve"> [original: «Female genital mutilation (FGM) comprises all procedures that involve partial or total removal of the external female genitalia, or other injury to the female genital organs for non-medical reasons.»]</w:t>
      </w:r>
      <w:r>
        <w:t>, y calcula que «más de 230 millones de niñas y mujeres vivas hoy» la han sufrido, sobre todo siendo niñas «entre la infancia y los 15 años»</w:t>
      </w:r>
      <w:r>
        <w:t xml:space="preserve"> [original: «More than 230 million girls and women alive today have undergone female genital mutilation»; «mostly carried out on young girls between infancy and age 15»]</w:t>
      </w:r>
      <w:r>
        <w:t xml:space="preserve"> (OMS, hoja informativa «Female genital mutilation», 31 de enero de 2025)</w:t>
      </w:r>
      <w:r>
        <w:t>. Es una práctica muy extendida y no pasa la vara: daña a quien la sufre, casi siempre una niña, sin su consentimiento. La OMS dice que es «una violación de los derechos humanos de las niñas y las mujeres»</w:t>
      </w:r>
      <w:r>
        <w:t xml:space="preserve"> [original: «a violation of the human rights of girls and women»]</w:t>
      </w:r>
      <w:r>
        <w:t>, y la Asamblea General de la ONU instó en 2012 a los Estados a «adoptar todas las medidas necesarias, incluida la promulgación y aplicación de leyes, para prohibir» esas mutilaciones</w:t>
      </w:r>
      <w:r>
        <w:t xml:space="preserve"> [original: «take all necessary measures, including enacting and enforcing legislation, to prohibit female genital mutilations»]</w:t>
      </w:r>
      <w:r>
        <w:t xml:space="preserve"> (ONU, resolución A/RES/67/146, 20 de diciembre de 2012, párrafo 4)</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t xml:space="preserve"> (Decreto 73/2006 de la Generalitat Valenciana, publicado en el BOE de 19-9-2006)</w:t>
      </w:r>
      <w:r>
        <w:t>. En 2009, la UNESCO lo inscribió, junto con el Consejo de Hombres Buenos de Murcia, en la Lista Representativa del Patrimonio Cultural Inmaterial de la Humanidad</w:t>
      </w:r>
      <w:r>
        <w:t xml:space="preserve"> [original: «Inscribes Irrigators’ tribunals of the Spanish Mediterranean coast: the Council of Wise Men of the plain of Murcia and the Water Tribunal of the plain of Valencia on the Representative List of the Intangible Cultural Heritage of Humanity»]</w:t>
      </w:r>
      <w:r>
        <w:t xml:space="preserve"> (UNESCO, decisión 4.COM 13.70, 2009)</w:t>
      </w:r>
      <w:r>
        <w:t>. La ley le reconoce «el carácter de Tribunal consuetudinario y tradicional», igual que al Consejo de Hombres Buenos de Murcia</w:t>
      </w:r>
      <w:r>
        <w:t xml:space="preserve"> (Ley Orgánica del Poder Judicial, art. 19)</w:t>
      </w:r>
      <w:r>
        <w:t>. En 2021 se añadieron el Juzgado Privativo de Aguas de Orihuela y el Tribunal del Comuner del Rollet de Gràcia de l'Horta d'Aldaia</w:t>
      </w:r>
      <w:r>
        <w:t xml:space="preserve"> (Ley Orgánica 10/2021)</w:t>
      </w:r>
      <w:r>
        <w:t>. La Constitución abre esa puerta: la participación ciudadana en la justicia «en los Tribunales consuetudinarios y tradicionales»</w:t>
      </w:r>
      <w:r>
        <w:t xml:space="preserve"> (Constitución, art. 125)</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t xml:space="preserve"> (Código Civil de 1889, art. 12, Gaceta de Madrid de 25-7-1889)</w:t>
      </w:r>
      <w:r>
        <w:t>. La ley que lo preparó los nombra: «Aragón, Baleares, Cataluña, Galicia, Navarra y Provincias Vascas»</w:t>
      </w:r>
      <w:r>
        <w:t xml:space="preserve"> (Ley de Bases de 11 de mayo de 1888)</w:t>
      </w:r>
      <w:r>
        <w:t>. La Constitución «ampara y respeta los derechos históricos de los territorios forales»</w:t>
      </w:r>
      <w:r>
        <w:t xml:space="preserve"> (Constitución, disposición adicional primera)</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t xml:space="preserve"> [original: «juxta consuetudinem maris»]</w:t>
      </w:r>
      <w:r>
        <w:t xml:space="preserve"> (privilegio de Pedro III, 1283, citado por Pardessus, 1839, y Capmany, 1791)</w:t>
      </w:r>
      <w:r>
        <w:t>. Su Llibre, de fecha y autor inciertos, obtuvo autoridad «en todos los países marítimos»</w:t>
      </w:r>
      <w:r>
        <w:t xml:space="preserve"> [original: «dans tous les pays maritimes»]</w:t>
      </w:r>
      <w:r>
        <w:t xml:space="preserve"> (Pardessus, Collection de lois maritimes, t. II, 1831)</w:t>
      </w:r>
      <w:r>
        <w:t>. Y un tratado medieval de derecho mercantil empieza así: «la ley mercantil procede del mercado»</w:t>
      </w:r>
      <w:r>
        <w:t xml:space="preserve"> [original: «Lex mercatoria a mercato peruenire sentitur»]</w:t>
      </w:r>
      <w:r>
        <w:t>, y rige en las ciudades, las ferias, los puertos de mar, las villas mercantiles y los burgos</w:t>
      </w:r>
      <w:r>
        <w:t xml:space="preserve"> (Lex mercatoria, en el Libro Rojo de Bristol, edición de Bickley, 1900)</w:t>
      </w:r>
      <w:r>
        <w:t>.</w:t>
      </w:r>
    </w:p>
    <w:p>
      <w:r>
        <w:t>El Estado no creó estos tribunales ni estos pactos: solo pudo reconocer que existían desde antes.</w:t>
      </w:r>
    </w:p>
    <w:p>
      <w:r>
        <w:t>[02.00-3.1, 4.1, 4.2, 6.1, 7.1 a 7.6, 8.1, 8.2 y 9.1; Constitución y Ley Orgánica del Poder Judicial leídas en el BOE; el decreto de 2006, la UNESCO, la Gaceta de 1888 y 1889, Fairén, Pardessus, Capmany y el Libro Rojo de Bristol, leídos el 5-oct]</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r>
        <w:t>[palabras de Kiko, 9-oct-2026; 5.1, 5.4, 8.1 y 8.4; borrador B9]</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t xml:space="preserve"> [original: «quaedam rationis ordinatio ad bonum commune, ab eo qui curam communitatis habet, promulgata»]</w:t>
      </w:r>
      <w:r>
        <w:t xml:space="preserve"> (Suma teológica I-II, q. 90, a. 4)</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t>[11.00-2.1; Aquino leído en latín]</w:t>
      </w:r>
    </w:p>
    <w:p>
      <w:r>
        <w:rPr>
          <w:b/>
        </w:rPr>
        <w:t>Cómo nace de la ley natural.</w:t>
      </w:r>
      <w:r>
        <w:t xml:space="preserve"> Por dos vías</w:t>
      </w:r>
      <w:r>
        <w:t xml:space="preserve"> (Suma teológica I-II, q. 95, a. 2)</w:t>
      </w:r>
      <w:r>
        <w:t>:</w:t>
      </w:r>
    </w:p>
    <w:p>
      <w:pPr>
        <w:pStyle w:val="ListBullet"/>
      </w:pPr>
      <w:r>
        <w:rPr>
          <w:b/>
        </w:rPr>
        <w:t>como conclusión</w:t>
      </w:r>
      <w:r>
        <w:t xml:space="preserve"> [original: «per modum conclusionum»]</w:t>
      </w:r>
      <w:r>
        <w:t>: de «no hacer mal a nadie»</w:t>
      </w:r>
      <w:r>
        <w:t xml:space="preserve"> [original: «nulli esse malum faciendum»]</w:t>
      </w:r>
      <w:r>
        <w:t xml:space="preserve"> se sigue «no matar»</w:t>
      </w:r>
      <w:r>
        <w:t xml:space="preserve"> [original: «non esse occidendum»]</w:t>
      </w:r>
      <w:r>
        <w:t>;</w:t>
      </w:r>
    </w:p>
    <w:p>
      <w:pPr>
        <w:pStyle w:val="ListBullet"/>
      </w:pPr>
      <w:r>
        <w:rPr>
          <w:b/>
        </w:rPr>
        <w:t>como determinación</w:t>
      </w:r>
      <w:r>
        <w:t xml:space="preserve"> [original: «per modum determinationis»]</w:t>
      </w:r>
      <w:r>
        <w:t>: la ley natural manda que quien hace el mal sea castigado, pero no dice con qué pena; eso lo fija la ley humana.</w:t>
      </w:r>
    </w:p>
    <w:p>
      <w:r>
        <w:t xml:space="preserve">Casi todo el derecho escrito vive en ese margen de la determinación. </w:t>
      </w:r>
      <w:r>
        <w:t>[11.00-3.1; Aquino leído en latín]</w:t>
      </w:r>
    </w:p>
    <w:p>
      <w:r>
        <w:rPr>
          <w:b/>
        </w:rPr>
        <w:t>Cuándo deja de serlo.</w:t>
      </w:r>
      <w:r>
        <w:t xml:space="preserve"> Aquino lo toma de san Agustín: «como dice Agustín en el libro I del Libre albedrío, no parece ser ley la que no fuera justa»</w:t>
      </w:r>
      <w:r>
        <w:t xml:space="preserve"> [original: «sicut Augustinus dicit, in I de Lib. Arb., non videtur esse lex, quae iusta non fuerit»]</w:t>
      </w:r>
      <w:r>
        <w:t xml:space="preserve"> (Suma teológica I-II, q. 95, a. 2)</w:t>
      </w:r>
      <w:r>
        <w:t xml:space="preserve">. De ahí la fórmula </w:t>
      </w:r>
      <w:r>
        <w:rPr>
          <w:i/>
        </w:rPr>
        <w:t>lex iniusta non est lex</w:t>
      </w:r>
      <w:r>
        <w:t xml:space="preserve"> (la ley injusta no es ley). </w:t>
      </w:r>
      <w:r>
        <w:t>[11.00-4.1; leído en Aquino]</w:t>
      </w:r>
    </w:p>
    <w:p>
      <w:r>
        <w:rPr>
          <w:b/>
        </w:rPr>
        <w:t>Las tres maneras de servir al hombre.</w:t>
      </w:r>
      <w:r>
        <w:t xml:space="preserve"> Aquino cuenta tres maneras de ser injusta una ley puesta por los hombres</w:t>
      </w:r>
      <w:r>
        <w:t xml:space="preserve"> (Suma teológica I-II, q. 96, a. 4)</w:t>
      </w:r>
      <w:r>
        <w:t>:</w:t>
      </w:r>
    </w:p>
    <w:p>
      <w:pPr>
        <w:pStyle w:val="ListBullet"/>
      </w:pPr>
      <w:r>
        <w:rPr>
          <w:b/>
        </w:rPr>
        <w:t>por el fin:</w:t>
      </w:r>
      <w:r>
        <w:t xml:space="preserve"> «cuando quien preside impone a los súbditos leyes onerosas que no se refieren a la utilidad común, sino más bien a su propia codicia o gloria»</w:t>
      </w:r>
      <w:r>
        <w:t xml:space="preserve"> [original: «vel ex fine, sicut cum aliquis praesidens leges imponit onerosas subditis non pertinentes ad utilitatem communem, sed magis ad propriam cupiditatem vel gloriam»]</w:t>
      </w:r>
      <w:r>
        <w:t>;</w:t>
      </w:r>
    </w:p>
    <w:p>
      <w:pPr>
        <w:pStyle w:val="ListBullet"/>
      </w:pPr>
      <w:r>
        <w:rPr>
          <w:b/>
        </w:rPr>
        <w:t>por el autor:</w:t>
      </w:r>
      <w:r>
        <w:t xml:space="preserve"> «cuando alguien dicta una ley más allá del poder que se le ha confiado»</w:t>
      </w:r>
      <w:r>
        <w:t xml:space="preserve"> [original: «vel etiam ex auctore, sicut cum aliquis legem fert ultra sibi commissam potestatem»]</w:t>
      </w:r>
      <w:r>
        <w:t>;</w:t>
      </w:r>
    </w:p>
    <w:p>
      <w:pPr>
        <w:pStyle w:val="ListBullet"/>
      </w:pPr>
      <w:r>
        <w:rPr>
          <w:b/>
        </w:rPr>
        <w:t>por la forma:</w:t>
      </w:r>
      <w:r>
        <w:t xml:space="preserve"> «cuando las cargas se reparten de manera desigual entre la multitud, aunque se ordenen al bien común»</w:t>
      </w:r>
      <w:r>
        <w:t xml:space="preserve"> [original: «vel etiam ex forma, puta cum inaequaliter onera multitudini dispensantur, etiam si ordinentur ad bonum commune»]</w:t>
      </w:r>
      <w:r>
        <w:t>.</w:t>
      </w:r>
    </w:p>
    <w:p>
      <w:r>
        <w:t>De ellas dice que «son más violencias que leyes»</w:t>
      </w:r>
      <w:r>
        <w:t xml:space="preserve"> [original: «magis sunt violentiae quam leges»]</w:t>
      </w:r>
      <w:r>
        <w:t>. Las justas, en cambio, «obligan en el foro de la conciencia»</w:t>
      </w:r>
      <w:r>
        <w:t xml:space="preserve"> [original: «obligant in foro conscientiae»]</w:t>
      </w:r>
      <w:r>
        <w:t xml:space="preserve">. El fin y el autor son, vistos del lado contrario, dos de las cuatro condiciones de arriba: el bien común y que la dicte quien tiene a su cargo la comunidad. </w:t>
      </w:r>
      <w:r>
        <w:t>[Aquino, I-II q. 96 a. 4, leído en latín; borrador B1, 9-oct]</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t xml:space="preserve"> (Ley Orgánica del Poder Judicial, art. 6)</w:t>
      </w:r>
      <w:r>
        <w:t xml:space="preserve">. </w:t>
      </w:r>
      <w:r>
        <w:t>[20.00-22.1 y 23.1; Ley Orgánica del Poder Judicial leída en el BOE]</w:t>
      </w:r>
    </w:p>
    <w:p>
      <w:r>
        <w:rPr>
          <w:b/>
        </w:rPr>
        <w:t>La fuerza no es fuente del derecho.</w:t>
      </w:r>
      <w:r>
        <w:t xml:space="preserve"> El Código Civil nombra tres fuentes: la ley, la costumbre y los principios generales</w:t>
      </w:r>
      <w:r>
        <w:t xml:space="preserve"> (Código Civil, art. 1.1)</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t xml:space="preserve"> (Ley 39/2015, art. 97.1)</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t xml:space="preserve"> (Ley 29/1998, art. 30)</w:t>
      </w:r>
      <w:r>
        <w:t>.</w:t>
      </w:r>
    </w:p>
    <w:p>
      <w:pPr>
        <w:pStyle w:val="ListBullet"/>
      </w:pPr>
      <w:r>
        <w:t>Lo que se sostiene solo porque nadie lo ha discutido no es derecho: es un hecho a la espera de que alguien pregunte por su título.</w:t>
      </w:r>
    </w:p>
    <w:p>
      <w:r>
        <w:t>[02.00-22.1 a 22.6; leyes leídas en el BOE]</w:t>
      </w:r>
    </w:p>
    <w:p>
      <w:r>
        <w:rPr>
          <w:b/>
        </w:rPr>
        <w:t>Lectura del autor, un ejemplo:</w:t>
      </w:r>
      <w:r>
        <w:t xml:space="preserve"> el dinero sin respaldo es ley escrita, por su «curso legal»</w:t>
      </w:r>
      <w:r>
        <w:t xml:space="preserve"> (Ley 46/1998, art. 3)</w:t>
      </w:r>
      <w:r>
        <w:t xml:space="preserve">, sostenida por la costumbre; se explica en </w:t>
      </w:r>
      <w:r>
        <w:t>1.5</w:t>
      </w:r>
      <w:r>
        <w:t xml:space="preserve">, y sus hechos, en </w:t>
      </w:r>
      <w:r>
        <w:t>8.1</w:t>
      </w:r>
      <w:r>
        <w:t xml:space="preserve">. </w:t>
      </w:r>
      <w:r>
        <w:t>[palabras de Kiko, 9-oct-2026; borrador B9]</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t xml:space="preserve"> [original: «divinae natura, humanae moribus constant»]</w:t>
      </w:r>
      <w:r>
        <w:t xml:space="preserve"> (Etimologías V, 2)</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t>[11.00-8.2; Isidoro leído en latín; libreta 58]</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t xml:space="preserve"> [original: «non usque adeo sui valitura momento, ut aut rationem vincat aut legem»]</w:t>
      </w:r>
      <w:r>
        <w:t xml:space="preserve"> (Código de Justiniano 8.52.2)</w:t>
      </w:r>
      <w:r>
        <w:t xml:space="preserve">. </w:t>
      </w:r>
      <w:r>
        <w:t>[11.00-8.3 y 8.4; libreta 58]</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t xml:space="preserve"> [original: «les coutumes générales ou locales […] cessent d’avoir force de loi générale ou particulière»]</w:t>
      </w:r>
      <w:r>
        <w:t xml:space="preserve"> (Ley del 30 ventoso del año XII, art. 7, en el Code civil des Français, 1804)</w:t>
      </w:r>
      <w:r>
        <w:t>.</w:t>
      </w:r>
    </w:p>
    <w:p>
      <w:pPr>
        <w:pStyle w:val="ListBullet"/>
      </w:pPr>
      <w:r>
        <w:rPr>
          <w:b/>
        </w:rPr>
        <w:t>El emperador de Austria</w:t>
      </w:r>
      <w:r>
        <w:t xml:space="preserve"> (1811): la costumbre solo cuenta «en los casos en que una ley se remite a ella»</w:t>
      </w:r>
      <w:r>
        <w:t xml:space="preserve"> [original: «in den Fällen, in welchen sich ein Gesetz darauf beruft»]</w:t>
      </w:r>
      <w:r>
        <w:t xml:space="preserve"> (Código Civil general austriaco (ABGB), § 10, en vigor desde el 1-1-1812; texto vigente en el RIS)</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t xml:space="preserve"> [original: «the Will of the Soveraign signified by his silence»]</w:t>
      </w:r>
      <w:r>
        <w:t xml:space="preserve"> (Hobbes, Leviatán, 1651, cap. XXVI)</w:t>
      </w:r>
      <w:r>
        <w:t>.</w:t>
      </w:r>
    </w:p>
    <w:p>
      <w:r>
        <w:t xml:space="preserve">Las excepciones también existen: Juliano, jurista del emperador, defendió la costumbre; e Isidoro, obispo, la subordinó a la ley. </w:t>
      </w:r>
      <w:r>
        <w:t>[11.00-8.5; libreta 58, todos leídos en su fuente]</w:t>
      </w:r>
    </w:p>
    <w:p>
      <w:r>
        <w:rPr>
          <w:b/>
        </w:rPr>
        <w:t>Nadie es juez en su propia causa.</w:t>
      </w:r>
      <w:r>
        <w:t xml:space="preserve"> El mismo Código de Justiniano lo dice desde el año 376: nadie debe «ser juez de sí mismo ni dictarse el derecho a sí mismo»</w:t>
      </w:r>
      <w:r>
        <w:t xml:space="preserve"> [original: «neminem sibi esse iudicem vel ius sibi dicere debere»]</w:t>
      </w:r>
      <w:r>
        <w:t xml:space="preserve"> (Código de Justiniano 3.5.1)</w:t>
      </w:r>
      <w:r>
        <w:t>. Hoy la ley obliga a autoridades y funcionarios a apartarse de un asunto cuando tienen en él «interés personal»</w:t>
      </w:r>
      <w:r>
        <w:t xml:space="preserve"> (Ley 40/2015, art. 23)</w:t>
      </w:r>
      <w:r>
        <w:t xml:space="preserve">. </w:t>
      </w:r>
      <w:r>
        <w:t>[11.00-8.6; libreta 58; Ley 40/2015 leída en el BOE]</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t xml:space="preserve"> (Constitución, art. 9.3)</w:t>
      </w:r>
      <w:r>
        <w:t xml:space="preserve">. </w:t>
      </w:r>
      <w:r>
        <w:t>[11.00-8.7]</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 </w:t>
      </w:r>
      <w:r>
        <w:t>[11.00-8.5 y 8.6; 00.2-1.1]</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 </w:t>
      </w:r>
      <w:r>
        <w:t>[11.00-8.8, con la fórmula de la edición, glosario 9.1]</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t xml:space="preserve"> (Código Civil, art. 1)</w:t>
      </w:r>
      <w:r>
        <w:t>, los derechos interpretados conforme a la Declaración Universal</w:t>
      </w:r>
      <w:r>
        <w:t xml:space="preserve"> (Constitución, art. 10.2)</w:t>
      </w:r>
      <w:r>
        <w:t>, los tribunales consuetudinarios</w:t>
      </w:r>
      <w:r>
        <w:t xml:space="preserve"> (Constitución, art. 125)</w:t>
      </w:r>
      <w:r>
        <w:t xml:space="preserve"> y la reforma de la propia Constitución</w:t>
      </w:r>
      <w:r>
        <w:t xml:space="preserve"> (Constitución, art. 168)</w:t>
      </w:r>
      <w:r>
        <w:t>. Esta obra trabaja en la primera jurisdicción y no exime de ninguna obligación de la segunda</w:t>
      </w:r>
      <w:r>
        <w:t xml:space="preserve"> (Constitución, art. 9.1)</w:t>
      </w:r>
      <w:r>
        <w:t xml:space="preserve">. </w:t>
      </w:r>
      <w:r>
        <w:t>[glosario 4.6]</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r>
        <w:t>[glosario 4.7, con «puesto» decidido por Kiko]</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 xml:space="preserve">). </w:t>
      </w:r>
      <w:r>
        <w:t>[04c, paso 1; pregunta de Kiko del 8-oct-2026]</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t xml:space="preserve"> (Constitución, art. 9.1)</w:t>
      </w:r>
      <w:r>
        <w:t>.</w:t>
      </w:r>
    </w:p>
    <w:p>
      <w:r>
        <w:t>[04c, pasos 5 y 7; glosario 4.8]</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t xml:space="preserve"> [original: «the limits of justice are steadfast; it is that which a man repeateth from his father», en la traducción inglesa de Gunn]</w:t>
      </w:r>
      <w:r>
        <w:t xml:space="preserve"> (Instrucción de Ptahhotep, máxima 5, en la traducción de Battiscombe Gunn, 1906)</w:t>
      </w:r>
      <w:r>
        <w:t>. En China: «El hombre toma su ley de la Tierra; la Tierra toma su ley del Cielo; el Cielo toma su ley del Tao»</w:t>
      </w:r>
      <w:r>
        <w:t xml:space="preserve"> [original: «Man takes his law from the Earth; the Earth takes its law from Heaven; Heaven takes its law from the Tâo», en la traducción inglesa de Legge]</w:t>
      </w:r>
      <w:r>
        <w:t xml:space="preserve"> (Daodejing 25, en la traducción de James Legge, Sacred Books of the East, vol. 39, 1891)</w:t>
      </w:r>
      <w:r>
        <w:t xml:space="preserve">. Lo derivado recibe de más arriba. </w:t>
      </w:r>
      <w:r>
        <w:t>[04c, apartado 4; 04f, 3g y 3h; extractos comprobados el 8-oct]</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t xml:space="preserve"> (Sal 82:2)</w:t>
      </w:r>
      <w:r>
        <w:t>. Después viene la sentencia que ya se leyó: «Vosotros sois dioses […] Empero como hombres moriréis» (</w:t>
      </w:r>
      <w:r>
        <w:t>1.3</w:t>
      </w:r>
      <w:r>
        <w:t>)</w:t>
      </w:r>
      <w:r>
        <w:t xml:space="preserve"> (Sal 82:6-7)</w:t>
      </w:r>
      <w:r>
        <w:t>.</w:t>
      </w:r>
    </w:p>
    <w:p>
      <w:pPr>
        <w:pStyle w:val="ListBullet"/>
      </w:pPr>
      <w:r>
        <w:rPr>
          <w:b/>
        </w:rPr>
        <w:t>China.</w:t>
      </w:r>
      <w:r>
        <w:t xml:space="preserve"> El Duque de Shao explica por qué cayeron dos dinastías: «por falta de la virtud de la reverencia, el decreto a su favor cayó prematuramente a tierra»</w:t>
      </w:r>
      <w:r>
        <w:t xml:space="preserve"> [original: «for want of the virtue of reverence, the decree in its favour prematurely fell to the ground», en la traducción inglesa de Legge]</w:t>
      </w:r>
      <w:r>
        <w:t xml:space="preserve"> (Shû King, Anuncio del Duque de Shao, en la traducción de James Legge, Sacred Books of the East, vol. 3)</w:t>
      </w:r>
      <w:r>
        <w:t>. Mencio dice de qué rey se puede prescindir: «El que ultraja la bondad propia de su naturaleza se llama ladrón; el que ultraja la justicia se llama rufián. Al ladrón y al rufián los llamamos un tipo cualquiera»</w:t>
      </w:r>
      <w:r>
        <w:t xml:space="preserve"> [original: «He who outrages the benevolence proper to his nature, is called a robber; he who outrages righteousness, is called a ruffian. The robber and ruffian we call a mere fellow», en la traducción inglesa de Legge]</w:t>
      </w:r>
      <w:r>
        <w:t xml:space="preserve"> (Mencio 1B, 8, en la traducción de James Legge, 1895)</w:t>
      </w:r>
      <w:r>
        <w:t>. Y pone el orden: «El pueblo es lo más importante de una nación; los espíritus de la tierra y del grano vienen después; el soberano es lo más ligero»</w:t>
      </w:r>
      <w:r>
        <w:t xml:space="preserve"> [original: «The people are the most important element in a nation; the spirits of the land and grain are the next; the sovereign is the lightest»]</w:t>
      </w:r>
      <w:r>
        <w:t xml:space="preserve"> (Mencio 7B, 14)</w:t>
      </w:r>
      <w:r>
        <w:t>.</w:t>
      </w:r>
    </w:p>
    <w:p>
      <w:pPr>
        <w:pStyle w:val="ListBullet"/>
      </w:pPr>
      <w:r>
        <w:rPr>
          <w:b/>
        </w:rPr>
        <w:t>El islam.</w:t>
      </w:r>
      <w:r>
        <w:t xml:space="preserve"> Los hadices ponen a la obediencia un límite: «no hay obediencia para las malas obras; la obediencia se debe solo en lo que es bueno»</w:t>
      </w:r>
      <w:r>
        <w:t xml:space="preserve"> [original: «No obedience for evil deeds, obedience is required only in what is good», en la traducción inglesa de la copia de datos hadith-api]</w:t>
      </w:r>
      <w:r>
        <w:t xml:space="preserve"> (Sahih al-Bujari 7257; fuente secundaria)</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 </w:t>
      </w:r>
      <w:r>
        <w:t>[04c, paso 9; Kiko, 8-oct: «sí»]</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 </w:t>
      </w:r>
      <w:r>
        <w:t>[04c, paso 6]</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t xml:space="preserve"> [original: «For he saith, 'I will obtain by myself for myself,' and saith not, 'I will obtain because I am allowed.'», en la traducción inglesa de Gunn]</w:t>
      </w:r>
      <w:r>
        <w:t xml:space="preserve"> (Instrucción de Ptahhotep, máxima 5, en la traducción de Gunn, 1906)</w:t>
      </w:r>
      <w:r>
        <w:t>.</w:t>
      </w:r>
    </w:p>
    <w:p>
      <w:pPr>
        <w:pStyle w:val="ListBullet"/>
      </w:pPr>
      <w:r>
        <w:rPr>
          <w:b/>
        </w:rPr>
        <w:t>China.</w:t>
      </w:r>
      <w:r>
        <w:t xml:space="preserve"> «¿Dio Yao el trono a Shun?» «No. El soberano no puede dar el trono a otro»</w:t>
      </w:r>
      <w:r>
        <w:t xml:space="preserve"> [original: «'Was it the case that Yao gave the throne to Shun?' Mencius said, 'No. The sovereign cannot give the throne to another.'», en la traducción inglesa de Legge]</w:t>
      </w:r>
      <w:r>
        <w:t xml:space="preserve"> (Mencio 5A, 5, en la traducción de James Legge, 1895)</w:t>
      </w:r>
      <w:r>
        <w:t>. Lo da «el Cielo», y «el Cielo no habla. Simplemente mostró su voluntad por su conducta personal y por su manera de llevar los asuntos»</w:t>
      </w:r>
      <w:r>
        <w:t xml:space="preserve"> [original: «Heaven does not speak. It simply showed its will by his personal conduct and his conduct of affairs»]</w:t>
      </w:r>
      <w:r>
        <w:t xml:space="preserve"> (Mencio 5A, 5)</w:t>
      </w:r>
      <w:r>
        <w:t>. Es decir, por sus frutos.</w:t>
      </w:r>
    </w:p>
    <w:p>
      <w:pPr>
        <w:pStyle w:val="ListBullet"/>
      </w:pPr>
      <w:r>
        <w:rPr>
          <w:b/>
        </w:rPr>
        <w:t>Grecia.</w:t>
      </w:r>
      <w:r>
        <w:t xml:space="preserve"> En el Timeo, el artífice dice a los dioses que él hizo: «mis creaciones son indisolubles, si así lo quiero»</w:t>
      </w:r>
      <w:r>
        <w:t xml:space="preserve"> [original: «my creations are indissoluble, if so I will», en la traducción inglesa de Jowett]</w:t>
      </w:r>
      <w:r>
        <w:t xml:space="preserve"> (Platón, Timeo 41a-b, en la traducción de Benjamin Jowett)</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t xml:space="preserve"> [original: «For it is not he who has appointed the kingdoms of this world, but God», en la traducción inglesa de Roberts y Donaldson]</w:t>
      </w:r>
      <w:r>
        <w:t xml:space="preserve"> (Ireneo, Contra las herejías V, 24, 1)</w:t>
      </w:r>
      <w:r>
        <w:t>.</w:t>
      </w:r>
    </w:p>
    <w:p>
      <w:pPr>
        <w:pStyle w:val="ListBullet"/>
      </w:pPr>
      <w:r>
        <w:rPr>
          <w:b/>
        </w:rPr>
        <w:t>Enfrente, el que ofrece lo que no es suyo.</w:t>
      </w:r>
      <w:r>
        <w:t xml:space="preserve"> Tras mostrar «todos los reinos del mundo, y su gloria»</w:t>
      </w:r>
      <w:r>
        <w:t xml:space="preserve"> (Mt 4:8)</w:t>
      </w:r>
      <w:r>
        <w:t>: «Todo esto te daré, si postrado me adorares»</w:t>
      </w:r>
      <w:r>
        <w:t xml:space="preserve"> (Mt 4:9)</w:t>
      </w:r>
      <w:r>
        <w:t>. Antes, en el huerto: «seréis como dioses sabiendo el bien y el mal»</w:t>
      </w:r>
      <w:r>
        <w:t xml:space="preserve"> (Gn 3:5)</w:t>
      </w:r>
      <w:r>
        <w:t>. Y en Babilonia, Tiamat alza a Kingu: «el dominio sobre todos los dioses te he confiado»</w:t>
      </w:r>
      <w:r>
        <w:t xml:space="preserve"> [original: «[The dominion over all] the gods have I entrusted [unto thee]», en la traducción inglesa de King, con los corchetes del texto reconstruido]</w:t>
      </w:r>
      <w:r>
        <w:t xml:space="preserve"> (Enuma Elish, tablilla II, 40, en la traducción de L. W. King, 1902)</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 xml:space="preserve">). </w:t>
      </w:r>
      <w:r>
        <w:t>[04c, paso 8; 04f, 3g; Reina-Valera Antigua; extractos comprobados el 8-oct]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t xml:space="preserve"> [original: «Hear with your ears the best things; look upon them with clear-seeing thought, for decision between the two Beliefs, each man for himself», en la traducción inglesa de avesta.org]</w:t>
      </w:r>
      <w:r>
        <w:t xml:space="preserve"> (Yasna 30:2)</w:t>
      </w:r>
      <w:r>
        <w:t>.</w:t>
      </w:r>
    </w:p>
    <w:p>
      <w:pPr>
        <w:pStyle w:val="ListBullet"/>
      </w:pPr>
      <w:r>
        <w:rPr>
          <w:b/>
        </w:rPr>
        <w:t>La India:</w:t>
      </w:r>
      <w:r>
        <w:t xml:space="preserve"> «Medita; y, como quieras, obra»</w:t>
      </w:r>
      <w:r>
        <w:t xml:space="preserve"> [original: «Meditate! And--as thou wilt--then act!», en la traducción inglesa de Arnold]</w:t>
      </w:r>
      <w:r>
        <w:t xml:space="preserve"> (Bhagavad Gita XVIII, 63, en la traducción de Edwin Arnold)</w:t>
      </w:r>
      <w:r>
        <w:t>.</w:t>
      </w:r>
    </w:p>
    <w:p>
      <w:pPr>
        <w:pStyle w:val="ListBullet"/>
      </w:pPr>
      <w:r>
        <w:rPr>
          <w:b/>
        </w:rPr>
        <w:t>El cristianismo:</w:t>
      </w:r>
      <w:r>
        <w:t xml:space="preserve"> «Dios hizo al hombre libre desde el principio, dueño de su propio poder»</w:t>
      </w:r>
      <w:r>
        <w:t xml:space="preserve"> [original: «God made man a free [agent] from the beginning, possessing his own power», en la traducción inglesa de Roberts y Donaldson]</w:t>
      </w:r>
      <w:r>
        <w:t xml:space="preserve"> (Ireneo, Contra las herejías IV, 37, 1)</w:t>
      </w:r>
      <w:r>
        <w:t>.</w:t>
      </w:r>
    </w:p>
    <w:p>
      <w:r>
        <w:t xml:space="preserve">Converge solo esto: que se elige. Cuánta libertad hay, o si es el valor más alto, no lo dicen los tres, y va como lectura del autor. </w:t>
      </w:r>
      <w:r>
        <w:t>[04c, apartado 5; 04f, 3h; Kiko, 8-oct: «sí»]</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 xml:space="preserve">). </w:t>
      </w:r>
      <w:r>
        <w:t>[palabras de Kiko, 8-oct-2026; 04c, apartados 3 y 5]</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t xml:space="preserve"> (Constitución, art. 9.1)</w:t>
      </w:r>
      <w:r>
        <w:t xml:space="preserve">. Cómo se mide hacia dónde apunta cada cosa, con un centro que solo pueden poner las dos autoridades originales, se explica en el </w:t>
      </w:r>
      <w:r>
        <w:t>anexo J</w:t>
      </w:r>
      <w:r>
        <w:t xml:space="preserve">. </w:t>
      </w:r>
      <w:r>
        <w:t>[04c, apartado 5; 04o, puntos 2 y 3]</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r>
        <w:t>[02.00-2.4 y 21.1]</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r>
        <w:t>[02.00-21.1; 20.00-23.2]</w:t>
      </w:r>
    </w:p>
    <w:p>
      <w:pPr>
        <w:pStyle w:val="ListBullet"/>
      </w:pPr>
      <w:r>
        <w:rPr>
          <w:b/>
        </w:rPr>
        <w:t>Las máximas latinas no anulan leyes con solo citarlas.</w:t>
      </w:r>
      <w:r>
        <w:t xml:space="preserve"> Valen cuando el derecho vigente las ha recogido, o para mostrar que un principio no es un capricho reciente. </w:t>
      </w:r>
      <w:r>
        <w:t>[02.00-15.2]</w:t>
      </w:r>
    </w:p>
    <w:p>
      <w:pPr>
        <w:pStyle w:val="ListBullet"/>
      </w:pPr>
      <w:r>
        <w:rPr>
          <w:b/>
        </w:rPr>
        <w:t>Nada de esto exime de las obligaciones vigentes</w:t>
      </w:r>
      <w:r>
        <w:t xml:space="preserve"> (Constitución, art. 9.1)</w:t>
      </w:r>
      <w:r>
        <w:t xml:space="preserve">. </w:t>
      </w:r>
      <w:r>
        <w:t>[02.00-21.1]</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r>
        <w:t>[11.00-14.8 y 14.9, concesión que se queda en este capítulo]</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r>
        <w:t>[clasificación de las defensas, aprobada; glosario 8.13]</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r>
        <w:br w:type="page"/>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3 (borrador B16). Ninguna otra palabra cambia. Cambio del 12-oct-2026 (Kiko, chat de 08.18, 06:3x, pasado por 08.18 tal cual, a «¿das el sí a los nueve cambios de 07.6?»: «si»; borrador B13, el barrido de los cuantificadores vagos en las frases con dato): en 2.3, «Lo dicen tradiciones que nunca se leyeron entre sí» pasa a «tradiciones sin contacto documentado entre sí», y la conclusión ya no dice «sin contacto entre sí» de una lista que junta a Israel y al islam; en 2.5, el mito de Er decía al revés lo que dice Platón: en la traducción de Jowett, de las almas que eligieron mal, «the greater number of them came from heaven» (la mayoría venían del cielo), no que la mayoría de las que venían del cielo eligieran mal. Ninguna otra palabra cambia. Cambio del 9-oct-2026 (Kiko: «Sí al M4 con las tres recomendaciones» en el chat de 08 y «Sí al M4, aplícalo» en el de 07; borrador M4 de la carpeta 07, apartado 4; 04p fila 12): al final de «Varón y hembra, en las tradiciones», en 2.3, un bloque nuevo para el escalón 6 («Lo extenso»): las 78 fichas de los pasajes que leyó la obra, agrupadas por tradición y con su clasificación (concuerda, contrapunto o neutro); los 57 que no estaban arriba, con su pasaje entero y su original; los 21 que ya se ven arriba, solo con su ficha. Generado por programa desde el índice del agente de fuentes (carpeta 07); no cambia ningún texto anterior, y cumple lo que decían las frases «78 pasajes, que se ven en el nivel más hondo» y «todos, con su clasificación, en el más hondo». Cambio del 9-oct-2026 (Kiko: «Sí, concuerdo» al texto de la mujer y el varón; borrador B2 versión 3 de la carpeta 07; 04p fila 12 y 03b A6): al final de 2.3, un bloque nuevo «Varón y hembra, en las tradiciones»: cinco pasajes visibles en «Lectura» y «Con fuentes» (la Biblia en sus dos relatos, el Upanishad y el Corán dos veces), el resto en el nivel completo, y los 78 pasajes de 19 tradiciones en el nivel más hondo; conclusión sin cuentas («coinciden», no «convergen»: las fechas son casi todas aproximadas y no está comprobada la independencia), «Lo que no se puede decir» y la «Lectura del autor». Cambio del 8-oct-2026 (fase de reparación, auditoría de las citas contra los originales): en 2.1, la cita de Gn 1:27 pasa de «creó Dios al hombre á su imagen» a «crió Dios al hombre á su imagen», como dice la Reina-Valera 1909 (eBible, spaRV1909). Cambio del 8-oct-2026 (parlamento sobre los mitos; Kiko: «sí a las tres, con tus recomendaciones» y el añadido del método de medir): 2.6 pasa de «Lo que esta obra no es: los mitos del movimiento soberano» a «El camino que sigue esta obra, y el que deja»: se quitan el nombre del grupo y la palabra «mito», se cuenta cómo empezó la obra y se añade el método de medir. También cambian el resumen, la lista de 2.0, el límite honesto, la defensa y «Para recordar». No cambia ningún dato ni ninguna cita. ESTADO: APROBADO por Kiko el 5-oct-2026 («sí a las tres»). Su material está marcado en el inventario (04 CAPITULOS/marcas/marcas del capitulo 2.txt).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Corregido también en la Biblioteca y en la app el 5-oct (Kiko: «sí»): las citas de la Reina-Valera de 00.00, «Por sus frutos» y el nombre del grupo en 08.00, y la coma del art. 4 de la Declaración en 03.00. El índice (2.1) y el mapa del capítulo 0 (0.6) ya no dicen «persona viva». Citas leídas hoy en su fuente original: Declaración Universal (texto oficial en español, un.org); Constitución, Código Civil, Ley 40/2015 y Código Penal (BOE, texto consolidado); Aquino, con la definición de Boecio (corpusthomisticum.org); Kant (edición de la Academia, korpora.org); Mill (Gutenberg); Platón, Apología y Fedro (Perseus); Analectas, Mencio, Laozi y Xunzi (Wikisource, en chino); Pirkei Avot (Sefaria); Biblia (Reina-Valera Antigua); Corán (Julio Cortés); Sahih Muslim (texto árabe, de una copia de datos de la colección: fuente secundaria). Lo del glosario 2.3, 9.2 y 9.2.1 ya se leyó en su fuente el 5-oct y no se ha vuelto a revisar. Fuente secundaria, marcada en el texto: la «persona ficta» atribuida a Inocencio IV; la crítica de Mboti a Ubuntu. Leídos el 5-oct (flecos): Ubuntu, en el informe de la Comisión de la Verdad (1998); Agustín y Pelagio (De natura et gratia); Solzhenitsyn (ruso, Obras, t. 5, 2010); Guadalupe (1486) y Cádiz (1811). Correcciones halladas al comprobar (la Biblioteca las cita de otra manera): Job 42:5-6, Mt 18:3-4, Rm 7:19 y 7:24, Mt 19:17 y Pr 6:31 (ahora con el texto literal de la Reina-Valera); 08.00 decía «Por sus actos los conoceréis», y el versículo dice «Por sus frutos» (Mt 7:16); el artículo 4 de la Declaración lleva coma, no punto y coma. Título de 2.1: «La persona y el ente sin cuerpo», sin «viva», porque el glosario 2.1 (aprobado) retira «persona viva»; el índice decía «La persona viva y el ente sin cuerpo». Cautela de datos personales: el dicho del marinero va sin el nombre del pueblo (el lugar de nacimiento del autor no entra en la edición). Si Kiko quiere el pueblo, se añade. Conceptos que ancla este capítulo: la persona y el ciudadano; el ente sin cuerpo; el derecho de nacimiento; los derechos inalienables; «soberanos somos todos»; los aprendices; la madurez; el límite del respeto; el grano y la paja, con su condición. Lo que pasa a otro sitio: el llamamiento breve (00.00-1.1) y la invitación a los ángeles, a 11.6; las tres voces y «como es arriba, es abajo» (00.00-4.7), a 4.2; los casos completos de los mitos, al anexo E. TRES NIVELES (Kiko, 5-oct-2026, «sí a las dos»; libreta 72, puntos 112 y 113): pasado al formato de tres niveles sin cambiar ningún dato ni ninguna cita (la prueba de formato, aprobada). Añadido: «En pocas palabras», «La idea» de cada apartado y «Para recordar». Quitada una repetición: el Código Civil, art. 29, ahora solo en 2.1.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[11.00-0.1, 11.1 y 13.1; imagen del autor]</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t xml:space="preserve"> [original: «persona est rationalis naturae individua substantia»]</w:t>
      </w:r>
      <w:r>
        <w:t xml:space="preserve"> (Suma teológica I, q. 29, a. 1)</w:t>
      </w:r>
      <w:r>
        <w:t>. Y explica por qué ese nombre honra: «porque es de gran dignidad subsistir en una naturaleza racional, todo individuo de naturaleza racional se llama persona»</w:t>
      </w:r>
      <w:r>
        <w:t xml:space="preserve"> [original: «quia magnae dignitatis est in rationali natura subsistere, ideo omne individuum rationalis naturae dicitur persona»]</w:t>
      </w:r>
      <w:r>
        <w:t xml:space="preserve"> (Suma teológica I, q. 29, a. 3, respuesta a la segunda objeción)</w:t>
      </w:r>
      <w:r>
        <w:t>. Es el sentido de la Declaración Universal, que habla de «todo ser humano».</w:t>
      </w:r>
    </w:p>
    <w:p>
      <w:r>
        <w:t>[03.00-1.1 y 1.2; Aquino leído en latín]</w:t>
      </w:r>
    </w:p>
    <w:p>
      <w:r>
        <w:rPr>
          <w:b/>
        </w:rPr>
        <w:t>La persona que hace el derecho.</w:t>
      </w:r>
      <w:r>
        <w:t xml:space="preserve"> La ley llama también «personas» a ciertas instituciones: «Son personas jurídicas: 1.º Las corporaciones, asociaciones y fundaciones de interés público reconocidas por la ley»</w:t>
      </w:r>
      <w:r>
        <w:t xml:space="preserve"> (Código Civil, art. 35)</w:t>
      </w:r>
      <w:r>
        <w:t>. Y la Administración «actúa para el cumplimiento de sus fines con personalidad jurídica única»</w:t>
      </w:r>
      <w:r>
        <w:t xml:space="preserve"> (Ley 40/2015, art. 3.4)</w:t>
      </w:r>
      <w:r>
        <w:t>.</w:t>
      </w:r>
    </w:p>
    <w:p>
      <w:r>
        <w:t xml:space="preserve">La idea viene de lejos: en el siglo XIII, los juristas de la Iglesia empezaron a tratar a las corporaciones como </w:t>
      </w:r>
      <w:r>
        <w:rPr>
          <w:i/>
        </w:rPr>
        <w:t>persona ficta</w:t>
      </w:r>
      <w:r>
        <w:t xml:space="preserve"> (persona fingida), para que pudieran actuar en derecho; se atribuye al papa Inocencio IV (fuente secundaria). Y hoy las personas jurídicas «pueden adquirir y poseer bienes de todas clases, así como contraer obligaciones y ejercitar acciones civiles o criminales» (Código Civil, art. 38).</w:t>
      </w:r>
    </w:p>
    <w:p>
      <w:r>
        <w:t>[03.00-1.1 y 1.2; Código Civil y Ley 40/2015 leídos en el BOE]</w:t>
      </w:r>
    </w:p>
    <w:p>
      <w:r>
        <w:rPr>
          <w:b/>
        </w:rPr>
        <w:t>Cómo empieza cada una:</w:t>
      </w:r>
    </w:p>
    <w:p>
      <w:pPr>
        <w:pStyle w:val="ListBullet"/>
      </w:pPr>
      <w:r>
        <w:rPr>
          <w:b/>
        </w:rPr>
        <w:t>la persona:</w:t>
      </w:r>
      <w:r>
        <w:t xml:space="preserve"> «El nacimiento determina la personalidad»</w:t>
      </w:r>
      <w:r>
        <w:t xml:space="preserve"> (Código Civil, art. 29)</w:t>
      </w:r>
      <w:r>
        <w:t>, y la personalidad «se extingue por la muerte de las personas»</w:t>
      </w:r>
      <w:r>
        <w:t xml:space="preserve"> (Código Civil, art. 32)</w:t>
      </w:r>
      <w:r>
        <w:t>;</w:t>
      </w:r>
    </w:p>
    <w:p>
      <w:pPr>
        <w:pStyle w:val="ListBullet"/>
      </w:pPr>
      <w:r>
        <w:t>el momento exacto: la personalidad «se adquiere en el momento del nacimiento con vida, una vez producido el entero desprendimiento del seno materno» (Código Civil, art. 30);</w:t>
      </w:r>
    </w:p>
    <w:p>
      <w:pPr>
        <w:pStyle w:val="ListBullet"/>
      </w:pPr>
      <w:r>
        <w:rPr>
          <w:b/>
        </w:rPr>
        <w:t>la persona jurídica:</w:t>
      </w:r>
      <w:r>
        <w:t xml:space="preserve"> «Su personalidad empieza desde el instante mismo en que, con arreglo a derecho, hubiesen quedado válidamente constituidas»</w:t>
      </w:r>
      <w:r>
        <w:t xml:space="preserve"> (Código Civil, art. 35)</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t>[Código Civil leído en el BOE]</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t>[glosario 3.2]</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r>
        <w:t>[glosario 2.1; 03.00-1.1]</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t>[glosario 2.2]</w:t>
      </w:r>
    </w:p>
    <w:p>
      <w:r>
        <w:rPr>
          <w:b/>
        </w:rPr>
        <w:t>Lo que dicen los textos:</w:t>
      </w:r>
    </w:p>
    <w:p>
      <w:pPr>
        <w:pStyle w:val="ListBullet"/>
      </w:pPr>
      <w:r>
        <w:t>La Declaración Universal de Derechos Humanos, de 1948</w:t>
      </w:r>
      <w:r>
        <w:t xml:space="preserve"> (proclamada por la Asamblea General de las Naciones Unidas en París, el 10 de diciembre de 1948, resolución 217 A (III))</w:t>
      </w:r>
      <w:r>
        <w:t>, parte del «reconocimiento de la dignidad intrínseca y de los derechos iguales e inalienables de todos los miembros de la familia humana»</w:t>
      </w:r>
      <w:r>
        <w:t xml:space="preserve"> (Declaración Universal, preámbulo)</w:t>
      </w:r>
      <w:r>
        <w:t>. Y su primer artículo dice: «Todos los seres humanos nacen libres e iguales en dignidad y derechos y, dotados como están de razón y conciencia, deben comportarse fraternalmente los unos con los otros»</w:t>
      </w:r>
      <w:r>
        <w:t xml:space="preserve"> (Declaración Universal, art. 1)</w:t>
      </w:r>
      <w:r>
        <w:t>.</w:t>
      </w:r>
    </w:p>
    <w:p>
      <w:pPr>
        <w:pStyle w:val="ListBullet"/>
      </w:pPr>
      <w:r>
        <w:t>La Constitución usa la misma idea: «La dignidad de la persona, los derechos inviolables que le son inherentes [...] son fundamento del orden político y de la paz social»</w:t>
      </w:r>
      <w:r>
        <w:t xml:space="preserve"> (Constitución, art. 10.1)</w:t>
      </w:r>
      <w:r>
        <w:t>. Y manda leer los derechos que reconoce «de conformidad con la Declaración Universal de Derechos Humanos»</w:t>
      </w:r>
      <w:r>
        <w:t xml:space="preserve"> (Constitución, art. 10.2)</w:t>
      </w:r>
      <w:r>
        <w:t>.</w:t>
      </w:r>
    </w:p>
    <w:p>
      <w:r>
        <w:t>[03.00-0.1, 3.1 a 3.3 y 30.2; Declaración leída en un.org; Constitución leída en el BOE]</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t xml:space="preserve"> (Constitución, art. 15)</w:t>
      </w:r>
      <w:r>
        <w:t>, la igualdad</w:t>
      </w:r>
      <w:r>
        <w:t xml:space="preserve"> (art. 14)</w:t>
      </w:r>
      <w:r>
        <w:t>, la libertad</w:t>
      </w:r>
      <w:r>
        <w:t xml:space="preserve"> (art. 17)</w:t>
      </w:r>
      <w:r>
        <w:t>, la protección de los jueces</w:t>
      </w:r>
      <w:r>
        <w:t xml:space="preserve"> (art. 24)</w:t>
      </w:r>
      <w:r>
        <w:t>, la libertad de conciencia</w:t>
      </w:r>
      <w:r>
        <w:t xml:space="preserve"> (art. 16)</w:t>
      </w:r>
      <w:r>
        <w:t xml:space="preserve"> o la de expresión</w:t>
      </w:r>
      <w:r>
        <w:t xml:space="preserve"> (art. 20)</w:t>
      </w:r>
      <w:r>
        <w:t>. Cinco de ellos están, del todo o en parte, entre los «principios rectores», que no se pueden exigir ante un juez como los demás (véase el límite honesto).</w:t>
      </w:r>
    </w:p>
    <w:p>
      <w:r>
        <w:t>La segunda columna resume el texto oficial de la Declaración; la tercera da el artículo de la Constitución (o de la ley que se indica) donde vive hoy ese derecho. Lo marcado con PR está en el capítulo de los «principios rectores».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Art.</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reconoce la Declaración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Dónde lo recoge el derecho español</w:t>
            </w:r>
          </w:p>
        </w:tc>
      </w:tr>
      <w:tr>
        <w:tc>
          <w:tcPr>
            <w:tcW w:type="dxa" w:w="3061"/>
          </w:tcPr>
          <w:p>
            <w:pPr>
              <w:spacing w:after="20" w:line="264" w:lineRule="auto"/>
            </w:pPr>
            <w:r/>
            <w:r>
              <w:rPr>
                <w:rFonts w:ascii="Segoe UI" w:hAnsi="Segoe UI" w:eastAsia="Segoe UI" w:cs="Segoe UI"/>
                <w:color w:val="1F1D1A"/>
                <w:sz w:val="18"/>
              </w:rPr>
              <w:t>1</w:t>
            </w:r>
          </w:p>
        </w:tc>
        <w:tc>
          <w:tcPr>
            <w:tcW w:type="dxa" w:w="3061"/>
          </w:tcPr>
          <w:p>
            <w:pPr>
              <w:spacing w:after="20" w:line="264" w:lineRule="auto"/>
            </w:pPr>
            <w:r/>
            <w:r>
              <w:rPr>
                <w:rFonts w:ascii="Segoe UI" w:hAnsi="Segoe UI" w:eastAsia="Segoe UI" w:cs="Segoe UI"/>
                <w:color w:val="1F1D1A"/>
                <w:sz w:val="18"/>
              </w:rPr>
              <w:t>Todos nacen libres e iguales en dignidad y derechos</w:t>
            </w:r>
          </w:p>
        </w:tc>
        <w:tc>
          <w:tcPr>
            <w:tcW w:type="dxa" w:w="3061"/>
          </w:tcPr>
          <w:p>
            <w:pPr>
              <w:spacing w:after="20" w:line="264" w:lineRule="auto"/>
            </w:pPr>
            <w:r/>
            <w:r>
              <w:rPr>
                <w:rFonts w:ascii="Segoe UI" w:hAnsi="Segoe UI" w:eastAsia="Segoe UI" w:cs="Segoe UI"/>
                <w:color w:val="1F1D1A"/>
                <w:sz w:val="18"/>
              </w:rPr>
              <w:t>Constitución, art. 10.1</w:t>
            </w:r>
          </w:p>
        </w:tc>
      </w:tr>
      <w:tr>
        <w:tc>
          <w:tcPr>
            <w:tcW w:type="dxa" w:w="3061"/>
          </w:tcPr>
          <w:p>
            <w:pPr>
              <w:spacing w:after="20" w:line="264" w:lineRule="auto"/>
            </w:pPr>
            <w:r/>
            <w:r>
              <w:rPr>
                <w:rFonts w:ascii="Segoe UI" w:hAnsi="Segoe UI" w:eastAsia="Segoe UI" w:cs="Segoe UI"/>
                <w:color w:val="1F1D1A"/>
                <w:sz w:val="18"/>
              </w:rPr>
              <w:t>2</w:t>
            </w:r>
          </w:p>
        </w:tc>
        <w:tc>
          <w:tcPr>
            <w:tcW w:type="dxa" w:w="3061"/>
          </w:tcPr>
          <w:p>
            <w:pPr>
              <w:spacing w:after="20" w:line="264" w:lineRule="auto"/>
            </w:pPr>
            <w:r/>
            <w:r>
              <w:rPr>
                <w:rFonts w:ascii="Segoe UI" w:hAnsi="Segoe UI" w:eastAsia="Segoe UI" w:cs="Segoe UI"/>
                <w:color w:val="1F1D1A"/>
                <w:sz w:val="18"/>
              </w:rPr>
              <w:t>Los derechos son de todos, sin distinción de raza, color, sexo, idioma, religión, opinión, origen, posición económica, nacimiento o cualquier otra condición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3</w:t>
            </w:r>
          </w:p>
        </w:tc>
        <w:tc>
          <w:tcPr>
            <w:tcW w:type="dxa" w:w="3061"/>
          </w:tcPr>
          <w:p>
            <w:pPr>
              <w:spacing w:after="20" w:line="264" w:lineRule="auto"/>
            </w:pPr>
            <w:r/>
            <w:r>
              <w:rPr>
                <w:rFonts w:ascii="Segoe UI" w:hAnsi="Segoe UI" w:eastAsia="Segoe UI" w:cs="Segoe UI"/>
                <w:color w:val="1F1D1A"/>
                <w:sz w:val="18"/>
              </w:rPr>
              <w:t>La vida, la libertad y la seguridad</w:t>
            </w:r>
          </w:p>
        </w:tc>
        <w:tc>
          <w:tcPr>
            <w:tcW w:type="dxa" w:w="3061"/>
          </w:tcPr>
          <w:p>
            <w:pPr>
              <w:spacing w:after="20" w:line="264" w:lineRule="auto"/>
            </w:pPr>
            <w:r/>
            <w:r>
              <w:rPr>
                <w:rFonts w:ascii="Segoe UI" w:hAnsi="Segoe UI" w:eastAsia="Segoe UI" w:cs="Segoe UI"/>
                <w:color w:val="1F1D1A"/>
                <w:sz w:val="18"/>
              </w:rPr>
              <w:t>arts. 15 y 17.1</w:t>
            </w:r>
          </w:p>
        </w:tc>
      </w:tr>
      <w:tr>
        <w:tc>
          <w:tcPr>
            <w:tcW w:type="dxa" w:w="3061"/>
          </w:tcPr>
          <w:p>
            <w:pPr>
              <w:spacing w:after="20" w:line="264" w:lineRule="auto"/>
            </w:pPr>
            <w:r/>
            <w:r>
              <w:rPr>
                <w:rFonts w:ascii="Segoe UI" w:hAnsi="Segoe UI" w:eastAsia="Segoe UI" w:cs="Segoe UI"/>
                <w:color w:val="1F1D1A"/>
                <w:sz w:val="18"/>
              </w:rPr>
              <w:t>4</w:t>
            </w:r>
          </w:p>
        </w:tc>
        <w:tc>
          <w:tcPr>
            <w:tcW w:type="dxa" w:w="3061"/>
          </w:tcPr>
          <w:p>
            <w:pPr>
              <w:spacing w:after="20" w:line="264" w:lineRule="auto"/>
            </w:pPr>
            <w:r/>
            <w:r>
              <w:rPr>
                <w:rFonts w:ascii="Segoe UI" w:hAnsi="Segoe UI" w:eastAsia="Segoe UI" w:cs="Segoe UI"/>
                <w:color w:val="1F1D1A"/>
                <w:sz w:val="18"/>
              </w:rPr>
              <w:t>Nadie será esclavo ni siervo</w:t>
            </w:r>
          </w:p>
        </w:tc>
        <w:tc>
          <w:tcPr>
            <w:tcW w:type="dxa" w:w="3061"/>
          </w:tcPr>
          <w:p>
            <w:pPr>
              <w:spacing w:after="20" w:line="264" w:lineRule="auto"/>
            </w:pPr>
            <w:r/>
            <w:r>
              <w:rPr>
                <w:rFonts w:ascii="Segoe UI" w:hAnsi="Segoe UI" w:eastAsia="Segoe UI" w:cs="Segoe UI"/>
                <w:color w:val="1F1D1A"/>
                <w:sz w:val="18"/>
              </w:rPr>
              <w:t>art. 25.2 (las penas no pueden consistir en trabajos forzados); Código Penal, art. 177 bis (trata de seres humanos)</w:t>
            </w:r>
          </w:p>
        </w:tc>
      </w:tr>
      <w:tr>
        <w:tc>
          <w:tcPr>
            <w:tcW w:type="dxa" w:w="3061"/>
          </w:tcPr>
          <w:p>
            <w:pPr>
              <w:spacing w:after="20" w:line="264" w:lineRule="auto"/>
            </w:pPr>
            <w:r/>
            <w:r>
              <w:rPr>
                <w:rFonts w:ascii="Segoe UI" w:hAnsi="Segoe UI" w:eastAsia="Segoe UI" w:cs="Segoe UI"/>
                <w:color w:val="1F1D1A"/>
                <w:sz w:val="18"/>
              </w:rPr>
              <w:t>5</w:t>
            </w:r>
          </w:p>
        </w:tc>
        <w:tc>
          <w:tcPr>
            <w:tcW w:type="dxa" w:w="3061"/>
          </w:tcPr>
          <w:p>
            <w:pPr>
              <w:spacing w:after="20" w:line="264" w:lineRule="auto"/>
            </w:pPr>
            <w:r/>
            <w:r>
              <w:rPr>
                <w:rFonts w:ascii="Segoe UI" w:hAnsi="Segoe UI" w:eastAsia="Segoe UI" w:cs="Segoe UI"/>
                <w:color w:val="1F1D1A"/>
                <w:sz w:val="18"/>
              </w:rPr>
              <w:t>Nadie será torturado ni sometido a tratos crueles, inhumanos o degradantes</w:t>
            </w:r>
          </w:p>
        </w:tc>
        <w:tc>
          <w:tcPr>
            <w:tcW w:type="dxa" w:w="3061"/>
          </w:tcPr>
          <w:p>
            <w:pPr>
              <w:spacing w:after="20" w:line="264" w:lineRule="auto"/>
            </w:pPr>
            <w:r/>
            <w:r>
              <w:rPr>
                <w:rFonts w:ascii="Segoe UI" w:hAnsi="Segoe UI" w:eastAsia="Segoe UI" w:cs="Segoe UI"/>
                <w:color w:val="1F1D1A"/>
                <w:sz w:val="18"/>
              </w:rPr>
              <w:t>art. 15</w:t>
            </w:r>
          </w:p>
        </w:tc>
      </w:tr>
      <w:tr>
        <w:tc>
          <w:tcPr>
            <w:tcW w:type="dxa" w:w="3061"/>
          </w:tcPr>
          <w:p>
            <w:pPr>
              <w:spacing w:after="20" w:line="264" w:lineRule="auto"/>
            </w:pPr>
            <w:r/>
            <w:r>
              <w:rPr>
                <w:rFonts w:ascii="Segoe UI" w:hAnsi="Segoe UI" w:eastAsia="Segoe UI" w:cs="Segoe UI"/>
                <w:color w:val="1F1D1A"/>
                <w:sz w:val="18"/>
              </w:rPr>
              <w:t>6</w:t>
            </w:r>
          </w:p>
        </w:tc>
        <w:tc>
          <w:tcPr>
            <w:tcW w:type="dxa" w:w="3061"/>
          </w:tcPr>
          <w:p>
            <w:pPr>
              <w:spacing w:after="20" w:line="264" w:lineRule="auto"/>
            </w:pPr>
            <w:r/>
            <w:r>
              <w:rPr>
                <w:rFonts w:ascii="Segoe UI" w:hAnsi="Segoe UI" w:eastAsia="Segoe UI" w:cs="Segoe UI"/>
                <w:color w:val="1F1D1A"/>
                <w:sz w:val="18"/>
              </w:rPr>
              <w:t>Todo ser humano tiene derecho a que se reconozca su personalidad jurídica</w:t>
            </w:r>
          </w:p>
        </w:tc>
        <w:tc>
          <w:tcPr>
            <w:tcW w:type="dxa" w:w="3061"/>
          </w:tcPr>
          <w:p>
            <w:pPr>
              <w:spacing w:after="20" w:line="264" w:lineRule="auto"/>
            </w:pPr>
            <w:r/>
            <w:r>
              <w:rPr>
                <w:rFonts w:ascii="Segoe UI" w:hAnsi="Segoe UI" w:eastAsia="Segoe UI" w:cs="Segoe UI"/>
                <w:color w:val="1F1D1A"/>
                <w:sz w:val="18"/>
              </w:rPr>
              <w:t>Código Civil, arts. 29 y 30</w:t>
            </w:r>
          </w:p>
        </w:tc>
      </w:tr>
      <w:tr>
        <w:tc>
          <w:tcPr>
            <w:tcW w:type="dxa" w:w="3061"/>
          </w:tcPr>
          <w:p>
            <w:pPr>
              <w:spacing w:after="20" w:line="264" w:lineRule="auto"/>
            </w:pPr>
            <w:r/>
            <w:r>
              <w:rPr>
                <w:rFonts w:ascii="Segoe UI" w:hAnsi="Segoe UI" w:eastAsia="Segoe UI" w:cs="Segoe UI"/>
                <w:color w:val="1F1D1A"/>
                <w:sz w:val="18"/>
              </w:rPr>
              <w:t>7</w:t>
            </w:r>
          </w:p>
        </w:tc>
        <w:tc>
          <w:tcPr>
            <w:tcW w:type="dxa" w:w="3061"/>
          </w:tcPr>
          <w:p>
            <w:pPr>
              <w:spacing w:after="20" w:line="264" w:lineRule="auto"/>
            </w:pPr>
            <w:r/>
            <w:r>
              <w:rPr>
                <w:rFonts w:ascii="Segoe UI" w:hAnsi="Segoe UI" w:eastAsia="Segoe UI" w:cs="Segoe UI"/>
                <w:color w:val="1F1D1A"/>
                <w:sz w:val="18"/>
              </w:rPr>
              <w:t>Todos son iguales ante la ley y tienen derecho a igual protección contra la discriminación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8</w:t>
            </w:r>
          </w:p>
        </w:tc>
        <w:tc>
          <w:tcPr>
            <w:tcW w:type="dxa" w:w="3061"/>
          </w:tcPr>
          <w:p>
            <w:pPr>
              <w:spacing w:after="20" w:line="264" w:lineRule="auto"/>
            </w:pPr>
            <w:r/>
            <w:r>
              <w:rPr>
                <w:rFonts w:ascii="Segoe UI" w:hAnsi="Segoe UI" w:eastAsia="Segoe UI" w:cs="Segoe UI"/>
                <w:color w:val="1F1D1A"/>
                <w:sz w:val="18"/>
              </w:rPr>
              <w:t>Un recurso efectivo ante los tribunales</w:t>
            </w:r>
          </w:p>
        </w:tc>
        <w:tc>
          <w:tcPr>
            <w:tcW w:type="dxa" w:w="3061"/>
          </w:tcPr>
          <w:p>
            <w:pPr>
              <w:spacing w:after="20" w:line="264" w:lineRule="auto"/>
            </w:pPr>
            <w:r/>
            <w:r>
              <w:rPr>
                <w:rFonts w:ascii="Segoe UI" w:hAnsi="Segoe UI" w:eastAsia="Segoe UI" w:cs="Segoe UI"/>
                <w:color w:val="1F1D1A"/>
                <w:sz w:val="18"/>
              </w:rPr>
              <w:t>arts. 24.1 y 53.2</w:t>
            </w:r>
          </w:p>
        </w:tc>
      </w:tr>
      <w:tr>
        <w:tc>
          <w:tcPr>
            <w:tcW w:type="dxa" w:w="3061"/>
          </w:tcPr>
          <w:p>
            <w:pPr>
              <w:spacing w:after="20" w:line="264" w:lineRule="auto"/>
            </w:pPr>
            <w:r/>
            <w:r>
              <w:rPr>
                <w:rFonts w:ascii="Segoe UI" w:hAnsi="Segoe UI" w:eastAsia="Segoe UI" w:cs="Segoe UI"/>
                <w:color w:val="1F1D1A"/>
                <w:sz w:val="18"/>
              </w:rPr>
              <w:t>9</w:t>
            </w:r>
          </w:p>
        </w:tc>
        <w:tc>
          <w:tcPr>
            <w:tcW w:type="dxa" w:w="3061"/>
          </w:tcPr>
          <w:p>
            <w:pPr>
              <w:spacing w:after="20" w:line="264" w:lineRule="auto"/>
            </w:pPr>
            <w:r/>
            <w:r>
              <w:rPr>
                <w:rFonts w:ascii="Segoe UI" w:hAnsi="Segoe UI" w:eastAsia="Segoe UI" w:cs="Segoe UI"/>
                <w:color w:val="1F1D1A"/>
                <w:sz w:val="18"/>
              </w:rPr>
              <w:t>Nadie será detenido, preso ni desterrado arbitrariamente</w:t>
            </w:r>
          </w:p>
        </w:tc>
        <w:tc>
          <w:tcPr>
            <w:tcW w:type="dxa" w:w="3061"/>
          </w:tcPr>
          <w:p>
            <w:pPr>
              <w:spacing w:after="20" w:line="264" w:lineRule="auto"/>
            </w:pPr>
            <w:r/>
            <w:r>
              <w:rPr>
                <w:rFonts w:ascii="Segoe UI" w:hAnsi="Segoe UI" w:eastAsia="Segoe UI" w:cs="Segoe UI"/>
                <w:color w:val="1F1D1A"/>
                <w:sz w:val="18"/>
              </w:rPr>
              <w:t>art. 17.1 y 17.2</w:t>
            </w:r>
          </w:p>
        </w:tc>
      </w:tr>
      <w:tr>
        <w:tc>
          <w:tcPr>
            <w:tcW w:type="dxa" w:w="3061"/>
          </w:tcPr>
          <w:p>
            <w:pPr>
              <w:spacing w:after="20" w:line="264" w:lineRule="auto"/>
            </w:pPr>
            <w:r/>
            <w:r>
              <w:rPr>
                <w:rFonts w:ascii="Segoe UI" w:hAnsi="Segoe UI" w:eastAsia="Segoe UI" w:cs="Segoe UI"/>
                <w:color w:val="1F1D1A"/>
                <w:sz w:val="18"/>
              </w:rPr>
              <w:t>10</w:t>
            </w:r>
          </w:p>
        </w:tc>
        <w:tc>
          <w:tcPr>
            <w:tcW w:type="dxa" w:w="3061"/>
          </w:tcPr>
          <w:p>
            <w:pPr>
              <w:spacing w:after="20" w:line="264" w:lineRule="auto"/>
            </w:pPr>
            <w:r/>
            <w:r>
              <w:rPr>
                <w:rFonts w:ascii="Segoe UI" w:hAnsi="Segoe UI" w:eastAsia="Segoe UI" w:cs="Segoe UI"/>
                <w:color w:val="1F1D1A"/>
                <w:sz w:val="18"/>
              </w:rPr>
              <w:t>Ser oído por un tribunal independiente e imparcial</w:t>
            </w:r>
          </w:p>
        </w:tc>
        <w:tc>
          <w:tcPr>
            <w:tcW w:type="dxa" w:w="3061"/>
          </w:tcPr>
          <w:p>
            <w:pPr>
              <w:spacing w:after="20" w:line="264" w:lineRule="auto"/>
            </w:pPr>
            <w:r/>
            <w:r>
              <w:rPr>
                <w:rFonts w:ascii="Segoe UI" w:hAnsi="Segoe UI" w:eastAsia="Segoe UI" w:cs="Segoe UI"/>
                <w:color w:val="1F1D1A"/>
                <w:sz w:val="18"/>
              </w:rPr>
              <w:t>arts. 24.2 y 117.1</w:t>
            </w:r>
          </w:p>
        </w:tc>
      </w:tr>
      <w:tr>
        <w:tc>
          <w:tcPr>
            <w:tcW w:type="dxa" w:w="3061"/>
          </w:tcPr>
          <w:p>
            <w:pPr>
              <w:spacing w:after="20" w:line="264" w:lineRule="auto"/>
            </w:pPr>
            <w:r/>
            <w:r>
              <w:rPr>
                <w:rFonts w:ascii="Segoe UI" w:hAnsi="Segoe UI" w:eastAsia="Segoe UI" w:cs="Segoe UI"/>
                <w:color w:val="1F1D1A"/>
                <w:sz w:val="18"/>
              </w:rPr>
              <w:t>11</w:t>
            </w:r>
          </w:p>
        </w:tc>
        <w:tc>
          <w:tcPr>
            <w:tcW w:type="dxa" w:w="3061"/>
          </w:tcPr>
          <w:p>
            <w:pPr>
              <w:spacing w:after="20" w:line="264" w:lineRule="auto"/>
            </w:pPr>
            <w:r/>
            <w:r>
              <w:rPr>
                <w:rFonts w:ascii="Segoe UI" w:hAnsi="Segoe UI" w:eastAsia="Segoe UI" w:cs="Segoe UI"/>
                <w:color w:val="1F1D1A"/>
                <w:sz w:val="18"/>
              </w:rPr>
              <w:t>La presunción de inocencia, y no ser condenado por lo que no era delito cuando se hizo</w:t>
            </w:r>
          </w:p>
        </w:tc>
        <w:tc>
          <w:tcPr>
            <w:tcW w:type="dxa" w:w="3061"/>
          </w:tcPr>
          <w:p>
            <w:pPr>
              <w:spacing w:after="20" w:line="264" w:lineRule="auto"/>
            </w:pPr>
            <w:r/>
            <w:r>
              <w:rPr>
                <w:rFonts w:ascii="Segoe UI" w:hAnsi="Segoe UI" w:eastAsia="Segoe UI" w:cs="Segoe UI"/>
                <w:color w:val="1F1D1A"/>
                <w:sz w:val="18"/>
              </w:rPr>
              <w:t>arts. 24.2 y 25.1</w:t>
            </w:r>
          </w:p>
        </w:tc>
      </w:tr>
      <w:tr>
        <w:tc>
          <w:tcPr>
            <w:tcW w:type="dxa" w:w="3061"/>
          </w:tcPr>
          <w:p>
            <w:pPr>
              <w:spacing w:after="20" w:line="264" w:lineRule="auto"/>
            </w:pPr>
            <w:r/>
            <w:r>
              <w:rPr>
                <w:rFonts w:ascii="Segoe UI" w:hAnsi="Segoe UI" w:eastAsia="Segoe UI" w:cs="Segoe UI"/>
                <w:color w:val="1F1D1A"/>
                <w:sz w:val="18"/>
              </w:rPr>
              <w:t>12</w:t>
            </w:r>
          </w:p>
        </w:tc>
        <w:tc>
          <w:tcPr>
            <w:tcW w:type="dxa" w:w="3061"/>
          </w:tcPr>
          <w:p>
            <w:pPr>
              <w:spacing w:after="20" w:line="264" w:lineRule="auto"/>
            </w:pPr>
            <w:r/>
            <w:r>
              <w:rPr>
                <w:rFonts w:ascii="Segoe UI" w:hAnsi="Segoe UI" w:eastAsia="Segoe UI" w:cs="Segoe UI"/>
                <w:color w:val="1F1D1A"/>
                <w:sz w:val="18"/>
              </w:rPr>
              <w:t>La vida privada, la familia, el domicilio, la correspondencia y la honra</w:t>
            </w:r>
          </w:p>
        </w:tc>
        <w:tc>
          <w:tcPr>
            <w:tcW w:type="dxa" w:w="3061"/>
          </w:tcPr>
          <w:p>
            <w:pPr>
              <w:spacing w:after="20" w:line="264" w:lineRule="auto"/>
            </w:pPr>
            <w:r/>
            <w:r>
              <w:rPr>
                <w:rFonts w:ascii="Segoe UI" w:hAnsi="Segoe UI" w:eastAsia="Segoe UI" w:cs="Segoe UI"/>
                <w:color w:val="1F1D1A"/>
                <w:sz w:val="18"/>
              </w:rPr>
              <w:t>art. 18</w:t>
            </w:r>
          </w:p>
        </w:tc>
      </w:tr>
      <w:tr>
        <w:tc>
          <w:tcPr>
            <w:tcW w:type="dxa" w:w="3061"/>
          </w:tcPr>
          <w:p>
            <w:pPr>
              <w:spacing w:after="20" w:line="264" w:lineRule="auto"/>
            </w:pPr>
            <w:r/>
            <w:r>
              <w:rPr>
                <w:rFonts w:ascii="Segoe UI" w:hAnsi="Segoe UI" w:eastAsia="Segoe UI" w:cs="Segoe UI"/>
                <w:color w:val="1F1D1A"/>
                <w:sz w:val="18"/>
              </w:rPr>
              <w:t>13</w:t>
            </w:r>
          </w:p>
        </w:tc>
        <w:tc>
          <w:tcPr>
            <w:tcW w:type="dxa" w:w="3061"/>
          </w:tcPr>
          <w:p>
            <w:pPr>
              <w:spacing w:after="20" w:line="264" w:lineRule="auto"/>
            </w:pPr>
            <w:r/>
            <w:r>
              <w:rPr>
                <w:rFonts w:ascii="Segoe UI" w:hAnsi="Segoe UI" w:eastAsia="Segoe UI" w:cs="Segoe UI"/>
                <w:color w:val="1F1D1A"/>
                <w:sz w:val="18"/>
              </w:rPr>
              <w:t>Circular, elegir residencia, salir de cualquier país y volver al propio</w:t>
            </w:r>
          </w:p>
        </w:tc>
        <w:tc>
          <w:tcPr>
            <w:tcW w:type="dxa" w:w="3061"/>
          </w:tcPr>
          <w:p>
            <w:pPr>
              <w:spacing w:after="20" w:line="264" w:lineRule="auto"/>
            </w:pPr>
            <w:r/>
            <w:r>
              <w:rPr>
                <w:rFonts w:ascii="Segoe UI" w:hAnsi="Segoe UI" w:eastAsia="Segoe UI" w:cs="Segoe UI"/>
                <w:color w:val="1F1D1A"/>
                <w:sz w:val="18"/>
              </w:rPr>
              <w:t>art. 19</w:t>
            </w:r>
          </w:p>
        </w:tc>
      </w:tr>
      <w:tr>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Buscar asilo y disfrutar de él</w:t>
            </w:r>
          </w:p>
        </w:tc>
        <w:tc>
          <w:tcPr>
            <w:tcW w:type="dxa" w:w="3061"/>
          </w:tcPr>
          <w:p>
            <w:pPr>
              <w:spacing w:after="20" w:line="264" w:lineRule="auto"/>
            </w:pPr>
            <w:r/>
            <w:r>
              <w:rPr>
                <w:rFonts w:ascii="Segoe UI" w:hAnsi="Segoe UI" w:eastAsia="Segoe UI" w:cs="Segoe UI"/>
                <w:color w:val="1F1D1A"/>
                <w:sz w:val="18"/>
              </w:rPr>
              <w:t>art. 13.4</w:t>
            </w:r>
          </w:p>
        </w:tc>
      </w:tr>
      <w:tr>
        <w:tc>
          <w:tcPr>
            <w:tcW w:type="dxa" w:w="3061"/>
          </w:tcPr>
          <w:p>
            <w:pPr>
              <w:spacing w:after="20" w:line="264" w:lineRule="auto"/>
            </w:pPr>
            <w:r/>
            <w:r>
              <w:rPr>
                <w:rFonts w:ascii="Segoe UI" w:hAnsi="Segoe UI" w:eastAsia="Segoe UI" w:cs="Segoe UI"/>
                <w:color w:val="1F1D1A"/>
                <w:sz w:val="18"/>
              </w:rPr>
              <w:t>15</w:t>
            </w:r>
          </w:p>
        </w:tc>
        <w:tc>
          <w:tcPr>
            <w:tcW w:type="dxa" w:w="3061"/>
          </w:tcPr>
          <w:p>
            <w:pPr>
              <w:spacing w:after="20" w:line="264" w:lineRule="auto"/>
            </w:pPr>
            <w:r/>
            <w:r>
              <w:rPr>
                <w:rFonts w:ascii="Segoe UI" w:hAnsi="Segoe UI" w:eastAsia="Segoe UI" w:cs="Segoe UI"/>
                <w:color w:val="1F1D1A"/>
                <w:sz w:val="18"/>
              </w:rPr>
              <w:t>Una nacionalidad, de la que nadie será privado arbitrariamente</w:t>
            </w:r>
          </w:p>
        </w:tc>
        <w:tc>
          <w:tcPr>
            <w:tcW w:type="dxa" w:w="3061"/>
          </w:tcPr>
          <w:p>
            <w:pPr>
              <w:spacing w:after="20" w:line="264" w:lineRule="auto"/>
            </w:pPr>
            <w:r/>
            <w:r>
              <w:rPr>
                <w:rFonts w:ascii="Segoe UI" w:hAnsi="Segoe UI" w:eastAsia="Segoe UI" w:cs="Segoe UI"/>
                <w:color w:val="1F1D1A"/>
                <w:sz w:val="18"/>
              </w:rPr>
              <w:t>art. 11; Código Civil, arts. 17 y siguientes</w:t>
            </w:r>
          </w:p>
        </w:tc>
      </w:tr>
      <w:tr>
        <w:tc>
          <w:tcPr>
            <w:tcW w:type="dxa" w:w="3061"/>
          </w:tcPr>
          <w:p>
            <w:pPr>
              <w:spacing w:after="20" w:line="264" w:lineRule="auto"/>
            </w:pPr>
            <w:r/>
            <w:r>
              <w:rPr>
                <w:rFonts w:ascii="Segoe UI" w:hAnsi="Segoe UI" w:eastAsia="Segoe UI" w:cs="Segoe UI"/>
                <w:color w:val="1F1D1A"/>
                <w:sz w:val="18"/>
              </w:rPr>
              <w:t>16</w:t>
            </w:r>
          </w:p>
        </w:tc>
        <w:tc>
          <w:tcPr>
            <w:tcW w:type="dxa" w:w="3061"/>
          </w:tcPr>
          <w:p>
            <w:pPr>
              <w:spacing w:after="20" w:line="264" w:lineRule="auto"/>
            </w:pPr>
            <w:r/>
            <w:r>
              <w:rPr>
                <w:rFonts w:ascii="Segoe UI" w:hAnsi="Segoe UI" w:eastAsia="Segoe UI" w:cs="Segoe UI"/>
                <w:color w:val="1F1D1A"/>
                <w:sz w:val="18"/>
              </w:rPr>
              <w:t>Casarse y fundar una familia, con libre y pleno consentimiento</w:t>
            </w:r>
          </w:p>
        </w:tc>
        <w:tc>
          <w:tcPr>
            <w:tcW w:type="dxa" w:w="3061"/>
          </w:tcPr>
          <w:p>
            <w:pPr>
              <w:spacing w:after="20" w:line="264" w:lineRule="auto"/>
            </w:pPr>
            <w:r/>
            <w:r>
              <w:rPr>
                <w:rFonts w:ascii="Segoe UI" w:hAnsi="Segoe UI" w:eastAsia="Segoe UI" w:cs="Segoe UI"/>
                <w:color w:val="1F1D1A"/>
                <w:sz w:val="18"/>
              </w:rPr>
              <w:t>art. 32; art. 39 (PR)</w:t>
            </w:r>
          </w:p>
        </w:tc>
      </w:tr>
      <w:tr>
        <w:tc>
          <w:tcPr>
            <w:tcW w:type="dxa" w:w="3061"/>
          </w:tcPr>
          <w:p>
            <w:pPr>
              <w:spacing w:after="20" w:line="264" w:lineRule="auto"/>
            </w:pPr>
            <w:r/>
            <w:r>
              <w:rPr>
                <w:rFonts w:ascii="Segoe UI" w:hAnsi="Segoe UI" w:eastAsia="Segoe UI" w:cs="Segoe UI"/>
                <w:color w:val="1F1D1A"/>
                <w:sz w:val="18"/>
              </w:rPr>
              <w:t>17</w:t>
            </w:r>
          </w:p>
        </w:tc>
        <w:tc>
          <w:tcPr>
            <w:tcW w:type="dxa" w:w="3061"/>
          </w:tcPr>
          <w:p>
            <w:pPr>
              <w:spacing w:after="20" w:line="264" w:lineRule="auto"/>
            </w:pPr>
            <w:r/>
            <w:r>
              <w:rPr>
                <w:rFonts w:ascii="Segoe UI" w:hAnsi="Segoe UI" w:eastAsia="Segoe UI" w:cs="Segoe UI"/>
                <w:color w:val="1F1D1A"/>
                <w:sz w:val="18"/>
              </w:rPr>
              <w:t>La propiedad, individual y colectiva</w:t>
            </w:r>
          </w:p>
        </w:tc>
        <w:tc>
          <w:tcPr>
            <w:tcW w:type="dxa" w:w="3061"/>
          </w:tcPr>
          <w:p>
            <w:pPr>
              <w:spacing w:after="20" w:line="264" w:lineRule="auto"/>
            </w:pPr>
            <w:r/>
            <w:r>
              <w:rPr>
                <w:rFonts w:ascii="Segoe UI" w:hAnsi="Segoe UI" w:eastAsia="Segoe UI" w:cs="Segoe UI"/>
                <w:color w:val="1F1D1A"/>
                <w:sz w:val="18"/>
              </w:rPr>
              <w:t>art. 33; Código Civil, art. 348</w:t>
            </w:r>
          </w:p>
        </w:tc>
      </w:tr>
      <w:tr>
        <w:tc>
          <w:tcPr>
            <w:tcW w:type="dxa" w:w="3061"/>
          </w:tcPr>
          <w:p>
            <w:pPr>
              <w:spacing w:after="20" w:line="264" w:lineRule="auto"/>
            </w:pPr>
            <w:r/>
            <w:r>
              <w:rPr>
                <w:rFonts w:ascii="Segoe UI" w:hAnsi="Segoe UI" w:eastAsia="Segoe UI" w:cs="Segoe UI"/>
                <w:color w:val="1F1D1A"/>
                <w:sz w:val="18"/>
              </w:rPr>
              <w:t>18</w:t>
            </w:r>
          </w:p>
        </w:tc>
        <w:tc>
          <w:tcPr>
            <w:tcW w:type="dxa" w:w="3061"/>
          </w:tcPr>
          <w:p>
            <w:pPr>
              <w:spacing w:after="20" w:line="264" w:lineRule="auto"/>
            </w:pPr>
            <w:r/>
            <w:r>
              <w:rPr>
                <w:rFonts w:ascii="Segoe UI" w:hAnsi="Segoe UI" w:eastAsia="Segoe UI" w:cs="Segoe UI"/>
                <w:color w:val="1F1D1A"/>
                <w:sz w:val="18"/>
              </w:rPr>
              <w:t>La libertad de pensamiento, de conciencia y de religión</w:t>
            </w:r>
          </w:p>
        </w:tc>
        <w:tc>
          <w:tcPr>
            <w:tcW w:type="dxa" w:w="3061"/>
          </w:tcPr>
          <w:p>
            <w:pPr>
              <w:spacing w:after="20" w:line="264" w:lineRule="auto"/>
            </w:pPr>
            <w:r/>
            <w:r>
              <w:rPr>
                <w:rFonts w:ascii="Segoe UI" w:hAnsi="Segoe UI" w:eastAsia="Segoe UI" w:cs="Segoe UI"/>
                <w:color w:val="1F1D1A"/>
                <w:sz w:val="18"/>
              </w:rPr>
              <w:t>art. 16</w:t>
            </w:r>
          </w:p>
        </w:tc>
      </w:tr>
      <w:tr>
        <w:tc>
          <w:tcPr>
            <w:tcW w:type="dxa" w:w="3061"/>
          </w:tcPr>
          <w:p>
            <w:pPr>
              <w:spacing w:after="20" w:line="264" w:lineRule="auto"/>
            </w:pPr>
            <w:r/>
            <w:r>
              <w:rPr>
                <w:rFonts w:ascii="Segoe UI" w:hAnsi="Segoe UI" w:eastAsia="Segoe UI" w:cs="Segoe UI"/>
                <w:color w:val="1F1D1A"/>
                <w:sz w:val="18"/>
              </w:rPr>
              <w:t>19</w:t>
            </w:r>
          </w:p>
        </w:tc>
        <w:tc>
          <w:tcPr>
            <w:tcW w:type="dxa" w:w="3061"/>
          </w:tcPr>
          <w:p>
            <w:pPr>
              <w:spacing w:after="20" w:line="264" w:lineRule="auto"/>
            </w:pPr>
            <w:r/>
            <w:r>
              <w:rPr>
                <w:rFonts w:ascii="Segoe UI" w:hAnsi="Segoe UI" w:eastAsia="Segoe UI" w:cs="Segoe UI"/>
                <w:color w:val="1F1D1A"/>
                <w:sz w:val="18"/>
              </w:rPr>
              <w:t>La libertad de opinión y de expresión</w:t>
            </w:r>
          </w:p>
        </w:tc>
        <w:tc>
          <w:tcPr>
            <w:tcW w:type="dxa" w:w="3061"/>
          </w:tcPr>
          <w:p>
            <w:pPr>
              <w:spacing w:after="20" w:line="264" w:lineRule="auto"/>
            </w:pPr>
            <w:r/>
            <w:r>
              <w:rPr>
                <w:rFonts w:ascii="Segoe UI" w:hAnsi="Segoe UI" w:eastAsia="Segoe UI" w:cs="Segoe UI"/>
                <w:color w:val="1F1D1A"/>
                <w:sz w:val="18"/>
              </w:rPr>
              <w:t>art. 20.1 a)</w:t>
            </w:r>
          </w:p>
        </w:tc>
      </w:tr>
      <w:tr>
        <w:tc>
          <w:tcPr>
            <w:tcW w:type="dxa" w:w="3061"/>
          </w:tcPr>
          <w:p>
            <w:pPr>
              <w:spacing w:after="20" w:line="264" w:lineRule="auto"/>
            </w:pPr>
            <w:r/>
            <w:r>
              <w:rPr>
                <w:rFonts w:ascii="Segoe UI" w:hAnsi="Segoe UI" w:eastAsia="Segoe UI" w:cs="Segoe UI"/>
                <w:color w:val="1F1D1A"/>
                <w:sz w:val="18"/>
              </w:rPr>
              <w:t>20</w:t>
            </w:r>
          </w:p>
        </w:tc>
        <w:tc>
          <w:tcPr>
            <w:tcW w:type="dxa" w:w="3061"/>
          </w:tcPr>
          <w:p>
            <w:pPr>
              <w:spacing w:after="20" w:line="264" w:lineRule="auto"/>
            </w:pPr>
            <w:r/>
            <w:r>
              <w:rPr>
                <w:rFonts w:ascii="Segoe UI" w:hAnsi="Segoe UI" w:eastAsia="Segoe UI" w:cs="Segoe UI"/>
                <w:color w:val="1F1D1A"/>
                <w:sz w:val="18"/>
              </w:rPr>
              <w:t>La reunión y la asociación pacíficas; nadie puede ser obligado a asociarse</w:t>
            </w:r>
          </w:p>
        </w:tc>
        <w:tc>
          <w:tcPr>
            <w:tcW w:type="dxa" w:w="3061"/>
          </w:tcPr>
          <w:p>
            <w:pPr>
              <w:spacing w:after="20" w:line="264" w:lineRule="auto"/>
            </w:pPr>
            <w:r/>
            <w:r>
              <w:rPr>
                <w:rFonts w:ascii="Segoe UI" w:hAnsi="Segoe UI" w:eastAsia="Segoe UI" w:cs="Segoe UI"/>
                <w:color w:val="1F1D1A"/>
                <w:sz w:val="18"/>
              </w:rPr>
              <w:t>arts. 21 y 22</w:t>
            </w:r>
          </w:p>
        </w:tc>
      </w:tr>
      <w:tr>
        <w:tc>
          <w:tcPr>
            <w:tcW w:type="dxa" w:w="3061"/>
          </w:tcPr>
          <w:p>
            <w:pPr>
              <w:spacing w:after="20" w:line="264" w:lineRule="auto"/>
            </w:pPr>
            <w:r/>
            <w:r>
              <w:rPr>
                <w:rFonts w:ascii="Segoe UI" w:hAnsi="Segoe UI" w:eastAsia="Segoe UI" w:cs="Segoe UI"/>
                <w:color w:val="1F1D1A"/>
                <w:sz w:val="18"/>
              </w:rPr>
              <w:t>21</w:t>
            </w:r>
          </w:p>
        </w:tc>
        <w:tc>
          <w:tcPr>
            <w:tcW w:type="dxa" w:w="3061"/>
          </w:tcPr>
          <w:p>
            <w:pPr>
              <w:spacing w:after="20" w:line="264" w:lineRule="auto"/>
            </w:pPr>
            <w:r/>
            <w:r>
              <w:rPr>
                <w:rFonts w:ascii="Segoe UI" w:hAnsi="Segoe UI" w:eastAsia="Segoe UI" w:cs="Segoe UI"/>
                <w:color w:val="1F1D1A"/>
                <w:sz w:val="18"/>
              </w:rPr>
              <w:t>Participar en el gobierno del país y acceder a las funciones públicas. «La voluntad del pueblo es la base de la autoridad del poder público»</w:t>
            </w:r>
          </w:p>
        </w:tc>
        <w:tc>
          <w:tcPr>
            <w:tcW w:type="dxa" w:w="3061"/>
          </w:tcPr>
          <w:p>
            <w:pPr>
              <w:spacing w:after="20" w:line="264" w:lineRule="auto"/>
            </w:pPr>
            <w:r/>
            <w:r>
              <w:rPr>
                <w:rFonts w:ascii="Segoe UI" w:hAnsi="Segoe UI" w:eastAsia="Segoe UI" w:cs="Segoe UI"/>
                <w:color w:val="1F1D1A"/>
                <w:sz w:val="18"/>
              </w:rPr>
              <w:t>art. 23</w:t>
            </w:r>
          </w:p>
        </w:tc>
      </w:tr>
      <w:tr>
        <w:tc>
          <w:tcPr>
            <w:tcW w:type="dxa" w:w="3061"/>
          </w:tcPr>
          <w:p>
            <w:pPr>
              <w:spacing w:after="20" w:line="264" w:lineRule="auto"/>
            </w:pPr>
            <w:r/>
            <w:r>
              <w:rPr>
                <w:rFonts w:ascii="Segoe UI" w:hAnsi="Segoe UI" w:eastAsia="Segoe UI" w:cs="Segoe UI"/>
                <w:color w:val="1F1D1A"/>
                <w:sz w:val="18"/>
              </w:rPr>
              <w:t>22</w:t>
            </w:r>
          </w:p>
        </w:tc>
        <w:tc>
          <w:tcPr>
            <w:tcW w:type="dxa" w:w="3061"/>
          </w:tcPr>
          <w:p>
            <w:pPr>
              <w:spacing w:after="20" w:line="264" w:lineRule="auto"/>
            </w:pPr>
            <w:r/>
            <w:r>
              <w:rPr>
                <w:rFonts w:ascii="Segoe UI" w:hAnsi="Segoe UI" w:eastAsia="Segoe UI" w:cs="Segoe UI"/>
                <w:color w:val="1F1D1A"/>
                <w:sz w:val="18"/>
              </w:rPr>
              <w:t>La seguridad social</w:t>
            </w:r>
          </w:p>
        </w:tc>
        <w:tc>
          <w:tcPr>
            <w:tcW w:type="dxa" w:w="3061"/>
          </w:tcPr>
          <w:p>
            <w:pPr>
              <w:spacing w:after="20" w:line="264" w:lineRule="auto"/>
            </w:pPr>
            <w:r/>
            <w:r>
              <w:rPr>
                <w:rFonts w:ascii="Segoe UI" w:hAnsi="Segoe UI" w:eastAsia="Segoe UI" w:cs="Segoe UI"/>
                <w:color w:val="1F1D1A"/>
                <w:sz w:val="18"/>
              </w:rPr>
              <w:t>art. 41 (PR)</w:t>
            </w:r>
          </w:p>
        </w:tc>
      </w:tr>
      <w:tr>
        <w:tc>
          <w:tcPr>
            <w:tcW w:type="dxa" w:w="3061"/>
          </w:tcPr>
          <w:p>
            <w:pPr>
              <w:spacing w:after="20" w:line="264" w:lineRule="auto"/>
            </w:pPr>
            <w:r/>
            <w:r>
              <w:rPr>
                <w:rFonts w:ascii="Segoe UI" w:hAnsi="Segoe UI" w:eastAsia="Segoe UI" w:cs="Segoe UI"/>
                <w:color w:val="1F1D1A"/>
                <w:sz w:val="18"/>
              </w:rPr>
              <w:t>23</w:t>
            </w:r>
          </w:p>
        </w:tc>
        <w:tc>
          <w:tcPr>
            <w:tcW w:type="dxa" w:w="3061"/>
          </w:tcPr>
          <w:p>
            <w:pPr>
              <w:spacing w:after="20" w:line="264" w:lineRule="auto"/>
            </w:pPr>
            <w:r/>
            <w:r>
              <w:rPr>
                <w:rFonts w:ascii="Segoe UI" w:hAnsi="Segoe UI" w:eastAsia="Segoe UI" w:cs="Segoe UI"/>
                <w:color w:val="1F1D1A"/>
                <w:sz w:val="18"/>
              </w:rPr>
              <w:t>El trabajo, igual salario por igual trabajo, una remuneración equitativa y los sindicatos</w:t>
            </w:r>
          </w:p>
        </w:tc>
        <w:tc>
          <w:tcPr>
            <w:tcW w:type="dxa" w:w="3061"/>
          </w:tcPr>
          <w:p>
            <w:pPr>
              <w:spacing w:after="20" w:line="264" w:lineRule="auto"/>
            </w:pPr>
            <w:r/>
            <w:r>
              <w:rPr>
                <w:rFonts w:ascii="Segoe UI" w:hAnsi="Segoe UI" w:eastAsia="Segoe UI" w:cs="Segoe UI"/>
                <w:color w:val="1F1D1A"/>
                <w:sz w:val="18"/>
              </w:rPr>
              <w:t>arts. 28 y 35</w:t>
            </w:r>
          </w:p>
        </w:tc>
      </w:tr>
      <w:tr>
        <w:tc>
          <w:tcPr>
            <w:tcW w:type="dxa" w:w="3061"/>
          </w:tcPr>
          <w:p>
            <w:pPr>
              <w:spacing w:after="20" w:line="264" w:lineRule="auto"/>
            </w:pPr>
            <w:r/>
            <w:r>
              <w:rPr>
                <w:rFonts w:ascii="Segoe UI" w:hAnsi="Segoe UI" w:eastAsia="Segoe UI" w:cs="Segoe UI"/>
                <w:color w:val="1F1D1A"/>
                <w:sz w:val="18"/>
              </w:rPr>
              <w:t>24</w:t>
            </w:r>
          </w:p>
        </w:tc>
        <w:tc>
          <w:tcPr>
            <w:tcW w:type="dxa" w:w="3061"/>
          </w:tcPr>
          <w:p>
            <w:pPr>
              <w:spacing w:after="20" w:line="264" w:lineRule="auto"/>
            </w:pPr>
            <w:r/>
            <w:r>
              <w:rPr>
                <w:rFonts w:ascii="Segoe UI" w:hAnsi="Segoe UI" w:eastAsia="Segoe UI" w:cs="Segoe UI"/>
                <w:color w:val="1F1D1A"/>
                <w:sz w:val="18"/>
              </w:rPr>
              <w:t>El descanso, el tiempo libre y las vacaciones pagadas</w:t>
            </w:r>
          </w:p>
        </w:tc>
        <w:tc>
          <w:tcPr>
            <w:tcW w:type="dxa" w:w="3061"/>
          </w:tcPr>
          <w:p>
            <w:pPr>
              <w:spacing w:after="20" w:line="264" w:lineRule="auto"/>
            </w:pPr>
            <w:r/>
            <w:r>
              <w:rPr>
                <w:rFonts w:ascii="Segoe UI" w:hAnsi="Segoe UI" w:eastAsia="Segoe UI" w:cs="Segoe UI"/>
                <w:color w:val="1F1D1A"/>
                <w:sz w:val="18"/>
              </w:rPr>
              <w:t>art. 40.2 (PR)</w:t>
            </w:r>
          </w:p>
        </w:tc>
      </w:tr>
      <w:tr>
        <w:tc>
          <w:tcPr>
            <w:tcW w:type="dxa" w:w="3061"/>
          </w:tcPr>
          <w:p>
            <w:pPr>
              <w:spacing w:after="20" w:line="264" w:lineRule="auto"/>
            </w:pPr>
            <w:r/>
            <w:r>
              <w:rPr>
                <w:rFonts w:ascii="Segoe UI" w:hAnsi="Segoe UI" w:eastAsia="Segoe UI" w:cs="Segoe UI"/>
                <w:color w:val="1F1D1A"/>
                <w:sz w:val="18"/>
              </w:rPr>
              <w:t>25</w:t>
            </w:r>
          </w:p>
        </w:tc>
        <w:tc>
          <w:tcPr>
            <w:tcW w:type="dxa" w:w="3061"/>
          </w:tcPr>
          <w:p>
            <w:pPr>
              <w:spacing w:after="20" w:line="264" w:lineRule="auto"/>
            </w:pPr>
            <w:r/>
            <w:r>
              <w:rPr>
                <w:rFonts w:ascii="Segoe UI" w:hAnsi="Segoe UI" w:eastAsia="Segoe UI" w:cs="Segoe UI"/>
                <w:color w:val="1F1D1A"/>
                <w:sz w:val="18"/>
              </w:rPr>
              <w:t>Un nivel de vida adecuado: alimentación, vestido, vivienda y asistencia médica</w:t>
            </w:r>
          </w:p>
        </w:tc>
        <w:tc>
          <w:tcPr>
            <w:tcW w:type="dxa" w:w="3061"/>
          </w:tcPr>
          <w:p>
            <w:pPr>
              <w:spacing w:after="20" w:line="264" w:lineRule="auto"/>
            </w:pPr>
            <w:r/>
            <w:r>
              <w:rPr>
                <w:rFonts w:ascii="Segoe UI" w:hAnsi="Segoe UI" w:eastAsia="Segoe UI" w:cs="Segoe UI"/>
                <w:color w:val="1F1D1A"/>
                <w:sz w:val="18"/>
              </w:rPr>
              <w:t>arts. 39, 43, 47 y 50 (PR)</w:t>
            </w:r>
          </w:p>
        </w:tc>
      </w:tr>
      <w:tr>
        <w:tc>
          <w:tcPr>
            <w:tcW w:type="dxa" w:w="3061"/>
          </w:tcPr>
          <w:p>
            <w:pPr>
              <w:spacing w:after="20" w:line="264" w:lineRule="auto"/>
            </w:pPr>
            <w:r/>
            <w:r>
              <w:rPr>
                <w:rFonts w:ascii="Segoe UI" w:hAnsi="Segoe UI" w:eastAsia="Segoe UI" w:cs="Segoe UI"/>
                <w:color w:val="1F1D1A"/>
                <w:sz w:val="18"/>
              </w:rPr>
              <w:t>26</w:t>
            </w:r>
          </w:p>
        </w:tc>
        <w:tc>
          <w:tcPr>
            <w:tcW w:type="dxa" w:w="3061"/>
          </w:tcPr>
          <w:p>
            <w:pPr>
              <w:spacing w:after="20" w:line="264" w:lineRule="auto"/>
            </w:pPr>
            <w:r/>
            <w:r>
              <w:rPr>
                <w:rFonts w:ascii="Segoe UI" w:hAnsi="Segoe UI" w:eastAsia="Segoe UI" w:cs="Segoe UI"/>
                <w:color w:val="1F1D1A"/>
                <w:sz w:val="18"/>
              </w:rPr>
              <w:t>La educación, gratuita y obligatoria en lo elemental</w:t>
            </w:r>
          </w:p>
        </w:tc>
        <w:tc>
          <w:tcPr>
            <w:tcW w:type="dxa" w:w="3061"/>
          </w:tcPr>
          <w:p>
            <w:pPr>
              <w:spacing w:after="20" w:line="264" w:lineRule="auto"/>
            </w:pPr>
            <w:r/>
            <w:r>
              <w:rPr>
                <w:rFonts w:ascii="Segoe UI" w:hAnsi="Segoe UI" w:eastAsia="Segoe UI" w:cs="Segoe UI"/>
                <w:color w:val="1F1D1A"/>
                <w:sz w:val="18"/>
              </w:rPr>
              <w:t>art. 27</w:t>
            </w:r>
          </w:p>
        </w:tc>
      </w:tr>
      <w:tr>
        <w:tc>
          <w:tcPr>
            <w:tcW w:type="dxa" w:w="3061"/>
          </w:tcPr>
          <w:p>
            <w:pPr>
              <w:spacing w:after="20" w:line="264" w:lineRule="auto"/>
            </w:pPr>
            <w:r/>
            <w:r>
              <w:rPr>
                <w:rFonts w:ascii="Segoe UI" w:hAnsi="Segoe UI" w:eastAsia="Segoe UI" w:cs="Segoe UI"/>
                <w:color w:val="1F1D1A"/>
                <w:sz w:val="18"/>
              </w:rPr>
              <w:t>27</w:t>
            </w:r>
          </w:p>
        </w:tc>
        <w:tc>
          <w:tcPr>
            <w:tcW w:type="dxa" w:w="3061"/>
          </w:tcPr>
          <w:p>
            <w:pPr>
              <w:spacing w:after="20" w:line="264" w:lineRule="auto"/>
            </w:pPr>
            <w:r/>
            <w:r>
              <w:rPr>
                <w:rFonts w:ascii="Segoe UI" w:hAnsi="Segoe UI" w:eastAsia="Segoe UI" w:cs="Segoe UI"/>
                <w:color w:val="1F1D1A"/>
                <w:sz w:val="18"/>
              </w:rPr>
              <w:t>La vida cultural, las artes, la ciencia y los derechos de autor</w:t>
            </w:r>
          </w:p>
        </w:tc>
        <w:tc>
          <w:tcPr>
            <w:tcW w:type="dxa" w:w="3061"/>
          </w:tcPr>
          <w:p>
            <w:pPr>
              <w:spacing w:after="20" w:line="264" w:lineRule="auto"/>
            </w:pPr>
            <w:r/>
            <w:r>
              <w:rPr>
                <w:rFonts w:ascii="Segoe UI" w:hAnsi="Segoe UI" w:eastAsia="Segoe UI" w:cs="Segoe UI"/>
                <w:color w:val="1F1D1A"/>
                <w:sz w:val="18"/>
              </w:rPr>
              <w:t>art. 20.1 b); art. 44 (PR)</w:t>
            </w:r>
          </w:p>
        </w:tc>
      </w:tr>
      <w:tr>
        <w:tc>
          <w:tcPr>
            <w:tcW w:type="dxa" w:w="3061"/>
          </w:tcPr>
          <w:p>
            <w:pPr>
              <w:spacing w:after="20" w:line="264" w:lineRule="auto"/>
            </w:pPr>
            <w:r/>
            <w:r>
              <w:rPr>
                <w:rFonts w:ascii="Segoe UI" w:hAnsi="Segoe UI" w:eastAsia="Segoe UI" w:cs="Segoe UI"/>
                <w:color w:val="1F1D1A"/>
                <w:sz w:val="18"/>
              </w:rPr>
              <w:t>28</w:t>
            </w:r>
          </w:p>
        </w:tc>
        <w:tc>
          <w:tcPr>
            <w:tcW w:type="dxa" w:w="3061"/>
          </w:tcPr>
          <w:p>
            <w:pPr>
              <w:spacing w:after="20" w:line="264" w:lineRule="auto"/>
            </w:pPr>
            <w:r/>
            <w:r>
              <w:rPr>
                <w:rFonts w:ascii="Segoe UI" w:hAnsi="Segoe UI" w:eastAsia="Segoe UI" w:cs="Segoe UI"/>
                <w:color w:val="1F1D1A"/>
                <w:sz w:val="18"/>
              </w:rPr>
              <w:t>Un orden social e internacional que haga efectivos estos derechos</w:t>
            </w:r>
          </w:p>
        </w:tc>
        <w:tc>
          <w:tcPr>
            <w:tcW w:type="dxa" w:w="3061"/>
          </w:tcPr>
          <w:p>
            <w:pPr>
              <w:spacing w:after="20" w:line="264" w:lineRule="auto"/>
            </w:pPr>
            <w:r/>
            <w:r>
              <w:rPr>
                <w:rFonts w:ascii="Segoe UI" w:hAnsi="Segoe UI" w:eastAsia="Segoe UI" w:cs="Segoe UI"/>
                <w:color w:val="1F1D1A"/>
                <w:sz w:val="18"/>
              </w:rPr>
              <w:t>arts. 10.2 y 96.1</w:t>
            </w:r>
          </w:p>
        </w:tc>
      </w:tr>
      <w:tr>
        <w:tc>
          <w:tcPr>
            <w:tcW w:type="dxa" w:w="3061"/>
          </w:tcPr>
          <w:p>
            <w:pPr>
              <w:spacing w:after="20" w:line="264" w:lineRule="auto"/>
            </w:pPr>
            <w:r/>
            <w:r>
              <w:rPr>
                <w:rFonts w:ascii="Segoe UI" w:hAnsi="Segoe UI" w:eastAsia="Segoe UI" w:cs="Segoe UI"/>
                <w:color w:val="1F1D1A"/>
                <w:sz w:val="18"/>
              </w:rPr>
              <w:t>29</w:t>
            </w:r>
          </w:p>
        </w:tc>
        <w:tc>
          <w:tcPr>
            <w:tcW w:type="dxa" w:w="3061"/>
          </w:tcPr>
          <w:p>
            <w:pPr>
              <w:spacing w:after="20" w:line="264" w:lineRule="auto"/>
            </w:pPr>
            <w:r/>
            <w:r>
              <w:rPr>
                <w:rFonts w:ascii="Segoe UI" w:hAnsi="Segoe UI" w:eastAsia="Segoe UI" w:cs="Segoe UI"/>
                <w:color w:val="1F1D1A"/>
                <w:sz w:val="18"/>
              </w:rPr>
              <w:t>Deberes con la comunidad, y límites solo por ley, para respetar los derechos de los demás</w:t>
            </w:r>
          </w:p>
        </w:tc>
        <w:tc>
          <w:tcPr>
            <w:tcW w:type="dxa" w:w="3061"/>
          </w:tcPr>
          <w:p>
            <w:pPr>
              <w:spacing w:after="20" w:line="264" w:lineRule="auto"/>
            </w:pPr>
            <w:r/>
            <w:r>
              <w:rPr>
                <w:rFonts w:ascii="Segoe UI" w:hAnsi="Segoe UI" w:eastAsia="Segoe UI" w:cs="Segoe UI"/>
                <w:color w:val="1F1D1A"/>
                <w:sz w:val="18"/>
              </w:rPr>
              <w:t>arts. 10.1 y 20.4</w:t>
            </w:r>
          </w:p>
        </w:tc>
      </w:tr>
      <w:tr>
        <w:tc>
          <w:tcPr>
            <w:tcW w:type="dxa" w:w="3061"/>
          </w:tcPr>
          <w:p>
            <w:pPr>
              <w:spacing w:after="20" w:line="264" w:lineRule="auto"/>
            </w:pPr>
            <w:r/>
            <w:r>
              <w:rPr>
                <w:rFonts w:ascii="Segoe UI" w:hAnsi="Segoe UI" w:eastAsia="Segoe UI" w:cs="Segoe UI"/>
                <w:color w:val="1F1D1A"/>
                <w:sz w:val="18"/>
              </w:rPr>
              <w:t>30</w:t>
            </w:r>
          </w:p>
        </w:tc>
        <w:tc>
          <w:tcPr>
            <w:tcW w:type="dxa" w:w="3061"/>
          </w:tcPr>
          <w:p>
            <w:pPr>
              <w:spacing w:after="20" w:line="264" w:lineRule="auto"/>
            </w:pPr>
            <w:r/>
            <w:r>
              <w:rPr>
                <w:rFonts w:ascii="Segoe UI" w:hAnsi="Segoe UI" w:eastAsia="Segoe UI" w:cs="Segoe UI"/>
                <w:color w:val="1F1D1A"/>
                <w:sz w:val="18"/>
              </w:rPr>
              <w:t>Nada en la Declaración da derecho a nadie, tampoco al Estado, a suprimir estos derechos</w:t>
            </w:r>
          </w:p>
        </w:tc>
        <w:tc>
          <w:tcPr>
            <w:tcW w:type="dxa" w:w="3061"/>
          </w:tcPr>
          <w:p>
            <w:pPr>
              <w:spacing w:after="20" w:line="264" w:lineRule="auto"/>
            </w:pPr>
            <w:r/>
            <w:r>
              <w:rPr>
                <w:rFonts w:ascii="Segoe UI" w:hAnsi="Segoe UI" w:eastAsia="Segoe UI" w:cs="Segoe UI"/>
                <w:color w:val="1F1D1A"/>
                <w:sz w:val="18"/>
              </w:rPr>
              <w:t>art. 9.1; Código Civil, art. 7.2</w:t>
            </w:r>
          </w:p>
        </w:tc>
      </w:tr>
    </w:tbl>
    <w:p>
      <w:pPr>
        <w:spacing w:after="80"/>
      </w:pPr>
    </w:p>
    <w:p>
      <w:r>
        <w:t>[03.00-3.1 a 32.3; Declaración leída en un.org; Constitución, Código Civil y Código Penal leídos en el BOE]</w:t>
      </w:r>
    </w:p>
    <w:p>
      <w:r>
        <w:rPr>
          <w:b/>
        </w:rPr>
        <w:t>Cómo llegó España al artículo 4.</w:t>
      </w:r>
      <w:r>
        <w:t xml:space="preserve"> La servidumbre feudal se abolió en dos pasos. En 1486, el rey abolió los «malos usos» de los payeses de remensa catalanes y los declaró «perpetualmente ser liberos y quitios dellos», pero a cambio de que ellos mismos pagaran sesenta sueldos por cada mas, o un censo equivalente</w:t>
      </w:r>
      <w:r>
        <w:t xml:space="preserve"> (Sentencia Arbitral de Guadalupe, 21 de abril de 1486, edición de G. Pérez Sarrión)</w:t>
      </w:r>
      <w:r>
        <w:t>. Y en 1811, las Cortes de Cádiz declararon: «Quedan abolidos los dictados de vasallos y vasallage»</w:t>
      </w:r>
      <w:r>
        <w:t xml:space="preserve"> (Decreto de 6 de agosto de 1811, art. 4, Gazeta de la Regencia de 12-9-1811)</w:t>
      </w:r>
      <w:r>
        <w:t>. La esclavitud en las colonias duró hasta 1873 en Puerto Rico y hasta 1886 en Cuba (</w:t>
      </w:r>
      <w:r>
        <w:t>3.1</w:t>
      </w:r>
      <w:r>
        <w:t xml:space="preserve">). </w:t>
      </w:r>
      <w:r>
        <w:t>[03.00-6.2; leídos el 5-oct]</w:t>
      </w:r>
    </w:p>
    <w:p>
      <w:r>
        <w:rPr>
          <w:b/>
        </w:rPr>
        <w:t>Con los derechos, los deberes.</w:t>
      </w:r>
      <w:r>
        <w:t xml:space="preserve"> La Declaración no habla solo de derechos: «Toda persona tiene deberes respecto a la comunidad, puesto que sólo en ella puede desarrollar libre y plenamente su personalidad»</w:t>
      </w:r>
      <w:r>
        <w:t xml:space="preserve"> (Declaración Universal, art. 29.1)</w:t>
      </w:r>
      <w:r>
        <w:t>.</w:t>
      </w:r>
    </w:p>
    <w:p>
      <w:r>
        <w:t>En el sur de África lo dicen así: «Umuntu ngumuntu ngabantu» (una persona es persona a través de otras personas). Lo recoge el informe de la Comisión de la Verdad y la Reconciliación de Sudáfrica, que presidió Desmond Tutu y que se entregó al presidente Nelson Mandela en 1998: ubuntu, «traducido por lo general como “humanidad”», se expresa en esa frase</w:t>
      </w:r>
      <w:r>
        <w:t xml:space="preserve"> [original: «Ubuntu, generally translated as ‘humaneness’, expresses itself metaphorically in umuntu ngumuntu ngabantu – ‘people are people through other people’»]</w:t>
      </w:r>
      <w:r>
        <w:t xml:space="preserve"> (Comisión de la Verdad y la Reconciliación, Informe, vol. 1, 1998, cap. 5, § 85)</w:t>
      </w:r>
      <w:r>
        <w:t xml:space="preserve">. Con su matiz: no prueba la ley natural, sino que la dignidad se vive en relación con los demás; y hay críticos, como Mboti (2015), que rechazan presentarlo como una esencia de los pueblos africanos (fuente secundaria). </w:t>
      </w:r>
      <w:r>
        <w:t>[01.00-12.1 y 12.2; Declaración leída en un.org]</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t>[glosario 2.1 y 2.3; 00.00-1.2 y 1.3]</w:t>
      </w:r>
    </w:p>
    <w:p>
      <w:r>
        <w:rPr>
          <w:b/>
        </w:rPr>
        <w:t>Lo dicen tradiciones sin contacto documentado entre sí:</w:t>
      </w:r>
    </w:p>
    <w:p>
      <w:pPr>
        <w:pStyle w:val="ListBullet"/>
      </w:pPr>
      <w:r>
        <w:rPr>
          <w:b/>
        </w:rPr>
        <w:t>La Biblia:</w:t>
      </w:r>
      <w:r>
        <w:t xml:space="preserve"> «crió Dios al hombre á su imagen»</w:t>
      </w:r>
      <w:r>
        <w:t xml:space="preserve"> (Gn 1:27)</w:t>
      </w:r>
      <w:r>
        <w:t>.</w:t>
      </w:r>
    </w:p>
    <w:p>
      <w:pPr>
        <w:pStyle w:val="ListBullet"/>
      </w:pPr>
      <w:r>
        <w:t>Y además: «porque á imagen de Dios es hecho el hombre» (Gn 9:6); «los hombres, los cuales son hechos á la semejanza de Dios» (Stg 3:9); «siendo pues linaje de Dios» (Hch 17:29).</w:t>
      </w:r>
    </w:p>
    <w:p>
      <w:pPr>
        <w:pStyle w:val="ListBullet"/>
      </w:pPr>
      <w:r>
        <w:rPr>
          <w:b/>
        </w:rPr>
        <w:t>San Agustín:</w:t>
      </w:r>
      <w:r>
        <w:t xml:space="preserve"> Dios no quiso que el ser racional, hecho a su imagen, dominara sino sobre los seres irracionales: «no al hombre sobre el hombre, sino al hombre sobre el ganado»</w:t>
      </w:r>
      <w:r>
        <w:t xml:space="preserve"> [original: «Rationalem factum ad imaginem suam noluit nisi inrationabilibus dominari; non hominem homini, sed hominem pecori»]</w:t>
      </w:r>
      <w:r>
        <w:t xml:space="preserve"> (La ciudad de Dios XIX, 15)</w:t>
      </w:r>
      <w:r>
        <w:t>.</w:t>
      </w:r>
    </w:p>
    <w:p>
      <w:pPr>
        <w:pStyle w:val="ListBullet"/>
      </w:pPr>
      <w:r>
        <w:rPr>
          <w:b/>
        </w:rPr>
        <w:t>El budismo:</w:t>
      </w:r>
      <w:r>
        <w:t xml:space="preserve"> «uno mismo es el señor de uno mismo: ¿quién otro podría ser su señor?»</w:t>
      </w:r>
      <w:r>
        <w:t xml:space="preserve"> [original: «Attā hi attano nātho, ko hi nātho paro siyā»]</w:t>
      </w:r>
      <w:r>
        <w:t xml:space="preserve"> (Dhammapada 160)</w:t>
      </w:r>
      <w:r>
        <w:t>.</w:t>
      </w:r>
    </w:p>
    <w:p>
      <w:pPr>
        <w:pStyle w:val="ListBullet"/>
      </w:pPr>
      <w:r>
        <w:rPr>
          <w:b/>
        </w:rPr>
        <w:t>Confucio:</w:t>
      </w:r>
      <w:r>
        <w:t xml:space="preserve"> «a un gran ejército se le puede arrebatar su general; al hombre más sencillo no se le puede arrebatar su voluntad»</w:t>
      </w:r>
      <w:r>
        <w:t xml:space="preserve"> [original: «三軍可奪帥也，匹夫不可奪志也»]</w:t>
      </w:r>
      <w:r>
        <w:t xml:space="preserve"> (Analectas 9.26)</w:t>
      </w:r>
      <w:r>
        <w:t>.</w:t>
      </w:r>
    </w:p>
    <w:p>
      <w:pPr>
        <w:pStyle w:val="ListBullet"/>
      </w:pPr>
      <w:r>
        <w:rPr>
          <w:b/>
        </w:rPr>
        <w:t>Mill:</w:t>
      </w:r>
      <w:r>
        <w:t xml:space="preserve"> «sobre sí mismo, sobre su propio cuerpo y su propia mente, el individuo es soberano»</w:t>
      </w:r>
      <w:r>
        <w:t xml:space="preserve"> [original: «Over himself, over his own body and mind, the individual is sovereign»]</w:t>
      </w:r>
      <w:r>
        <w:t xml:space="preserve"> (John Stuart Mill, Sobre la libertad, 1859, cap. I)</w:t>
      </w:r>
      <w:r>
        <w:t>.</w:t>
      </w:r>
    </w:p>
    <w:p>
      <w:pPr>
        <w:pStyle w:val="ListBullet"/>
      </w:pPr>
      <w:r>
        <w:rPr>
          <w:b/>
        </w:rPr>
        <w:t>La Constitución:</w:t>
      </w:r>
      <w:r>
        <w:t xml:space="preserve"> «La soberanía nacional reside en el pueblo español, del que emanan los poderes del Estado»</w:t>
      </w:r>
      <w:r>
        <w:t xml:space="preserve"> (Constitución, art. 1.2)</w:t>
      </w:r>
      <w:r>
        <w:t>.</w:t>
      </w:r>
    </w:p>
    <w:p>
      <w:pPr>
        <w:pStyle w:val="ListBullet"/>
      </w:pPr>
      <w:r>
        <w:rPr>
          <w:b/>
        </w:rPr>
        <w:t>El judaísmo:</w:t>
      </w:r>
      <w:r>
        <w:t xml:space="preserve"> «חָבִיב אָדָם שֶׁנִּבְרָא בְצֶלֶם» (amado es el ser humano, porque fue creado a imagen; Pirkei Avot 3:14).</w:t>
      </w:r>
    </w:p>
    <w:p>
      <w:pPr>
        <w:pStyle w:val="ListBullet"/>
      </w:pPr>
      <w:r>
        <w:rPr>
          <w:b/>
        </w:rPr>
        <w:t>El islam:</w:t>
      </w:r>
      <w:r>
        <w:t xml:space="preserve"> «Hemos honrado a los hijos de Adán» (Corán 17:70); «cuando lo haya formado armoniosamente e infundido en él de Mi Espíritu» (15:29).</w:t>
      </w:r>
    </w:p>
    <w:p>
      <w:pPr>
        <w:pStyle w:val="ListBullet"/>
      </w:pPr>
      <w:r>
        <w:rPr>
          <w:b/>
        </w:rPr>
        <w:t>La India:</w:t>
      </w:r>
      <w:r>
        <w:t xml:space="preserve"> «mamaivāṁśo jīva-loke jīva-bhūtaḥ sanātanaḥ» (una porción eterna de Mí mismo se hace ser vivo en el mundo de los vivos; Bhagavad Gita 15.7).</w:t>
      </w:r>
    </w:p>
    <w:p>
      <w:pPr>
        <w:pStyle w:val="ListBullet"/>
      </w:pPr>
      <w:r>
        <w:rPr>
          <w:b/>
        </w:rPr>
        <w:t>Mencio:</w:t>
      </w:r>
      <w:r>
        <w:t xml:space="preserve"> «有天爵者，有人爵者» (hay una nobleza del Cielo y una nobleza de los hombres). La del Cielo es la benevolencia, la rectitud, la lealtad y la fidelidad; la de los hombres, los cargos. «人人有貴於己者，弗思耳矣» (cada persona tiene en sí misma lo que es digno de honra; solo que no piensa en ello). «趙孟之所貴，趙孟能賤之» (a quien Zhao Meng, un ministro poderoso, ennoblece, Zhao Meng puede rebajarlo; Mencio 6A16-17).</w:t>
      </w:r>
    </w:p>
    <w:p>
      <w:pPr>
        <w:pStyle w:val="ListBullet"/>
      </w:pPr>
      <w:r>
        <w:rPr>
          <w:b/>
        </w:rPr>
        <w:t>Laozi:</w:t>
      </w:r>
      <w:r>
        <w:t xml:space="preserve"> «勝人者有力，自勝者強» (quien vence a los demás tiene fuerza; quien se vence a sí mismo es fuerte; Daodejing 33).</w:t>
      </w:r>
    </w:p>
    <w:p>
      <w:r>
        <w:t>[glosario 2.3, leído en su fuente el 5-oct; Confucio, Mencio y Laozi leídos en chino; Mill, en Gutenberg; Constitución, en el BOE]</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xml:space="preserve"> [original: «Condicio quippe seruitutis iure intellegitur inposita peccatori» (con razón se entiende que la condición de siervo se impuso al pecador)]</w:t>
      </w:r>
      <w:r>
        <w:t>. Lo que niega es que venga de la naturaleza: «ese nombre lo mereció la culpa, no la naturaleza»</w:t>
      </w:r>
      <w:r>
        <w:t xml:space="preserve"> [original: «Nomen itaque istud culpa meruit, non natura»]</w:t>
      </w:r>
      <w:r>
        <w:t xml:space="preserve"> (La ciudad de Dios XIX, 15)</w:t>
      </w:r>
      <w:r>
        <w:t>.</w:t>
      </w:r>
    </w:p>
    <w:p>
      <w:pPr>
        <w:pStyle w:val="ListBullet"/>
      </w:pPr>
      <w:r>
        <w:t>La imagen no hace a nadie Dios: «como hombres moriréis»</w:t>
      </w:r>
      <w:r>
        <w:t xml:space="preserve"> (Sal 82:7; </w:t>
      </w:r>
      <w:r>
        <w:t>1.3</w:t>
      </w:r>
      <w:r>
        <w:t>)</w:t>
      </w:r>
      <w:r>
        <w:t>.</w:t>
      </w:r>
    </w:p>
    <w:p>
      <w:pPr>
        <w:pStyle w:val="ListBullet"/>
      </w:pPr>
      <w:r>
        <w:t>Las palabras no son las mismas: imagen, espíritu, señorío, voluntad o nobleza no significan exactamente «soberanía». Coincide la idea, no el término.</w:t>
      </w:r>
    </w:p>
    <w:p>
      <w:r>
        <w:t>[glosario 2.3]</w:t>
      </w:r>
    </w:p>
    <w:p>
      <w:r>
        <w:rPr>
          <w:b/>
        </w:rPr>
        <w:t>El límite.</w:t>
      </w:r>
      <w:r>
        <w:t xml:space="preserve"> Mill lo pone en el mismo libro: «el único fin por el que se puede ejercer con derecho el poder sobre cualquier miembro de una comunidad civilizada, contra su voluntad, es impedir que dañe a otros»</w:t>
      </w:r>
      <w:r>
        <w:t xml:space="preserve"> [original: «the only purpose for which power can be rightfully exercised over any member of a civilised community, against his will, is to prevent harm to others»]</w:t>
      </w:r>
      <w:r>
        <w:t xml:space="preserve"> (Sobre la libertad, cap. I)</w:t>
      </w:r>
      <w:r>
        <w:t>. Y cada uno responde de lo suyo: «El alma que pecare, esa morirá: el hijo no llevará por el pecado del padre, ni el padre llevará por el pecado del hijo»</w:t>
      </w:r>
      <w:r>
        <w:t xml:space="preserve"> (Ez 18:20)</w:t>
      </w:r>
      <w:r>
        <w:t>.</w:t>
      </w:r>
    </w:p>
    <w:p>
      <w:r>
        <w:t>[20.00-1.1 y 1.3; Mill leído en Gutenberg; Reina-Valera Antigua]</w:t>
      </w:r>
    </w:p>
    <w:p>
      <w:r>
        <w:rPr>
          <w:b/>
        </w:rPr>
        <w:t>Lectura del autor:</w:t>
      </w:r>
      <w:r>
        <w:t xml:space="preserve"> Dios nos creó a imagen y semejanza. De ahí viene la soberanía de cada uno sobre sí mismo, que ningún ente sin cuerpo puede dar ni quitar.</w:t>
      </w:r>
    </w:p>
    <w:p>
      <w:r>
        <w:t>[glosario 2.3]</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t xml:space="preserve"> [original: «זָכָ֥ר וּנְקֵבָ֖ה בָּרָ֥א אֹתָֽם׃»]</w:t>
      </w:r>
      <w:r>
        <w:t xml:space="preserve"> (Gn 1:27)</w:t>
      </w:r>
      <w:r>
        <w:t>. Y: «Varón y hembra los crió; y los bendijo, y llamó el nombre de ellos Adam»</w:t>
      </w:r>
      <w:r>
        <w:t xml:space="preserve"> (Gn 5:2)</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t xml:space="preserve"> [original: «He was so large as man and wife together. He then made this his Self to fall in two (pat), and thence arose husband (pati) and wife (patnî)», en la traducción de Max Müller]</w:t>
      </w:r>
      <w:r>
        <w:t xml:space="preserve"> (Brihadaranyaka Upanishad I, 4, 3)</w:t>
      </w:r>
      <w:r>
        <w:t>.</w:t>
      </w:r>
    </w:p>
    <w:p>
      <w:pPr>
        <w:pStyle w:val="ListBullet"/>
      </w:pPr>
      <w:r>
        <w:rPr>
          <w:b/>
        </w:rPr>
        <w:t>El islam:</w:t>
      </w:r>
      <w:r>
        <w:t xml:space="preserve"> «¡Hombres! ¡Temed a vuestro Señor, Que os ha creado de una sola persona, de la que ha creado a su cónyuge!»</w:t>
      </w:r>
      <w:r>
        <w:t xml:space="preserve"> [original: «ٱلَّذِى خَلَقَكُم مِّن نَّفْسٍۢ وَٰحِدَةٍۢ وَخَلَقَ مِنْهَا زَوْجَهَا»]</w:t>
      </w:r>
      <w:r>
        <w:t xml:space="preserve"> (Corán 4:1, traducción de Julio Cortés)</w:t>
      </w:r>
      <w:r>
        <w:t>.</w:t>
      </w:r>
    </w:p>
    <w:p>
      <w:r>
        <w:rPr>
          <w:b/>
        </w:rPr>
        <w:t>Lo que dicen después, en el mismo libro o en el mismo relato:</w:t>
      </w:r>
    </w:p>
    <w:p>
      <w:pPr>
        <w:pStyle w:val="ListBullet"/>
      </w:pPr>
      <w:r>
        <w:rPr>
          <w:b/>
        </w:rPr>
        <w:t>La Biblia:</w:t>
      </w:r>
      <w:r>
        <w:t xml:space="preserve"> «Y de la costilla que Jehová Dios tomó del hombre, hizo una mujer»</w:t>
      </w:r>
      <w:r>
        <w:t xml:space="preserve"> (Gn 2:22)</w:t>
      </w:r>
      <w:r>
        <w:t>; «ésta será llamada Varona, porque del varón fué tomada»</w:t>
      </w:r>
      <w:r>
        <w:t xml:space="preserve"> (Gn 2:23)</w:t>
      </w:r>
      <w:r>
        <w:t>. Y, tras la caída, a la mujer: «á tu marido será tu deseo, y él se enseñoreará de ti»</w:t>
      </w:r>
      <w:r>
        <w:t xml:space="preserve"> (Gn 3:16)</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t xml:space="preserve"> [original: «ٱلرِّجَالُ قَوَّٰمُونَ عَلَى ٱلنِّسَآءِ بِمَا فَضَّلَ ٱللَّهُ بَعْضَهُمْ عَلَىٰ بَعْضٍۢ»]</w:t>
      </w:r>
      <w:r>
        <w:t xml:space="preserve"> (Corán 4:34, traducción de Julio Cortés)</w:t>
      </w:r>
      <w:r>
        <w:t>. El verso sigue: «¡Amonestad a aquéllas de quienes temáis que se rebelen, dejadlas solas en el lecho, pegadles!».</w:t>
      </w:r>
    </w:p>
    <w:p>
      <w:r>
        <w:rPr>
          <w:b/>
        </w:rPr>
        <w:t>Y además:</w:t>
      </w:r>
    </w:p>
    <w:p>
      <w:pPr>
        <w:pStyle w:val="ListBullet"/>
      </w:pPr>
      <w:r>
        <w:rPr>
          <w:b/>
        </w:rPr>
        <w:t>El judaísmo rabínico:</w:t>
      </w:r>
      <w:r>
        <w:t xml:space="preserve"> «Cuando el Santo, bendito sea, creó a Adán, el primer hombre, lo creó andrógino»</w:t>
      </w:r>
      <w:r>
        <w:t xml:space="preserve"> [original: «When the Holy One blessed be He created Adam the first man, He created him androgynous», en la traducción de Sefaria]</w:t>
      </w:r>
      <w:r>
        <w:t xml:space="preserve"> (Génesis Rabbah 8:1)</w:t>
      </w:r>
      <w:r>
        <w:t>. Después lo serró en dos y le hizo dos espaldas.</w:t>
      </w:r>
    </w:p>
    <w:p>
      <w:pPr>
        <w:pStyle w:val="ListBullet"/>
      </w:pPr>
      <w:r>
        <w:rPr>
          <w:b/>
        </w:rPr>
        <w:t>La India (Manu):</w:t>
      </w:r>
      <w:r>
        <w:t xml:space="preserve"> «Dividiendo su propio cuerpo, el Señor se hizo mitad varón y mitad mujer»</w:t>
      </w:r>
      <w:r>
        <w:t xml:space="preserve"> [original: «dvidhā kṛtvātmano deham ardhena puruṣo 'bhavat ardhena nārī»]</w:t>
      </w:r>
      <w:r>
        <w:t xml:space="preserve"> (Leyes de Manu 1.32)</w:t>
      </w:r>
      <w:r>
        <w:t>.</w:t>
      </w:r>
    </w:p>
    <w:p>
      <w:pPr>
        <w:pStyle w:val="ListBullet"/>
      </w:pPr>
      <w:r>
        <w:rPr>
          <w:b/>
        </w:rPr>
        <w:t>Grecia:</w:t>
      </w:r>
      <w:r>
        <w:t xml:space="preserve"> en el Banquete de Platón, Aristófanes (un discurso cómico) cuenta que «los sexos no eran dos como ahora, sino originalmente tres: había el hombre, la mujer y la unión de ambos»</w:t>
      </w:r>
      <w:r>
        <w:t xml:space="preserve"> [original: «The sexes were not two as they are now, but originally three in number; there was man, woman, and the union of the two», en la traducción de Jowett]</w:t>
      </w:r>
      <w:r>
        <w:t xml:space="preserve"> (Platón, Banquete 189d-191d)</w:t>
      </w:r>
      <w:r>
        <w:t>.</w:t>
      </w:r>
    </w:p>
    <w:p>
      <w:pPr>
        <w:pStyle w:val="ListBullet"/>
      </w:pPr>
      <w:r>
        <w:rPr>
          <w:b/>
        </w:rPr>
        <w:t>Pablo:</w:t>
      </w:r>
      <w:r>
        <w:t xml:space="preserve"> «el varón es la cabeza de la mujer»</w:t>
      </w:r>
      <w:r>
        <w:t xml:space="preserve"> (1 Co 11:3)</w:t>
      </w:r>
      <w:r>
        <w:t>; «el varón no es de la mujer, sino la mujer del varón»</w:t>
      </w:r>
      <w:r>
        <w:t xml:space="preserve"> (1 Co 11:8)</w:t>
      </w:r>
      <w:r>
        <w:t>. Y en el mismo pasaje: «ni el varón sin la mujer, ni la mujer sin el varón, en el Señor»</w:t>
      </w:r>
      <w:r>
        <w:t xml:space="preserve"> (1 Co 11:11)</w:t>
      </w:r>
      <w:r>
        <w:t>.</w:t>
      </w:r>
    </w:p>
    <w:p>
      <w:pPr>
        <w:pStyle w:val="ListBullet"/>
      </w:pPr>
      <w:r>
        <w:rPr>
          <w:b/>
        </w:rPr>
        <w:t>Manu:</w:t>
      </w:r>
      <w:r>
        <w:t xml:space="preserve"> la misma obra que parte a Dios en dos mitades manda: «En la niñez estará bajo el poder del padre, en la juventud del marido; muerto el marido, de los hijos: la mujer no ha de tener independencia»</w:t>
      </w:r>
      <w:r>
        <w:t xml:space="preserve"> [original: «bālye pitur vaśe tiṣṭhet pāṇigrāhasya yauvane putrāṇāṃ bhartari prete na bhajet strī svatantratām»]</w:t>
      </w:r>
      <w:r>
        <w:t xml:space="preserve"> (Leyes de Manu 5.148)</w:t>
      </w:r>
      <w:r>
        <w:t>.</w:t>
      </w:r>
    </w:p>
    <w:p>
      <w:pPr>
        <w:pStyle w:val="ListBullet"/>
      </w:pPr>
      <w:r>
        <w:rPr>
          <w:b/>
        </w:rPr>
        <w:t>Grecia:</w:t>
      </w:r>
      <w:r>
        <w:t xml:space="preserve"> Hesíodo cuenta que Hefesto modeló la primera mujer como castigo: «Enseguida hizo un mal para los hombres como precio del fuego»</w:t>
      </w:r>
      <w:r>
        <w:t xml:space="preserve"> [original: «Forthwith he made an evil thing for men as the price of fire», en la traducción de Evelyn-White]</w:t>
      </w:r>
      <w:r>
        <w:t xml:space="preserve"> (Hesíodo, Teogonía 570-612)</w:t>
      </w:r>
      <w:r>
        <w:t>, y que de ella viene «la raza de las mujeres»</w:t>
      </w:r>
      <w:r>
        <w:t xml:space="preserve"> [original: «For from her is the race of women and female kind»]</w:t>
      </w:r>
      <w:r>
        <w:t>.</w:t>
      </w:r>
    </w:p>
    <w:p>
      <w:pPr>
        <w:pStyle w:val="ListBullet"/>
      </w:pPr>
      <w:r>
        <w:rPr>
          <w:b/>
        </w:rPr>
        <w:t>Persia:</w:t>
      </w:r>
      <w:r>
        <w:t xml:space="preserve"> la primera pareja crece de la tierra como una sola planta, unida por los hombros y la cintura, «de modo que no estaba claro cuál era el varón y cuál la hembra»</w:t>
      </w:r>
      <w:r>
        <w:t xml:space="preserve"> [original: «it was not clear which is the male and which the female», en la traducción de West]</w:t>
      </w:r>
      <w:r>
        <w:t xml:space="preserve"> (Bundahishn 15:3)</w:t>
      </w:r>
      <w:r>
        <w:t>. Pero en el relato del origen del mal, la que despierta al Espíritu maligno es una mujer demoníaca, Jeh (Bundahishn 3:4-8).</w:t>
      </w:r>
    </w:p>
    <w:p>
      <w:pPr>
        <w:pStyle w:val="ListBullet"/>
      </w:pPr>
      <w:r>
        <w:rPr>
          <w:b/>
        </w:rPr>
        <w:t>El Norte de Europa:</w:t>
      </w:r>
      <w:r>
        <w:t xml:space="preserve"> Ask y Embla, la primera pareja, se encuentran juntos, «vacíos de fuerza», y reciben los mismos cuatro dones</w:t>
      </w:r>
      <w:r>
        <w:t xml:space="preserve"> [original: «Ask and Embla, empty of might», en la traducción de Bellows]</w:t>
      </w:r>
      <w:r>
        <w:t xml:space="preserve"> (Edda, Völuspá 17-18)</w:t>
      </w:r>
      <w:r>
        <w:t>. La estrofa no dice cuál es el varón; lo añade Snorri en el siglo XIII.</w:t>
      </w:r>
    </w:p>
    <w:p>
      <w:pPr>
        <w:pStyle w:val="ListBullet"/>
      </w:pPr>
      <w:r>
        <w:rPr>
          <w:b/>
        </w:rPr>
        <w:t>Mesopotamia:</w:t>
      </w:r>
      <w:r>
        <w:t xml:space="preserve"> la diosa pellizca catorce trozos de la misma arcilla, siete a cada lado: «siete muchachos formados, siete muchachas formadas»</w:t>
      </w:r>
      <w:r>
        <w:t xml:space="preserve"> [original: «seven formed boys. [10] Seven formed girls», en la traducción de Clay (1922; con errores reconocidos; fuente secundaria)]</w:t>
      </w:r>
      <w:r>
        <w:t xml:space="preserve"> (Atrahasis, columna IV)</w:t>
      </w:r>
      <w:r>
        <w:t>.</w:t>
      </w:r>
    </w:p>
    <w:p>
      <w:pPr>
        <w:pStyle w:val="ListBullet"/>
      </w:pPr>
      <w:r>
        <w:rPr>
          <w:b/>
        </w:rPr>
        <w:t>Pablo:</w:t>
      </w:r>
      <w:r>
        <w:t xml:space="preserve"> «no hay varón, ni hembra: porque todos vosotros sois uno en Cristo Jesús»</w:t>
      </w:r>
      <w:r>
        <w:t xml:space="preserve"> (Gál 3:28)</w:t>
      </w:r>
      <w:r>
        <w:t>.</w:t>
      </w:r>
    </w:p>
    <w:p>
      <w:pPr>
        <w:pStyle w:val="ListBullet"/>
      </w:pPr>
      <w:r>
        <w:rPr>
          <w:b/>
        </w:rPr>
        <w:t>China:</w:t>
      </w:r>
      <w:r>
        <w:t xml:space="preserve"> «El Tao produjo el Uno; el Uno produjo el Dos; el Dos produjo el Tres»</w:t>
      </w:r>
      <w:r>
        <w:t xml:space="preserve"> [original: «The Tâo produced One; One produced Two; Two produced Three», en la traducción de Legge]</w:t>
      </w:r>
      <w:r>
        <w:t xml:space="preserve"> (Daodejing 42)</w:t>
      </w:r>
      <w:r>
        <w:t>. No habla de varón ni de mujer; es la imagen del Uno que se desdobla.</w:t>
      </w:r>
    </w:p>
    <w:p>
      <w:pPr>
        <w:pStyle w:val="ListBullet"/>
      </w:pPr>
      <w:r>
        <w:rPr>
          <w:b/>
        </w:rPr>
        <w:t>Japón:</w:t>
      </w:r>
      <w:r>
        <w:t xml:space="preserve"> al encontrarse la pareja divina, la diosa habló primero; el dios protestó: «Soy un hombre y por derecho debería haber hablado primero», y repitieron el encuentro</w:t>
      </w:r>
      <w:r>
        <w:t xml:space="preserve"> [original: «I am a man, and by right should have spoken first», en la traducción de Aston]</w:t>
      </w:r>
      <w:r>
        <w:t xml:space="preserve"> (Nihongi, libro I)</w:t>
      </w:r>
      <w:r>
        <w:t>.</w:t>
      </w:r>
    </w:p>
    <w:p>
      <w:pPr>
        <w:pStyle w:val="ListBullet"/>
      </w:pPr>
      <w:r>
        <w:rPr>
          <w:b/>
        </w:rPr>
        <w:t>Los iroqueses:</w:t>
      </w:r>
      <w:r>
        <w:t xml:space="preserve"> al revés, la primera humana es la Mujer del Cielo, que precede a todo varón y da a luz una hija</w:t>
      </w:r>
      <w:r>
        <w:t xml:space="preserve"> [original: «Sky woman. Falls through hole made by uprooted sky-tree and brings a promised child with her», en la edición de Parker]</w:t>
      </w:r>
      <w:r>
        <w:t xml:space="preserve"> (Parker, Seneca Myths and Folk Tales, 1923)</w:t>
      </w:r>
      <w:r>
        <w:t>.</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 </w:t>
      </w:r>
      <w:r>
        <w:t>[palabras de Kiko, 9-oct-2026]</w:t>
      </w:r>
    </w:p>
    <w:p>
      <w:r>
        <w:t>[creación del hombre y de la mujer en 19 tradiciones: índice del agente de fuentes (07, 9-oct), pasajes leídos en sus archivos; borrador B2, 9-oct; 04p fila 12]</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t>[08.00-0.1, sin el nombre del grupo]</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t xml:space="preserve"> (Constitución, art. 17.4)</w:t>
      </w:r>
      <w:r>
        <w:t>. También protege «la vida y [...] la integridad física y moral»</w:t>
      </w:r>
      <w:r>
        <w:t xml:space="preserve"> (Constitución, art. 15)</w:t>
      </w:r>
      <w:r>
        <w:t>.</w:t>
      </w:r>
    </w:p>
    <w:p>
      <w:r>
        <w:t>[08.00-1.1 y 7.2; Constitución leída en el BOE]</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t xml:space="preserve"> [original: «Aufklärung ist der Ausgang des Menschen aus seiner selbstverschuldeten Unmündigkeit. Unmündigkeit ist das Unvermögen, sich seines Verstandes ohne Leitung eines anderen zu bedienen»]</w:t>
      </w:r>
      <w:r>
        <w:t xml:space="preserve"> (Kant, ¿Qué es la Ilustración?, 1784)</w:t>
      </w:r>
      <w:r>
        <w:t xml:space="preserve">. Y su lema: </w:t>
      </w:r>
      <w:r>
        <w:rPr>
          <w:i/>
        </w:rPr>
        <w:t>Sapere aude!</w:t>
      </w:r>
      <w:r>
        <w:t>, «¡atrévete a saber! ¡Ten valor para servirte de tu propio entendimiento!»</w:t>
      </w:r>
      <w:r>
        <w:t xml:space="preserve"> [original: «Habe Muth dich deines eigenen Verstandes zu bedienen!»]</w:t>
      </w:r>
      <w:r>
        <w:t>.</w:t>
      </w:r>
    </w:p>
    <w:p>
      <w:r>
        <w:t>[08.00-2.1 y 2.2; Kant leído en alemán, edición de la Academia, VIII, 35]</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t xml:space="preserve"> (Gn 1:31)</w:t>
      </w:r>
      <w:r>
        <w:t>.</w:t>
      </w:r>
    </w:p>
    <w:p>
      <w:pPr>
        <w:pStyle w:val="ListBullet"/>
      </w:pPr>
      <w:r>
        <w:t>Pablo: los que no tienen ley muestran «la obra de la ley escrita en sus corazones, dando testimonio juntamente sus conciencias»</w:t>
      </w:r>
      <w:r>
        <w:t xml:space="preserve"> (Rm 2:15)</w:t>
      </w:r>
      <w:r>
        <w:t>.</w:t>
      </w:r>
    </w:p>
    <w:p>
      <w:pPr>
        <w:pStyle w:val="ListBullet"/>
      </w:pPr>
      <w:r>
        <w:t>El Corán: «¡Por el alma y Quien le ha dado forma armoniosa, instruyéndole sobre su propensión al pecado y su temor de Dios!»</w:t>
      </w:r>
      <w:r>
        <w:t xml:space="preserve"> (Corán 91:7-8, traducción de Julio Cortés)</w:t>
      </w:r>
      <w:r>
        <w:t>.</w:t>
      </w:r>
    </w:p>
    <w:p>
      <w:pPr>
        <w:pStyle w:val="ListBullet"/>
      </w:pPr>
      <w:r>
        <w:t>Mencio: todo ser humano tiene el brote del sentido de lo justo (</w:t>
      </w:r>
      <w:r>
        <w:t>1.4</w:t>
      </w:r>
      <w:r>
        <w:t>).</w:t>
      </w:r>
    </w:p>
    <w:p>
      <w:pPr>
        <w:pStyle w:val="ListBullet"/>
      </w:pPr>
      <w:r>
        <w:t>Y el discernimiento se forma con la práctica: es de «los que por la costumbre tienen los sentidos ejercitados en el discernimiento del bien y del mal» (Heb 5:14).</w:t>
      </w:r>
    </w:p>
    <w:p>
      <w:r>
        <w:t>[00.00-2.18; Reina-Valera Antigua y Corán de Cortés, leídos el 5-oct]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t xml:space="preserve"> [original: «Im Reiche der Zwecke hat alles entweder einen Preis, oder eine Würde»]</w:t>
      </w:r>
      <w:r>
        <w:t xml:space="preserve"> (Kant, Fundamentación de la metafísica de las costumbres, 1785)</w:t>
      </w:r>
      <w:r>
        <w:t>. Lo que tiene precio se puede cambiar por otra cosa; lo que no admite nada a cambio tiene dignidad. Y de ahí su regla: «obra de tal modo que trates a la humanidad, tanto en tu persona como en la de cualquier otro, siempre a la vez como fin y nunca solo como medio»</w:t>
      </w:r>
      <w:r>
        <w:t xml:space="preserve"> [original: «Handle so, daß du die Menschheit sowohl in deiner Person, als in der Person eines jeden andern jederzeit zugleich als Zweck, niemals bloß als Mittel brauchst»]</w:t>
      </w:r>
      <w:r>
        <w:t xml:space="preserve"> (misma obra)</w:t>
      </w:r>
      <w:r>
        <w:t>. Es la idea de 2.2: la dignidad no se concede, se reconoce.</w:t>
      </w:r>
    </w:p>
    <w:p>
      <w:r>
        <w:t>[08.00-3.1 y 3.2; Kant leído en alemán, edición de la Academia, IV, 429 y 434]</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t xml:space="preserve"> (Mt 7:16; </w:t>
      </w:r>
      <w:r>
        <w:t>0.5</w:t>
      </w:r>
      <w:r>
        <w:t>)</w:t>
      </w:r>
      <w:r>
        <w:t>. Si alguien dice una cosa y hace otra, el pacto se rompe solo, sin tribunal ni castigo. Coherencia es pensar, decir, sentir y hacer en la misma dirección.</w:t>
      </w:r>
    </w:p>
    <w:p>
      <w:r>
        <w:t>[08.00-4.1 y 5.1, corregido: la pieza decía «Por sus actos los conoceréis», y el versículo dice «Por sus frutos»]</w:t>
      </w:r>
    </w:p>
    <w:p>
      <w:r>
        <w:rPr>
          <w:b/>
        </w:rPr>
        <w:t>La objeción, con su respuesta.</w:t>
      </w:r>
      <w:r>
        <w:t xml:space="preserve"> El Estado diría que exigir avales es un filtro arbitrario: él reconoce los mismos derechos a todos, sin aval de nadie</w:t>
      </w:r>
      <w:r>
        <w:t xml:space="preserve"> (Constitución, art. 14)</w:t>
      </w:r>
      <w:r>
        <w:t>. Es una objeción seria, y la obra la recoge: su propuesta pública no usa avales, y el jurado del juicio popular se elige por sorteo (</w:t>
      </w:r>
      <w:r>
        <w:t>11.1</w:t>
      </w:r>
      <w:r>
        <w:t>). El aval es solo para una unión voluntaria, no para acceder a ningún derecho.</w:t>
      </w:r>
    </w:p>
    <w:p>
      <w:r>
        <w:t>[08.00-7.6 y 7.7]</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t xml:space="preserve"> (Constitución, art. 22.1)</w:t>
      </w:r>
      <w:r>
        <w:t>. Quien quiera dar ese paso necesita asesoramiento profesional.</w:t>
      </w:r>
    </w:p>
    <w:p>
      <w:r>
        <w:t>[08.00-6.1 y 7.5]</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t xml:space="preserve"> [original: «οὗτος μὲν οἴεταί τι εἰδέναι οὐκ εἰδώς, ἐγὼ δέ, ὥσπερ οὖν οὐκ οἶδα, οὐδὲ οἴομαι»]</w:t>
      </w:r>
      <w:r>
        <w:t xml:space="preserve"> (Platón, Apología 21d)</w:t>
      </w:r>
      <w:r>
        <w:t>. Es lo que se resume en «solo sé que no sé nada».</w:t>
      </w:r>
    </w:p>
    <w:p>
      <w:pPr>
        <w:pStyle w:val="ListBullet"/>
      </w:pPr>
      <w:r>
        <w:rPr>
          <w:b/>
        </w:rPr>
        <w:t>Confucio:</w:t>
      </w:r>
      <w:r>
        <w:t xml:space="preserve"> «saber lo que se sabe, y saber que no se sabe lo que no se sabe: eso es saber»</w:t>
      </w:r>
      <w:r>
        <w:t xml:space="preserve"> [original: «知之爲知之，不知爲不知，是知也»]</w:t>
      </w:r>
      <w:r>
        <w:t xml:space="preserve"> (Analectas 2.17)</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t xml:space="preserve"> (Mt 18:3-4)</w:t>
      </w:r>
      <w:r>
        <w:t>.</w:t>
      </w:r>
    </w:p>
    <w:p>
      <w:pPr>
        <w:pStyle w:val="ListBullet"/>
      </w:pPr>
      <w:r>
        <w:rPr>
          <w:b/>
        </w:rPr>
        <w:t>Laozi:</w:t>
      </w:r>
      <w:r>
        <w:t xml:space="preserve"> «知不知上，不知知病» (saber que no se sabe es lo más alto; no saber que no se sabe es una enfermedad; Daodejing 71).</w:t>
      </w:r>
    </w:p>
    <w:p>
      <w:pPr>
        <w:pStyle w:val="ListBullet"/>
      </w:pPr>
      <w:r>
        <w:rPr>
          <w:b/>
        </w:rPr>
        <w:t>Los Pirkei Avot:</w:t>
      </w:r>
      <w:r>
        <w:t xml:space="preserve"> «אֵיזֶהוּ חָכָם, הַלּוֹמֵד מִכָּל אָדָם» (¿quién es sabio? El que aprende de toda persona; 4:1, palabras de Ben Zoma).</w:t>
      </w:r>
    </w:p>
    <w:p>
      <w:pPr>
        <w:pStyle w:val="ListBullet"/>
      </w:pPr>
      <w:r>
        <w:rPr>
          <w:b/>
        </w:rPr>
        <w:t>El islam:</w:t>
      </w:r>
      <w:r>
        <w:t xml:space="preserve"> «وَمَا تَوَاضَعَ أَحَدٌ لِلَّهِ إِلاَّ رَفَعَهُ اللَّهُ» (nadie se humilla ante Dios sin que Dios lo eleve; Sahih Muslim 2588; fuente secundaria: copia de datos de la colección, pendiente de cotejar con la edición impresa).</w:t>
      </w:r>
    </w:p>
    <w:p>
      <w:pPr>
        <w:pStyle w:val="ListBullet"/>
      </w:pPr>
      <w:r>
        <w:rPr>
          <w:b/>
        </w:rPr>
        <w:t>Y Job,</w:t>
      </w:r>
      <w:r>
        <w:t xml:space="preserve"> tras la mayor revelación de su libro, no se declara justo: «De oídas te había oído; Mas ahora mis ojos te ven. Por tanto me aborrezco, y me arrepiento En el polvo y en la ceniza» (Job 42:5-6).</w:t>
      </w:r>
    </w:p>
    <w:p>
      <w:r>
        <w:t>[00.00-3.1 a 3.8, corregido: Mateo y Job con el texto literal de la Reina-Valera; todos leídos en su original]</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t xml:space="preserve"> (Rm 7:19)</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t xml:space="preserve"> [original: «ὁ μὲν αὐτῷ καλός τε καὶ ἀγαθὸς [...], ὁ δ᾽ ἐξ ἐναντίων τε καὶ ἐναντίος»; «χαλεπὴ δὴ καὶ δύσκολος»]</w:t>
      </w:r>
      <w:r>
        <w:t xml:space="preserve"> (Fedro 246b)</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t xml:space="preserve"> [original: «人之性惡，其善者僞也»]</w:t>
      </w:r>
      <w:r>
        <w:t xml:space="preserve"> (Xunzi 23)</w:t>
      </w:r>
      <w:r>
        <w:t>.</w:t>
      </w:r>
    </w:p>
    <w:p>
      <w:pPr>
        <w:pStyle w:val="ListBullet"/>
      </w:pPr>
      <w:r>
        <w:t>Y además: «Miserable hombre de mí!» (Rm 7:24, así en la Reina-Valera); «¿Por qué me llamas bueno? Ninguno es bueno sino uno, es á saber, Dios» (Mt 19:17); y el desacuerdo de Agustín y Pelagio en la cristiandad, el mismo que el de Mencio y Xunzi: para Agustín, la naturaleza con la que nacemos «ya necesita médico, porque no está sana» (iam medico indiget, quia sana non est); Pelagio respondía: «yo digo que el hombre puede estar sin pecado» (Ego dico posse esse hominem sine peccato; De natura et gratia 3 y 7).</w:t>
      </w:r>
    </w:p>
    <w:p>
      <w:pPr>
        <w:pStyle w:val="ListBullet"/>
      </w:pPr>
      <w:r>
        <w:t>Y un testimonio moderno: Aleksandr Solzhenitsyn, que sobrevivió a los campos soviéticos, escribió que «la línea que separa el bien del mal no pasa entre Estados, ni entre clases, ni entre partidos: pasa por cada corazón humano, y por todos los corazones humanos»; que incluso en un corazón abrazado por el mal «se mantiene una pequeña cabeza de puente del bien», y en el más bueno, «un rincón de mal sin arrancar» (линия, разделяющая добро и зло, проходит не между государствами, не между классами, не между партиями, — она проходит через каждое человеческое сердце; Archipiélago Gulag, parte IV, cap. 1).</w:t>
      </w:r>
    </w:p>
    <w:p>
      <w:r>
        <w:t>[00.00-4.1 a 4.6, corregido: Romanos y Mateo con el texto literal de la Reina-Valera; Platón, Xunzi, Agustín (latín) y Solzhenitsyn (ruso) leídos en el original]</w:t>
      </w:r>
    </w:p>
    <w:p>
      <w:r>
        <w:t xml:space="preserve">Lo que pasa cuando un poder deja de sentirse aprendiz, y deja de corregirse, se verá en </w:t>
      </w:r>
      <w:r>
        <w:t>6.2</w:t>
      </w:r>
      <w:r>
        <w:t>.</w:t>
      </w:r>
    </w:p>
    <w:p>
      <w:r>
        <w:t>[00.00-3.9 y 4.9]</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t xml:space="preserve"> (Heb 5:14)</w:t>
      </w:r>
      <w:r>
        <w:t>. No es un título. «Cuando yo era niño, hablaba como niño, pensaba como niño, juzgaba como niño, mas cuando ya fuí hombre hecho, dejé lo que era de niño»</w:t>
      </w:r>
      <w:r>
        <w:t xml:space="preserve"> (1 Co 13:11)</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t>[glosario 9.2]</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xml:space="preserve"> [original: «they had never been schooled by trial»]</w:t>
      </w:r>
      <w:r>
        <w:t>; en cambio, las que venían de la tierra, «habiendo sufrido ellas mismas y visto sufrir a otros, no se precipitaban al elegir»</w:t>
      </w:r>
      <w:r>
        <w:t xml:space="preserve"> [original: «having themselves suffered and seen others suffer, were not in a hurry to choose»]</w:t>
      </w:r>
      <w:r>
        <w:t xml:space="preserve"> (República X, 619c-d, traducción inglesa de Jowett)</w:t>
      </w:r>
      <w:r>
        <w:t>. El límite: que la dificultad enseñe no justifica a quien la causa. El daño al prójimo se sigue midiendo con la vara (</w:t>
      </w:r>
      <w:r>
        <w:t>0.5</w:t>
      </w:r>
      <w:r>
        <w:t>).</w:t>
      </w:r>
    </w:p>
    <w:p>
      <w:r>
        <w:t>[glosario 9.2]</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t>Los textos:</w:t>
      </w:r>
    </w:p>
    <w:p>
      <w:pPr>
        <w:pStyle w:val="ListBullet"/>
      </w:pPr>
      <w:r>
        <w:t>«Yo Jehová, que escudriño el corazón, que pruebo los riñones, para dar á cada uno según su camino, según el fruto de sus obras» (Jer 17:10);</w:t>
      </w:r>
    </w:p>
    <w:p>
      <w:pPr>
        <w:pStyle w:val="ListBullet"/>
      </w:pPr>
      <w:r>
        <w:t>el día del juicio «no aprovechen hacienda ni hijos varones, excepto a quien vaya a Alá con corazón sano» (Corán 26:88-89);</w:t>
      </w:r>
    </w:p>
    <w:p>
      <w:pPr>
        <w:pStyle w:val="ListBullet"/>
      </w:pPr>
      <w:r>
        <w:t>«yaṁ yaṁ vāpi smaran bhāvaṁ tyajaty ante kalevaram / taṁ tam evaiti» (el estado del ser que uno recuerda al dejar el cuerpo, ese mismo alcanza; Bhagavad Gita 8.6);</w:t>
      </w:r>
    </w:p>
    <w:p>
      <w:pPr>
        <w:pStyle w:val="ListBullet"/>
      </w:pPr>
      <w:r>
        <w:t>«aneka-janma-saṁsiddhas tato yāti parāṁ gatim» (perfeccionado a lo largo de muchos nacimientos, alcanza entonces la meta suprema; Gita 6.45).</w:t>
      </w:r>
    </w:p>
    <w:p>
      <w:r>
        <w:t>[glosario 9.2.1, leído en su fuente el 5-oct; Jeremías, en la Reina-Valera]</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[original: «discern between good and evil, and so to choose always and everywhere the better life»]</w:t>
      </w:r>
      <w:r>
        <w:t xml:space="preserve"> (Platón, República X, 618c)</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t>[glosario 9.2; 00.00-4.8]</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t xml:space="preserve"> (Jn 8:44)</w:t>
      </w:r>
      <w:r>
        <w:t>. «Así, todo buen árbol lleva buenos frutos; mas el árbol maleado lleva malos frutos»</w:t>
      </w:r>
      <w:r>
        <w:t xml:space="preserve"> (Mt 7:17)</w:t>
      </w:r>
      <w:r>
        <w:t>. Con la condición del propio texto: «Dejad crecer juntamente lo uno y lo otro hasta la siega»</w:t>
      </w:r>
      <w:r>
        <w:t xml:space="preserve"> (Mt 13:30)</w:t>
      </w:r>
      <w:r>
        <w:t>, y «la siega es el fin del mundo, y los segadores son los ángeles»</w:t>
      </w:r>
      <w:r>
        <w:t xml:space="preserve"> (Mt 13:39)</w:t>
      </w:r>
      <w:r>
        <w:t>. Por eso la obra no arranca a nadie: discierne caso a caso, con pruebas, y la siega final no es nuestra. Que «ha llegado este tiempo» es lectura del autor: es el tiempo del desvelamiento y del discernimiento, no de la siega.</w:t>
      </w:r>
    </w:p>
    <w:p>
      <w:r>
        <w:t>[00.00-2.20; glosario 9.2; Reina-Valera Antigua]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t xml:space="preserve"> (Código Civil, art. 434)</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t xml:space="preserve"> (Código Penal, art. 20.5.º)</w:t>
      </w:r>
      <w:r>
        <w:t>. Pero no responde igual quien sabe que quien no sabe: «á cualquiera que fué dado mucho, mucho será vuelto á demandar de él»</w:t>
      </w:r>
      <w:r>
        <w:t xml:space="preserve"> (Lc 12:48)</w:t>
      </w:r>
      <w:r>
        <w:t>.</w:t>
      </w:r>
    </w:p>
    <w:p>
      <w:r>
        <w:t>Proverbios lo dice así: «No tienen en poco al ladrón, cuando hurtare Para saciar su alma teniendo hambre: Empero tomado, paga las setenas» (Pr 6:30-31).</w:t>
      </w:r>
    </w:p>
    <w:p>
      <w:r>
        <w:t>[00.00-2.21, corregido: Proverbios con el texto literal; Código Civil y Código Penal leídos en el BOE]</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t>[09.00-0.1]</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t>[09.00-6.1]</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t xml:space="preserve"> (Código Penal, art. 384)</w:t>
      </w:r>
      <w:r>
        <w:t>. No se ha encontrado ninguna sentencia española que nombre estas teorías por su nombre.</w:t>
      </w:r>
    </w:p>
    <w:p>
      <w:r>
        <w:t>[09.00-5.1 y 5.2; Código Penal leído en el BOE]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t>[09.00-6.1]</w:t>
      </w:r>
    </w:p>
    <w:p>
      <w:r>
        <w:rPr>
          <w:b/>
        </w:rPr>
        <w:t>Lo que esta obra no es.</w:t>
      </w:r>
      <w:r>
        <w:t xml:space="preserve"> No exime de ninguna obligación vigente: «Los ciudadanos y los poderes públicos están sujetos a la Constitución y al resto del ordenamiento jurídico»</w:t>
      </w:r>
      <w:r>
        <w:t xml:space="preserve"> (Constitución, art. 9.1)</w:t>
      </w:r>
      <w:r>
        <w:t>. No invita a desobedecer. Su vía es la constancia escrita, la petición documentada y el juicio popular de la verdad, que juzga instituciones, no personas (</w:t>
      </w:r>
      <w:r>
        <w:t>0.2</w:t>
      </w:r>
      <w:r>
        <w:t>).</w:t>
      </w:r>
    </w:p>
    <w:p>
      <w:r>
        <w:t>[libro de estilo §4; 09.00-7.9]</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r>
        <w:t>[03.00-30.2; Constitución leída en el BOE]</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t xml:space="preserve">. </w:t>
      </w:r>
      <w:r>
        <w:t>[03.00-34.4 y 34.5]</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t xml:space="preserve">. </w:t>
      </w:r>
      <w:r>
        <w:t>[03.00-34.6 y 34.7]</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r>
        <w:t>[08.00-7.2 y 7.3]</w:t>
      </w:r>
    </w:p>
    <w:p>
      <w:pPr>
        <w:pStyle w:val="ListBullet"/>
      </w:pPr>
      <w:r>
        <w:rPr>
          <w:b/>
        </w:rPr>
        <w:t>«Soberanos somos todos» no exime de la ley</w:t>
      </w:r>
      <w:r>
        <w:t xml:space="preserve"> ni da autoridad frente a nadie</w:t>
      </w:r>
      <w:r>
        <w:t xml:space="preserve"> (Constitución, art. 9.1)</w:t>
      </w:r>
      <w:r>
        <w:t xml:space="preserve">. </w:t>
      </w:r>
      <w:r>
        <w:t>[00.00-1.3]</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r>
        <w:t>[08.00-7.4 y 7.5]</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r>
        <w:t>[09.00-7.2, 7.3, 7.8 y 7.9]</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[clasificación de las defensas, aprobada; glosario 8.13]</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r>
        <w:br w:type="page"/>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keepNext/>
      </w:pPr>
      <w:r>
        <w:rPr>
          <w:rFonts w:ascii="Segoe UI" w:hAnsi="Segoe UI" w:eastAsia="Segoe UI" w:cs="Segoe UI"/>
          <w:b/>
          <w:color w:val="6B665E"/>
          <w:sz w:val="20"/>
        </w:rPr>
        <w:t>Notas de trabajo (estado y trazabilidad)</w:t>
      </w:r>
    </w:p>
    <w:p>
      <w:r>
        <w:t>Cambio del 12-oct-2026, el cierre, dentro del paso 3 (orden de 08.30, fila 722 de 08/01, comprobado en la RV1909 local): en 3.4, Pablo «estaba preso del mismo Imperio» pasa a «acabó preso del mismo Imperio»: Romanos se escribió antes de la custodia (Rm 15:25) y la custodia de Hch 28:16 es después, en Roma; las dos fuentes citadas no cambian (07/herramientas/aplicar_acabo_preso_3_4.py). Ninguna otra palabra cambia. Cambio del 12-oct-2026, el cierre, dentro del paso 3 (B13: Kiko, chat de 08.18, 06:3x, «si» a la forma «sin contacto documentado entre sí»; orden de 08.29, filas 709 y 710 de 08/01, tras la auditoría de 10.36): las 4 frases en este capítulo con la forma de antes pasan a decir «sin contacto documentado» (07/herramientas/aplicar_contacto_documentado.py). Ninguna otra palabra cambia. Cambio del 12-oct-2026, el cierre, paso 2 (Kiko, chat de 08.28, 19:4x: «SI» a los flecos del cierre; orden firme de 08.28 y ADELANTE de 08.29; Kiko, chat de 08, 20:2x, al texto: «SI CONFIRMO»): en 3.7, al final del punto «El juicio último no es del hombre», su otra cara, sin resolverla: 1 Co 6:2, «los santos han de juzgar al mundo», con 1 Co 6:1 para decir a qué viene; las palabras, de la RV1909 local (07/herramientas/aplicar_1co6_2.py). Ninguna otra palabra cambia. Cambio del 12-oct-2026, los Jubileos leídos (Kiko, a la línea de 05 FLECOS del paso 1, tal cual: «Aquí pone que falta por leer. Pues que se lea.»; leído en local por 08.29 y su orden): en 3.5, en «Conclusión, lo que arrojan los datos», vuelve la lista atribuida a los papas, sin el siglo, que no lo dice ninguna fuente: el Decreto Gelasiano (ant/canon/gel_en.html) y R. H. Charles, 1902 (c4/jubileos_charles_1902.txt), con sus marcas; y los dos, en la línea de las fuentes. Ninguna otra palabra cambia. Cambio del 12-oct-2026, los flecos del cierre (Kiko, chat de 08.28, 19:4x, a «¿sí a los seis flecos tal cual? Recomendación: sí a los seis», tal cual: «SI»; orden firme de 08.28): en 3.5, en «Conclusión, lo que arrojan los datos», sale «En el siglo VI, una lista atribuida a los papas puso Jubileos entre los apócrifos.», porque ni el siglo ni que el libro sea el de los Jubileos están leídos en su fuente (el Decreto Gelasiano, ant/canon/gel_en.html, dice «Leptogeneseos»; va a 06/05 FLECOS); y la línea de las fuentes nombra las de los otros dos pasos, leídas en su archivo del lote del canon: Tertuliano, De cultu feminarum I, 3 (tert_cultu_en.html), que defiende el libro de Enoc y dice que no está en el canon judío, y el edicto de Tesalónica, Código Teodosiano XVI, 1, 2 (cth16.html). La frase resumen se queda: san Agustín, ya citado (La ciudad de Dios XV, 23), llama apócrifos a los escritos de Enoc. Ninguna otra palabra cambia. Cambio del 12-oct-2026 (Kiko, chat de 08.27, 17:5x, a la propuesta de 08.27 de una frase más en el párrafo «El Arca» de 3.0, hecha solo con lo que dice la Reina-Valera en local y el guiño sin explicarlo, tal cual: «SI CONCUERDO»; orden firme y ADELANTE de 08.27; borrador B24, construido por programa desde la Reina-Valera Antigua local): en 3.0, en el párrafo «El Arca», detrás de Dt 10:5, una frase: las tablas eran «las palabras de la alianza» (Ex 34:28) y en el arca no había más que las dos tablas de piedra de Horeb, donde Jehová hizo la alianza (1 R 8:9); y el guiño, sin explicarlo: si lo que reúne es la ley de Dios, bien podría llamarse el arca de la alianza con Dios. Ningún título cambia.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3.7, detrás de la conclusión «todo se ve y, en la mayoría, queda escrito» y de su línea de fuente, y delante de «Lectura del autor: aviso a navegantes», que no cambia, una conclusión de dato: el ungido, tal como lo dice el texto («Cristo» es «ungido», un título y no un apellido; ungir es untar con aceite para un oficio; el Espíritu lo muda; de unos pocos, y prometido a todos; converge en las tres patas, con la diferencia nombrada y con sus límites); los pasajes, en F.9, punto 16. Y, por dos mensajes de Kiko en el chat de 11.10 (12-oct, 17:4x, pasados por 11.10 tal cual; orden firme de 08.27), dos retoques en lo del séptimo sello de 3.7: al final de la enumeración de «Donde la fuente dice otra cosa», que la Reina-Valera dice «desatar» los siete sellos donde el griego del Apocalipsis dice solo «abrir» (Kiko: «Un detalle: en el griego el verbo es abrir; la Reina-Valera añade «desatar». Esto me parece un detalle importante. Añade esta información donde corresponda.»); y el título del punto del juicio pasa de «El juicio es de Dios y del Cordero, según sus obras» a «El juicio es de Dios y del Cordero, y a cada uno según sus obras», porque se leía como si las obras fueran las de Dios y del Cordero (Kiko: «El juicio es de Dios y del Cordero, según sus obras Tampoco entiendo el significado porque el juicio es de Dios y del Cordero.»).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3.7, detrás de la conclusión «el aviso y quién juzga» y de su línea de fuente, una conclusión de dato: el séptimo sello, tal como lo dice el texto (quién abre y con qué verbo; un silencio que abre las trompetas, no el final; el juicio, de Dios y del Cordero, según sus obras, con su otra cara, Ap 20:4; y el cuándo en sus dos caras, de donde el texto saca velar); los pasajes, en F.9, punto 15. Sin palabra nueva. Ninguna otra palabra cambia. Cambio del 12-oct-2026 (Kiko, chat de 08.24, 15:0x, pasado por 08.24 tal cual: «SI CONCUERDO» a la línea de dato junto al «¿qué vas a hacer cuando nadie te mira?», fila 569 de 08/01; ADELANTE de 08.25, 15:1x): en 3.7, justo antes de «Lectura del autor: aviso a navegantes», una conclusión de dato: todo se ve, en diez de las trece tradiciones leídas y en las tres patas; queda escrito, en ocho, pero solo en una pata, Israel; para qué, y la frase de los cabellos contados; y lo que va en contra (borrador construido por programa: cada pasaje, en F.9, punto 14).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3.7 «Arqueología en busca de las reglas del juego de la vida», detrás de 3.6 (el patrón en tres tiempos, la tabla de doce tradiciones, la cuenta como dato, lo que no encaja, la orden de Zeus dicha exacta y lo que converge sobre el aviso y quién juzga, como dato; el cribado con la pesa y el aviso a navegantes, como lectura del autor); su línea en 3.0 (la de 3.6 acaba ahora en punto y coma); un punto en «En pocas palabras», otro en el «Límite honesto» y otro en «Para recordar», antes de «Lo siguiente» (borrador B19, construido por programa: cada pasaje, en F.9). De paso, en «Para recordar», «sin que los pueblos se leyeran» pasa a «en pueblos sin contacto documentado entre sí», la forma que Kiko aprobó en el B13 (copia omitida entonces).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4 (borrador B16). Ninguna otra palabra cambia. Cambio del 12-oct-2026 (B13, punto 7 en otra forma; decisión de 08.18 sobre la frase que Kiko aprobó en el chat de 08.18, 06:3x: «si»; la vio 10.29): en 3.1, «al menos tres que no se leyeron entre sí (la Biblia, Hesíodo y el budismo)» pasa a «sin contacto documentado entre sí»; en 3.6, «Israel, China y la India no se leyeron entre sí» pasa a «Entre Israel, China y la India no hay contacto documentado». Ninguna otra palabra cambia. Cambio del 12-oct-2026 (Kiko, chat de 08.18, 06:3x, pasado por 08.18 tal cual, a «¿das el sí a los nueve cambios de 07.6?»: «si»; borrador B13, el barrido de los cuantificadores vagos en las frases con dato): «pueblos que nunca se leyeron» pasa a «pueblos sin contacto documentado entre sí» en «En pocas palabras» y en «La idea» de 3.2; la conclusión de 3.2 ya no llama «sin contacto entre sí» a una lista que junta a Israel, Persia, Mesopotamia, Egipto y Grecia (el límite honesto ya dice que la pata que depende de otra no cuenta aparte): «civilizaciones de todos los continentes […], cada uno con tres o más patas independientes»; en 3.1, «La esclavitud estuvo en casi todos los pueblos» pasa a «estuvo muy extendida»; y «La idea» de 3.3 nombra quién condenó la usura, como su conclusión: Israel, Grecia y el islam, y la India la limitó (antes, «casi todas las tradiciones»). Ninguna otra palabra cambia. Cambio del 9-oct-2026 (Kiko: «Sí, ponlo en 1.5»; fila 29 de 04p): en 3.2, en «La condición: lo que se repite no es por eso ley», una frase tras el caso de la esclavitud que añade el robo hacia fuera de unos germanos y la mutilación genital femenina y remite a 1.5. Cambio del 9-oct-2026 (cierre de los avisos de las patas del Arca, tras el informe del agente de fuentes; Kiko: «sigue con el agente y cierra lo pendiente»): en 3.2, los avisos de P1 (Gran Ley de la Paz: Parker 1916, The Canadian Encyclopedia y Britannica), P2, P3, P4 y P5; en P4 se añaden el Canon de Shun (Shujing) y el Yueling (Liji), con la traducción de Legge; en 3.3, el aviso sobre Etiopía, Nicea y España se apoya en el texto de Mercado de 1569; y los dos puntos del «Límite honesto de la prueba». Se quita Wikipedia como fuente (00b §6), se retiran las fechas que la página citada no sostenía y se apoya cada aviso en una fuente leída o lo dice. Cambio del 9-oct-2026 (Kiko: «si Etiopía converge tiene que ser nombrada; tiene que ser nombrada todo aquello que converja, a no ser que exista una diferencia complementaria, que también se anota»): la conclusión de 3.3 nombra de frente a Etiopía, Nicea y España («las recogen también… que parten de la Biblia»), en vez de ponerlas entre paréntesis. Siguen sin contar como patas independientes de la regla de las tres, porque citan la Biblia, y el aviso de 3.3 lo dice. Ningún texto se quita. Cambio del 9-oct-2026 (Kiko: «sí a las tres» el 8-oct y «para todo lo demás, queda confirmado» el 9-oct; filas 6 a 11 de 04p, ajustes 1 a 6 de la línea del tiempo): avisos de dependencia y de fecha: en 3.2, una frase al abrir y un «Aviso» en P1 (Gran Ley de la Paz), P2 (1 Samuel y 1 Reyes), P3 (Ptahhotep), P4 (Analectas 20.1) y P5 (Éxodo 22:7-8); en 3.3, un aviso sobre Etiopía, Nicea y España, que repiten la Biblia, y la conclusión sin Etiopía entre las tradiciones; y un punto nuevo en el «Límite honesto de la prueba». Las fechas y los parecidos entre textos son de enciclopedia (fuente secundaria, nivel B); no se ha cambiado ninguna cita ni ningún texto original. Cambio del 8-oct-2026 (fase de reparación, traducciones sin original, cuarta tanda): puestos los originales del Mahabharata 12.89 (edición crítica de Pune, GRETIL) y de Hesíodo, Trabajos y días 263-264 (griego de Perseus y Evelyn-White). Cambio del 8-oct-2026 (fase de reparación, traducciones sin original, tercera tanda; Kiko: «sí a las tres»): puestos los originales de Mozi (非樂上, Wikisource chino) y del Anguttara 6.45 (pali de SuttaCentral y Sujato). Ya no queda ninguna cita de las listas «Y además» del capítulo 3 sin su original, salvo las de fuente española. Cambio del 8-oct-2026 (fase de reparación, traducciones sin original, segunda tanda): puestos los originales de Manu VII 143 y VIII 152 (Bühler y GRETIL) y de Platón, Leyes IV 715b y 715d (Bury, en Perseus). Siguen sin original en las listas «Y además» el Mozi y el Anguttara 6.45 (libreta 80). Cambio del 8-oct-2026 (fase de reparación, traducciones sin original): puestos los originales leídos hoy en archivos locales junto a las citas de las listas «Y además» (Horayot 10b, Bava Kamma 9:5, Cicerón De officiis I 23, Avot 1:9 y 1:1, Séneca De ira I 18, Merikare en la traducción de Erman y Blackman, Bava Metsiá 5:11 y Sheviit 10:1). Quedan sin original Manu, Platón, Mozi, Hesíodo y el Anguttara 6.45 (libreta 80). Cambio del 8-oct-2026 (fase de reparación, auditoría de las citas): puesto el original inglés (King) junto a la cita del Código de Hammurabi §230. ESTADO: APROBADO por Kiko el 5-oct-2026 («sí a las tres»). Su material está marcado en el inventario (04 CAPITULOS/marcas/marcas del capitulo 3.txt). Cualquier cambio posterior, con su aprobación. Añadido el 5-oct, con su aprobación: los flecos leídos en su fuente (informe 05b; libreta 72, punto 135). Añadido el 5-oct, con su aprobación: 3.6, «El hilo del Arca: servir» (libreta 72, punto 131). Corregido el 7-oct (Kiko): en «Dónde se oye la defensa del Estado» se quita la promesa del cargo 10 («el trato igual» y «la desigualdad legítima»): eran defensas de la pieza 06.00, retirada por consenso por no concluyente, y no se recuperan. Renumerado el 5-oct: los antiguos 3.5 y 3.6 son ahora 3.4 y 3.5 (libreta 72, punto 121). Escrito en tres niveles y con remisiones enlazables. Corregido también en la Biblioteca y en la app el 5-oct (Kiko: «sí»): César sobre los druidas (07.00) y Mesopotamia (01.00); y en el capítulo 2, el hadiz de Muslim, marcado como fuente secundaria. Trazabilidad: al final de cada párrafo o bloque, entre corchetes (se ve en el nivel completo). Fuentes: el archivo del Arca (01 GLOSARIO UNICO, «EL ARCA - REFUERZO DE CADA LEY POR TRADICIONES», cinco bloques verificados el 5-oct) y la libreta 64 (base P1 a P9, verificada el 3-oct) no se han vuelto a revisar. El glosario 5.4 y el 12 (Nicea, Enoc y Jubileos), tampoco. Leído hoy en su original: Biblia (Reina-Valera Antigua: Dt 15:1-2, 23:19-20 y 24:16; Lv 19:35-36, 25:10 y 25:36-37; Ex 22:7-8 y 22:25; Gn 3:19; Jue 20:16; Mt 20:25-26 y 23:4; Lc 3:12-13; 1 Sam 8:15-17; Pr 11:1); Aristóteles, Política I, 1258b (Perseus, griego); Hesíodo, Trabajos y días 311 (Perseus); Liddell-Scott, ἁμαρτάνω (Perseus); Jueces 20:16 en hebreo y Nedarim 49b (Sefaria); Samyutta Nikaya 45.8 (SuttaCentral, pali); Bujari 2072 (copia de datos de la colección, árabe e inglés: fuente secundaria, como en el archivo del Arca); César, La guerra de las Galias VI, 14, y Suetonio, Claudio 25 (The Latin Library); Ley de 23 de julio de 1908, art. 1 (BOE); Enmienda XIII de Estados Unidos (archives.gov); y la Ley Áurea de Brasil (planalto.gov.br). Correcciones halladas (la Biblioteca lo dice de otra manera): César da dos razones de los druidas para no escribir, no «reverencia»: que su enseñanza no llegara al pueblo y que los alumnos no descuidaran la memoria (07.00); la Biblioteca dice que la antigua Mesopotamia «rara vez codificó» sus leyes, y el archivo del Arca lee los códigos de Ur-Namma y Hammurabi (01.00-13.1). Lo que pasa a otro sitio: la «Cláusula de rectificación y buena fe» (07.00-19), a 10.5; los órdenes de costumbre de la primera prueba de la 07.00 (inuit, mexicas, brehon, xeer, incas, Althing, maoríes…) y tres textos del «pan propio» (Shuruppak, Ptahhotep, Musonio Rufo), al anexo F, leídos en su fuente (F.4 y F.7); la Constitución de Bolivia (Pórtico IV), a 10.2; el principio de la quinta prueba (la ley del gobernante, bajo un orden superior) ya está en el capítulo 1. Conceptos que ancla: el Arca (la ley de Dios, en todos los pueblos; ancla movida de 3.2 a 3.0, porque se define al abrir el capítulo); los nueve principios; quién escribe la pata coja; errar el blanco. Cambio aprobado por Kiko el 7-oct-2026 («poner la cita entera»): Ex 23:8, en P8, con su segunda mitad, «y pervierte las palabras justas», leída en la Reina-Valera Antigua (c3); el cargo 24 del capítulo 11 la cita entera. Cambio aprobado por Kiko el 7-oct-2026, al aprobar el anexo F («si a las dos preguntas»): las notas que daban por pendientes de leer en su fuente Shuruppak, Ptahhotep, Musonio Rufo y los órdenes de costumbre remiten ahora al anexo F (F.4 y F.7), donde están leídos (informes del 5-oct, 10 FUENTES LEIDAS/g); y, del mismo modo, la de las demás lenguas de «errar el blanco» (el sánscrito, en F.8). El texto del capítulo no cambia.</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t xml:space="preserve"> (Ex 25:16)</w:t>
      </w:r>
      <w:r>
        <w:t>, y Moisés: «puse las tablas en el arca que había hecho; y allí están»</w:t>
      </w:r>
      <w:r>
        <w:t xml:space="preserve"> (Dt 10:5)</w:t>
      </w:r>
      <w:r>
        <w:t>. Las tablas eran «las palabras de la alianza, las diez palabras»</w:t>
      </w:r>
      <w:r>
        <w:t xml:space="preserve"> (Ex 34:28)</w:t>
      </w:r>
      <w:r>
        <w:t>, y en el arca no había «más de las dos tablas de piedra que había allí puesto Moisés en Horeb, donde Jehová hizo la alianza con los hijos de Israel»</w:t>
      </w:r>
      <w:r>
        <w:t xml:space="preserve"> (1 R 8:9)</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t>[glosario 12, fórmula del Arca aprobada por Kiko el 5-oct; Reina-Valera Antigua]</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[archivo del Arca, cinco bloques verificados el 5-oct; libreta 64]</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t xml:space="preserve"> [original: «omni autem in re consensio omnium gentium lex naturae putanda est»]</w:t>
      </w:r>
      <w:r>
        <w:t xml:space="preserve"> (Tusculanas I, 30)</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t xml:space="preserve"> (Rm 2:14-15)</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t>[glosario 5.4, leído en su fuente el 5-oct]</w:t>
      </w:r>
    </w:p>
    <w:p>
      <w:r>
        <w:rPr>
          <w:b/>
        </w:rPr>
        <w:t>Lectura del autor:</w:t>
      </w:r>
      <w:r>
        <w:t xml:space="preserve"> «Después de revisar toda la historia y los textos sagrados, recopilamos la información pertinente, y si existen muchas convergencias quiere decir que es la ley de Dios; no lo he inventado yo». </w:t>
      </w:r>
      <w:r>
        <w:t>[glosario 5.4, palabras de Kiko del 5-oct]</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t xml:space="preserve"> (Gn 3:19)</w:t>
      </w:r>
      <w:r>
        <w:t>;</w:t>
      </w:r>
    </w:p>
    <w:p>
      <w:pPr>
        <w:pStyle w:val="ListBullet"/>
      </w:pPr>
      <w:r>
        <w:rPr>
          <w:b/>
        </w:rPr>
        <w:t>Hesíodo:</w:t>
      </w:r>
      <w:r>
        <w:t xml:space="preserve"> «el trabajo no es ninguna deshonra; la ociosidad sí es deshonra»</w:t>
      </w:r>
      <w:r>
        <w:t xml:space="preserve"> [original: «ἔργον δ᾽ οὐδὲν ὄνειδος, ἀεργίη δέ τ᾽ ὄνειδος»]</w:t>
      </w:r>
      <w:r>
        <w:t xml:space="preserve"> (Trabajos y días 311)</w:t>
      </w:r>
      <w:r>
        <w:t>;</w:t>
      </w:r>
    </w:p>
    <w:p>
      <w:pPr>
        <w:pStyle w:val="ListBullet"/>
      </w:pPr>
      <w:r>
        <w:rPr>
          <w:b/>
        </w:rPr>
        <w:t>el Talmud:</w:t>
      </w:r>
      <w:r>
        <w:t xml:space="preserve"> «grande es el trabajo, que honra a quien lo hace»</w:t>
      </w:r>
      <w:r>
        <w:t xml:space="preserve"> [original: «גדולה מלאכה שמכבדת את בעליה»]</w:t>
      </w:r>
      <w:r>
        <w:t xml:space="preserve"> (Nedarim 49b)</w:t>
      </w:r>
      <w:r>
        <w:t>;</w:t>
      </w:r>
    </w:p>
    <w:p>
      <w:pPr>
        <w:pStyle w:val="ListBullet"/>
      </w:pPr>
      <w:r>
        <w:rPr>
          <w:b/>
        </w:rPr>
        <w:t>el budismo:</w:t>
      </w:r>
      <w:r>
        <w:t xml:space="preserve"> el discípulo noble «deja el modo de vida torcido y se gana la vida con el recto»</w:t>
      </w:r>
      <w:r>
        <w:t xml:space="preserve"> [original: «micchāājīvaṁ pahāya sammāājīvena jīvitaṁ kappeti»]</w:t>
      </w:r>
      <w:r>
        <w:t xml:space="preserve"> (Samyutta Nikaya 45.8)</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t xml:space="preserve"> [original: «مَا أَكَلَ أَحَدٌ طَعَامًا قَطُّ خَيْرًا مِنْ أَنْ يَأْكُلَ مِنْ عَمَلِ يَدِهِ، وَإِنَّ نَبِيَّ اللَّهِ دَاوُدَ […] كَانَ يَأْكُلُ مِنْ عَمَلِ يَدِهِ»]</w:t>
      </w:r>
      <w:r>
        <w:t xml:space="preserve"> (Sahih al-Bujari 2072)</w:t>
      </w:r>
      <w:r>
        <w:t>.</w:t>
      </w:r>
    </w:p>
    <w:p>
      <w:r>
        <w:t>[07.00-1.1 y 1.2, corregido: de las ocho tradiciones de la pieza entran aquí cinco; Shuruppak, Ptahhotep y Musonio Rufo, leídos en su fuente, están en el anexo F (F.4)]</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xml:space="preserve"> [original: «multi de diis prava sentiunt»]</w:t>
      </w:r>
      <w:r>
        <w:t>, y eso, «por mala costumbre»</w:t>
      </w:r>
      <w:r>
        <w:t xml:space="preserve"> [original: «vitioso more»]</w:t>
      </w:r>
      <w:r>
        <w:t xml:space="preserve"> (Tusculanas I, 30)</w:t>
      </w:r>
      <w:r>
        <w:t xml:space="preserve">. </w:t>
      </w:r>
      <w:r>
        <w:t>[glosario 5.4]</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t xml:space="preserve"> [original: «Neither slavery nor involuntary servitude, except as a punishment for crime whereof the party shall have been duly convicted, shall exist within the United States»]</w:t>
      </w:r>
      <w:r>
        <w:t xml:space="preserve"> (Constitución de los Estados Unidos, Enmienda XIII, 1865)</w:t>
      </w:r>
      <w:r>
        <w:t>. La excepción del castigo penal sigue en el texto.</w:t>
      </w:r>
    </w:p>
    <w:p>
      <w:pPr>
        <w:pStyle w:val="ListBullet"/>
      </w:pPr>
      <w:r>
        <w:t>«Queda declarada extinguida, desde la fecha de esta ley, la esclavitud en Brasil»</w:t>
      </w:r>
      <w:r>
        <w:t xml:space="preserve"> [original: «E’ declarada extincta, desde a data desta Lei, a escravidão no Brazil», así en el texto oficial]</w:t>
      </w:r>
      <w:r>
        <w:t xml:space="preserve"> (Ley Áurea, 13 de mayo de 1888, art. 1)</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t xml:space="preserve"> (Slavery Abolition Act, de 28 de agosto de 1833, secciones XII y XXIV)</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t xml:space="preserve"> (decretos de 16 pluvioso del año II y de 27 de abril de 1848; ley de 30 floreal del año X)</w:t>
      </w:r>
      <w:r>
        <w:t>.</w:t>
      </w:r>
    </w:p>
    <w:p>
      <w:pPr>
        <w:pStyle w:val="ListBullet"/>
      </w:pPr>
      <w:r>
        <w:t>España: «Queda abolida para siempre la esclavitud en la isla de Puerto-Rico»</w:t>
      </w:r>
      <w:r>
        <w:t xml:space="preserve"> (Ley de 22 de marzo de 1873, art. 1)</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t xml:space="preserve"> (Código Penal, art. 607 bis)</w:t>
      </w:r>
      <w:r>
        <w:t>.</w:t>
      </w:r>
    </w:p>
    <w:p>
      <w:r>
        <w:t>[07.00-11.1 a 11.11; Enmienda XIII y Ley Áurea leídas en su texto oficial; las leyes del Reino Unido, Francia, Puerto Rico y Cuba y el Código Penal, leídos el 5-oct; la Biblioteca decía que España la abolió en Cuba en 1886 y en la Península el 23 de mayo de 1837, fecha que no aparece en la Gaceta]</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r>
        <w:rPr>
          <w:b/>
        </w:rPr>
        <w:t>Los órdenes de costumbre.</w:t>
      </w:r>
      <w:r>
        <w:t xml:space="preserve"> La pieza 07.00 reúne también órdenes de costumbre de pueblos sin contacto documentado entre sí: los inuit, los pueblos de las llanuras, los mexicas, el derecho </w:t>
      </w:r>
      <w:r>
        <w:rPr>
          <w:i/>
        </w:rPr>
        <w:t>brehon</w:t>
      </w:r>
      <w:r>
        <w:t xml:space="preserve"> irlandés, el </w:t>
      </w:r>
      <w:r>
        <w:rPr>
          <w:i/>
        </w:rPr>
        <w:t>xeer</w:t>
      </w:r>
      <w:r>
        <w:t xml:space="preserve"> somalí, los incas, los aborígenes australianos, el Althing islandés y los maoríes. Leídos en su fuente, están en el </w:t>
      </w:r>
      <w:r>
        <w:t>anexo F</w:t>
      </w:r>
      <w:r>
        <w:t xml:space="preserve"> (</w:t>
      </w:r>
      <w:r>
        <w:t>F.7</w:t>
      </w:r>
      <w:r>
        <w:t xml:space="preserve">). </w:t>
      </w:r>
      <w:r>
        <w:t>[07.00-2.1 a 10.1]</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r>
        <w:t>[archivo del Arca; libreta 64; 00.0-4.1]</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t xml:space="preserve"> [original: «天之生民，非為君也；天之立君，以為民也»]</w:t>
      </w:r>
      <w:r>
        <w:t xml:space="preserve"> (Xunzi, 大略)</w:t>
      </w:r>
      <w:r>
        <w:t>. Y Mencio: «El pueblo es lo más valioso; los altares del Estado le siguen; el gobernante es lo de menos», y «si un señor pone en peligro los altares del Estado, se le sustituye»</w:t>
      </w:r>
      <w:r>
        <w:t xml:space="preserve"> [original: «民為貴，社稷次之，君為輕»; «諸侯危社稷，則變置»]</w:t>
      </w:r>
      <w:r>
        <w:t xml:space="preserve"> (Mencio 7B14)</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b/>
        </w:rPr>
        <w:t>Mesopotamia:</w:t>
      </w:r>
      <w:r>
        <w:t xml:space="preserve"> los dioses llamaron a Hammurabi para implantar la justicia «para que el fuerte no dañe al débil»</w:t>
      </w:r>
      <w:r>
        <w:t xml:space="preserve"> [original: «so that the strong should not harm the weak», en la traducción de King]</w:t>
      </w:r>
      <w:r>
        <w:t xml:space="preserve"> (Código de Hammurabi, prólogo)</w:t>
      </w:r>
      <w:r>
        <w:t>.</w:t>
      </w:r>
    </w:p>
    <w:p>
      <w:pPr>
        <w:pStyle w:val="ListBullet"/>
      </w:pPr>
      <w:r>
        <w:rPr>
          <w:b/>
        </w:rPr>
        <w:t>América:</w:t>
      </w:r>
      <w:r>
        <w:t xml:space="preserve"> si un señor de la Confederación iroquesa no tiene en mente el bien del pueblo, se le amonesta tres veces y, si persiste, se le despoja de su título</w:t>
      </w:r>
      <w:r>
        <w:t xml:space="preserve"> [original: «has not in mind the welfare of the people»; «divest the erring Lord of his title», en la traducción de Parker]</w:t>
      </w:r>
      <w:r>
        <w:t xml:space="preserve"> (Gran Ley de la Paz, art. 19)</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t xml:space="preserve"> (P. G. Ramsden, «Haudenosaunee (Iroquois)», The Canadian Encyclopedia, ed. de 15-V-2024; fuente secundaria)</w:t>
      </w:r>
      <w:r>
        <w:t>; Britannica la sitúa entre 1570 y 1600</w:t>
      </w:r>
      <w:r>
        <w:t xml:space="preserve"> (Encyclopaedia Britannica, «Iroquois Confederacy»; fuente secundaria)</w:t>
      </w:r>
      <w:r>
        <w:t>. Se transmitió de palabra, con cinturones de wampum que servían para recordar cada ley, y los iroqueses no intentaron ponerla por escrito hasta hace poco: «Hasta hace poco los iroqueses no han intentado poner su código por escrito»</w:t>
      </w:r>
      <w:r>
        <w:t xml:space="preserve"> [original: «Not until recently have the Iroquois attempted to put their code in written form»]</w:t>
      </w:r>
      <w:r>
        <w:t xml:space="preserve"> (A. C. Parker, The Constitution of the Five Nations, Albany, 1916, introducción)</w:t>
      </w:r>
      <w:r>
        <w:t>. La versión que aquí se cita es la de Parker, de 1916. La fecha del papel no prueba la del contenido.</w:t>
      </w:r>
    </w:p>
    <w:p>
      <w:pPr>
        <w:pStyle w:val="ListBullet"/>
      </w:pPr>
      <w:r>
        <w:t>Y además: el rey que no protege a sus súbditos «es un rey muerto y no vivo»</w:t>
      </w:r>
      <w:r>
        <w:t xml:space="preserve"> [original: «mṛtaḥ sa na tu jīvati»; Bühler: «is a dead and not a living (king)»]</w:t>
      </w:r>
      <w:r>
        <w:t xml:space="preserve"> (Leyes de Manu VII, 143); «no son verdaderas leyes» las que no se dan en interés de todo el Estado</w:t>
      </w:r>
      <w:r>
        <w:t xml:space="preserve"> [original: «laws are true laws unless they are enacted in the interest of the common weal of the whole State», en la traducción de Bury]</w:t>
      </w:r>
      <w:r>
        <w:t>, y los magistrados son «servidores de la ley»</w:t>
      </w:r>
      <w:r>
        <w:t xml:space="preserve"> [original: «the magistrates are servants to the law», en la traducción de Bury]</w:t>
      </w:r>
      <w:r>
        <w:t xml:space="preserve"> (Platón, Leyes IV, 715b y 715d); Gamliel, al dar autoridad a dos sabios: «¿creéis que os doy autoridad? Servidumbre os doy»</w:t>
      </w:r>
      <w:r>
        <w:t xml:space="preserve"> [original: «עַבְדוּת אֲנִי נוֹתֵן לָכֶם»]</w:t>
      </w:r>
      <w:r>
        <w:t xml:space="preserve"> (Talmud, Horayot 10b); la administración del Estado, como una tutela, se ejerce en provecho de los que están confiados a ella (Cicerón, De officiis I, 85); el primer gobernante, el «Elegido del Pueblo» (Digha Nikaya 27); es deber del rey procurar el bien del pueblo llano, porque este constituye el cuerpo político (Malo, Antigüedades hawaianas XXXVIII, 67).</w:t>
      </w:r>
    </w:p>
    <w:p>
      <w:pPr>
        <w:pStyle w:val="ListBullet"/>
      </w:pPr>
      <w:r>
        <w:rPr>
          <w:b/>
        </w:rPr>
        <w:t>La pata coja:</w:t>
      </w:r>
      <w:r>
        <w:t xml:space="preserve"> «pueblo débil, Estado fuerte; pueblo fuerte, Estado débil»</w:t>
      </w:r>
      <w:r>
        <w:t xml:space="preserve"> [original: «民弱國強，民強國弱»]</w:t>
      </w:r>
      <w:r>
        <w:t xml:space="preserve"> (Libro del señor Shang, 弱民)</w:t>
      </w:r>
      <w:r>
        <w:t>. Y el rey, aunque sea un niño, «es una gran deidad en forma humana»</w:t>
      </w:r>
      <w:r>
        <w:t xml:space="preserve"> [original: «is a great deity in human form», en la traducción de Bühler]</w:t>
      </w:r>
      <w:r>
        <w:t xml:space="preserve"> (Leyes de Manu VII, 8)</w:t>
      </w:r>
      <w:r>
        <w:t>.</w:t>
      </w:r>
    </w:p>
    <w:p>
      <w:r>
        <w:t>[archivo del Arca, bloques de China, Antiguo Oriente, India y África-América-Oceanía; libreta 64, P1]</w:t>
      </w:r>
    </w:p>
    <w:p>
      <w:pPr>
        <w:pStyle w:val="Heading3"/>
      </w:pPr>
      <w:r>
        <w:t>P2. Impuestos moderados</w:t>
      </w:r>
    </w:p>
    <w:p>
      <w:pPr>
        <w:pStyle w:val="ListBullet"/>
      </w:pPr>
      <w:r>
        <w:rPr>
          <w:b/>
        </w:rPr>
        <w:t>China:</w:t>
      </w:r>
      <w:r>
        <w:t xml:space="preserve"> «El pueblo pasa hambre porque los de arriba consumen demasiados impuestos»</w:t>
      </w:r>
      <w:r>
        <w:t xml:space="preserve"> [original: «民之饑，以其上食稅之多，是以饑»]</w:t>
      </w:r>
      <w:r>
        <w:t xml:space="preserve"> (Daodejing 75)</w:t>
      </w:r>
      <w:r>
        <w:t>.</w:t>
      </w:r>
    </w:p>
    <w:p>
      <w:pPr>
        <w:pStyle w:val="ListBullet"/>
      </w:pPr>
      <w:r>
        <w:rPr>
          <w:b/>
        </w:rPr>
        <w:t>Israel:</w:t>
      </w:r>
      <w:r>
        <w:t xml:space="preserve"> el profeta advierte de lo que hará el rey: «El diezmará vuestras simientes y vuestras viñas […] Diezmará también vuestro rebaño, y seréis sus siervos»</w:t>
      </w:r>
      <w:r>
        <w:t xml:space="preserve"> (1 Sam 8:15-17)</w:t>
      </w:r>
      <w:r>
        <w:t>. Un diezmo ya se describía como servidumbre. Y cuando Roboam respondió al pueblo: «Mi padre agravó vuestro yugo, pero yo añadiré á vuestro yugo», el reino se dividió</w:t>
      </w:r>
      <w:r>
        <w:t xml:space="preserve"> (1 R 12:14-16)</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t xml:space="preserve"> [original: «mālākāropamo rājan bhava»]</w:t>
      </w:r>
      <w:r>
        <w:t xml:space="preserve"> (Mahabharata 12.72)</w:t>
      </w:r>
      <w:r>
        <w:t>.</w:t>
      </w:r>
    </w:p>
    <w:p>
      <w:pPr>
        <w:pStyle w:val="ListBullet"/>
      </w:pPr>
      <w:r>
        <w:rPr>
          <w:b/>
        </w:rPr>
        <w:t>Grecia:</w:t>
      </w:r>
      <w:r>
        <w:t xml:space="preserve"> «es un recurso de la tiranía empobrecer a los súbditos»</w:t>
      </w:r>
      <w:r>
        <w:t xml:space="preserve"> [original: «it is a device of tyranny to make the subjects poor», en la traducción inglesa]</w:t>
      </w:r>
      <w:r>
        <w:t xml:space="preserve"> (Aristóteles, Política V, 1313b)</w:t>
      </w:r>
      <w:r>
        <w:t>.</w:t>
      </w:r>
    </w:p>
    <w:p>
      <w:pPr>
        <w:pStyle w:val="ListBullet"/>
      </w:pPr>
      <w:r>
        <w:t>Y además: gobernar con humanidad es «ser parco en castigos y multas, y aligerar impuestos y tributos»</w:t>
      </w:r>
      <w:r>
        <w:t xml:space="preserve"> [original: «省刑罰，薄稅斂»; Legge: «being sparing in the use of punishments and fines, and making the taxes and levies light»]</w:t>
      </w:r>
      <w:r>
        <w:t xml:space="preserve"> (Mencio 1A5); el rey tomará impuestos anuales moderados, poco a poco, como la abeja (Leyes de Manu VII, 129); subir impuestos a un pueblo oprimido «no es cumplir su deber»</w:t>
      </w:r>
      <w:r>
        <w:t xml:space="preserve"> [original: «if the king were to extract more taxes while his realm is thus harried and oppressed, he would not be doing his duty», en la traducción de Sujato]</w:t>
      </w:r>
      <w:r>
        <w:t>, y el rey debe dar medios para que el pueblo prospere (Kutadanta Sutta, Digha Nikaya 5); si el pueblo tiene bastante, ¿con quién le va a faltar al señor? (Analectas 12.9); el dinero de la caja de los aduaneros sin tasa fija se presume robado (Mishná y Talmud, Bava Kamma 10:1 y 113a); los tributos de los incas «eran tan moderados» (Garcilaso, Comentarios reales V, 15; Garcilaso idealiza); «mirad que no gastéis con profanidad los sudores y trabajos de vuestros vasallos» (Sahagún VI, 10).</w:t>
      </w:r>
    </w:p>
    <w:p>
      <w:pPr>
        <w:pStyle w:val="ListBullet"/>
      </w:pPr>
      <w:r>
        <w:rPr>
          <w:b/>
        </w:rPr>
        <w:t>La pata coja:</w:t>
      </w:r>
      <w:r>
        <w:t xml:space="preserve"> subir la carga poco a poco, «como quien va aumentando poco a poco la carga de un novillo»</w:t>
      </w:r>
      <w:r>
        <w:t xml:space="preserve"> [original: «damayann iva damyānāṃ śaśvad bhāraṃ pravardhayet», edición crítica de Pune]</w:t>
      </w:r>
      <w:r>
        <w:t>, y sembrar la división entre el pueblo que soporta las cargas</w:t>
      </w:r>
      <w:r>
        <w:t xml:space="preserve"> (Mahabharata 12.89)</w:t>
      </w:r>
      <w:r>
        <w:t>; y el Arthashastra enseña a llenar el tesoro pidiendo contribuciones con falsos pretextos</w:t>
      </w:r>
      <w:r>
        <w:t xml:space="preserve"> (Arthashastra 5.2)</w:t>
      </w:r>
      <w:r>
        <w:t xml:space="preserve">. </w:t>
      </w:r>
      <w:r>
        <w:rPr>
          <w:b/>
        </w:rPr>
        <w:t>Un matiz:</w:t>
      </w:r>
      <w:r>
        <w:t xml:space="preserve"> Mencio rechaza también el impuesto demasiado bajo; el principio es la medida justa, no «cuanto menos, mejor».</w:t>
      </w:r>
    </w:p>
    <w:p>
      <w:r>
        <w:t>[archivo del Arca; libreta 64, P2]</w:t>
      </w:r>
    </w:p>
    <w:p>
      <w:pPr>
        <w:pStyle w:val="Heading3"/>
      </w:pPr>
      <w:r>
        <w:t>P3. No quitar al pueblo su tiempo</w:t>
      </w:r>
    </w:p>
    <w:p>
      <w:pPr>
        <w:pStyle w:val="ListBullet"/>
      </w:pPr>
      <w:r>
        <w:rPr>
          <w:b/>
        </w:rPr>
        <w:t>China:</w:t>
      </w:r>
      <w:r>
        <w:t xml:space="preserve"> «ellos roban al pueblo su tiempo, de modo que no puede arar para alimentar a sus padres»</w:t>
      </w:r>
      <w:r>
        <w:t xml:space="preserve"> [original: «彼奪其民時，使不得耕耨以養其父母»]</w:t>
      </w:r>
      <w:r>
        <w:t xml:space="preserve"> (Mencio 1A5)</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t xml:space="preserve"> (Dt 5:14)</w:t>
      </w:r>
      <w:r>
        <w:t>.</w:t>
      </w:r>
    </w:p>
    <w:p>
      <w:pPr>
        <w:pStyle w:val="ListBullet"/>
      </w:pPr>
      <w:r>
        <w:rPr>
          <w:b/>
        </w:rPr>
        <w:t>Egipto:</w:t>
      </w:r>
      <w:r>
        <w:t xml:space="preserve"> «es aborrecible para el alma que se le quite su tiempo [de sosiego]»</w:t>
      </w:r>
      <w:r>
        <w:t xml:space="preserve"> [original: «it is abhorred of the soul, that its time [of ease] be taken away»]</w:t>
      </w:r>
      <w:r>
        <w:t xml:space="preserve"> (Ptahhotep, máxima 11)</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tradición rabínica:</w:t>
      </w:r>
      <w:r>
        <w:t xml:space="preserve"> el jornalero puede retirarse aun a mitad de jornada, porque los hijos de Israel son siervos de Dios, «y no siervos de siervos»</w:t>
      </w:r>
      <w:r>
        <w:t xml:space="preserve"> [original: «וְלֹא עֲבָדִים לַעֲבָדִים»]</w:t>
      </w:r>
      <w:r>
        <w:t xml:space="preserve"> (Talmud, Bava Metsiá 10a)</w:t>
      </w:r>
      <w:r>
        <w:t>.</w:t>
      </w:r>
    </w:p>
    <w:p>
      <w:pPr>
        <w:pStyle w:val="ListBullet"/>
      </w:pPr>
      <w:r>
        <w:rPr>
          <w:b/>
        </w:rPr>
        <w:t>La medida de la tradición:</w:t>
      </w:r>
      <w:r>
        <w:t xml:space="preserve"> las Leyes de Manu fijan para el artesano y el trabajador manual un día al mes de trabajo para el rey</w:t>
      </w:r>
      <w:r>
        <w:t xml:space="preserve"> (Leyes de Manu VII, 138)</w:t>
      </w:r>
      <w:r>
        <w:t xml:space="preserve">. Lo que hoy se lleva de cada jornada se mide en </w:t>
      </w:r>
      <w:r>
        <w:t>8.3</w:t>
      </w:r>
      <w:r>
        <w:t>.</w:t>
      </w:r>
    </w:p>
    <w:p>
      <w:pPr>
        <w:pStyle w:val="ListBullet"/>
      </w:pPr>
      <w:r>
        <w:t>Y además: emplear al pueblo en la estación debida (Analectas 1.5); uno de los tres males del pueblo es que «el que trabaja no descansa»</w:t>
      </w:r>
      <w:r>
        <w:t xml:space="preserve"> [original: «勞者不得息»]</w:t>
      </w:r>
      <w:r>
        <w:t xml:space="preserve"> (Mozi, 非樂上); el amo debe dar a sus trabajadores descanso a su debido tiempo (Digha Nikaya 31); la tiranía mantiene al pueblo ocupado, como con las pirámides (Aristóteles, Política V, 1313b); la ley inca mandaba que cada uno trabajara «lo que le pertenecía y no más» (Garcilaso V, 11).</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t xml:space="preserve"> (Garcilaso V, 11)</w:t>
      </w:r>
      <w:r>
        <w:t>.</w:t>
      </w:r>
    </w:p>
    <w:p>
      <w:r>
        <w:t>[archivo del Arca; libreta 64, P3; 00.0-4.4, la cifra de hoy pasa a 8.3]</w:t>
      </w:r>
    </w:p>
    <w:p>
      <w:pPr>
        <w:pStyle w:val="Heading3"/>
      </w:pPr>
      <w:r>
        <w:t>P4. Pesas y medidas justas</w:t>
      </w:r>
    </w:p>
    <w:p>
      <w:pPr>
        <w:pStyle w:val="ListBullet"/>
      </w:pPr>
      <w:r>
        <w:rPr>
          <w:b/>
        </w:rPr>
        <w:t>Egipto,</w:t>
      </w:r>
      <w:r>
        <w:t xml:space="preserve"> ante el tribunal de Maat: «no he disminuido la medida de grano […] no he añadido pesos a la balanza»</w:t>
      </w:r>
      <w:r>
        <w:t xml:space="preserve"> [original: «I have not diminished from the bushel […] I have not added to the weights of the scales», en la traducción de Budge]</w:t>
      </w:r>
      <w:r>
        <w:t xml:space="preserve"> (Libro de los Muertos, cap. 125)</w:t>
      </w:r>
      <w:r>
        <w:t>.</w:t>
      </w:r>
    </w:p>
    <w:p>
      <w:pPr>
        <w:pStyle w:val="ListBullet"/>
      </w:pPr>
      <w:r>
        <w:rPr>
          <w:b/>
        </w:rPr>
        <w:t>Israel:</w:t>
      </w:r>
      <w:r>
        <w:t xml:space="preserve"> «Balanzas justas, pesas justas, epha justo, é hin justo tendréis»</w:t>
      </w:r>
      <w:r>
        <w:t xml:space="preserve"> (Lv 19:36)</w:t>
      </w:r>
      <w:r>
        <w:t>. «El peso falso abominación es á Jehová: Mas la pesa cabal le agrada»</w:t>
      </w:r>
      <w:r>
        <w:t xml:space="preserve"> (Pr 11:1)</w:t>
      </w:r>
      <w:r>
        <w:t>.</w:t>
      </w:r>
    </w:p>
    <w:p>
      <w:pPr>
        <w:pStyle w:val="ListBullet"/>
      </w:pPr>
      <w:r>
        <w:rPr>
          <w:b/>
        </w:rPr>
        <w:t>El islam:</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b/>
        </w:rPr>
        <w:t>China:</w:t>
      </w:r>
      <w:r>
        <w:t xml:space="preserve"> cuidar las pesas y medidas y examinar las leyes, la primera tarea del buen gobierno</w:t>
      </w:r>
      <w:r>
        <w:t xml:space="preserve"> [original: «謹權量，審法度»]</w:t>
      </w:r>
      <w:r>
        <w:t xml:space="preserve"> (Analectas 20.1)</w:t>
      </w:r>
      <w:r>
        <w:t xml:space="preserve">. </w:t>
      </w:r>
      <w:r>
        <w:rPr>
          <w:b/>
        </w:rPr>
        <w:t>Aviso:</w:t>
      </w:r>
      <w:r>
        <w:t xml:space="preserve"> está en el libro 20, que una tesis tradicional de la crítica china (la de Cui Shu, de la dinastía Qing) tiene por mucho más tardío que el resto de las Analectas (referencia hallada en Wikipedia, sin leer en su fuente).</w:t>
      </w:r>
    </w:p>
    <w:p>
      <w:pPr>
        <w:pStyle w:val="ListBullet"/>
      </w:pPr>
      <w:r>
        <w:rPr>
          <w:b/>
        </w:rPr>
        <w:t>China, otros textos sobre lo mismo:</w:t>
      </w:r>
      <w:r>
        <w:t xml:space="preserve"> el Canon de Shun, del Libro de los Documentos, cuenta que Shun «uniformó los tubos patrón, con las medidas de longitud y de capacidad, y las romanas»</w:t>
      </w:r>
      <w:r>
        <w:t xml:space="preserve"> [original: «協時月正日，同律度量衡»; «he made uniform the standard-tubes, with the measures of length and of capacity, and the steelyards», en la traducción de Legge]</w:t>
      </w:r>
      <w:r>
        <w:t xml:space="preserve"> (Shujing, Canon de Shun, trad. de Legge, SBE 3, parte II, libro I, §3)</w:t>
      </w:r>
      <w:r>
        <w:t>; y el Libro de los Ritos manda que, al igualarse el día y la noche, «uniformen las medidas de longitud y de capacidad; igualen las romanas y sus pesas»</w:t>
      </w:r>
      <w:r>
        <w:t xml:space="preserve"> [original: «日夜分，則同度量，平權衡，正鈞石，角斗甬»; «At the equinox, they make uniform the measures of length and capacity; equalise the steelyards and their weights», en la traducción de Legge]</w:t>
      </w:r>
      <w:r>
        <w:t xml:space="preserve"> (Liji, Yueling, trad. de Legge, SBE 27, libro IV, sección III, parte II, §16)</w:t>
      </w:r>
      <w:r>
        <w:t>. Ninguna de las dos fechas está cerrada: según Legge, el Yueling se tomó de la obra de Lü Buwei, que murió el 237 a. C.</w:t>
      </w:r>
      <w:r>
        <w:t xml:space="preserve"> (Legge, The Li Ki, 1885, introducción, «Book IV. Yueh Ling»)</w:t>
      </w:r>
      <w:r>
        <w:t>, y la parte «moderna» del Libro de los Documentos, a la que pertenece el Canon de Shun, es para Britannica «del siglo IV a. C. o anterior»</w:t>
      </w:r>
      <w:r>
        <w:t xml:space="preserve"> (Encyclopaedia Britannica, «Shujing»; fuente secundaria)</w:t>
      </w:r>
      <w:r>
        <w:t>. No se puede probar que ninguno de los tres textos chinos sea más antiguo que los otros.</w:t>
      </w:r>
    </w:p>
    <w:p>
      <w:pPr>
        <w:pStyle w:val="ListBullet"/>
      </w:pPr>
      <w:r>
        <w:rPr>
          <w:b/>
        </w:rPr>
        <w:t>Mesopotamia:</w:t>
      </w:r>
      <w:r>
        <w:t xml:space="preserve"> el rey Ur-Namma: «fabriqué una medida real justa»</w:t>
      </w:r>
      <w:r>
        <w:t xml:space="preserve"> [original: «A just royal ban2 I fashioned»]</w:t>
      </w:r>
      <w:r>
        <w:t xml:space="preserve"> (Código de Ur-Namma, línea 140)</w:t>
      </w:r>
      <w:r>
        <w:t>.</w:t>
      </w:r>
    </w:p>
    <w:p>
      <w:pPr>
        <w:pStyle w:val="ListBullet"/>
      </w:pPr>
      <w:r>
        <w:t>Y además: las pesas y medidas se revisarán cada seis meses (Leyes de Manu VIII, 403); el tendero limpia la balanza en cada pesada (Mishná, Bava Batra 5:10); el asceta Gotama se abstiene de falsear pesas, metales o medidas (Digha Nikaya 1); en el mercado de Tenochtitlan unos oficiales vigilaban las medidas, «y se ha visto quebrar alguna que estaba falsa» (Hernán Cortés, Segunda carta).</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t xml:space="preserve"> (Arthashastra 2.6)</w:t>
      </w:r>
      <w:r>
        <w:t>.</w:t>
      </w:r>
    </w:p>
    <w:p>
      <w:pPr>
        <w:pStyle w:val="ListBullet"/>
      </w:pPr>
      <w:r>
        <w:rPr>
          <w:b/>
        </w:rPr>
        <w:t>Lectura del autor:</w:t>
      </w:r>
      <w:r>
        <w:t xml:space="preserve"> la medida de hoy es el dinero. Si pierde valor, es una pesa que se aligera. Se mide con datos en </w:t>
      </w:r>
      <w:r>
        <w:t>8.1</w:t>
      </w:r>
      <w:r>
        <w:t>.</w:t>
      </w:r>
    </w:p>
    <w:p>
      <w:r>
        <w:t>[archivo del Arca; libreta 64, P4]</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t xml:space="preserve"> (Corán 4:58, traducción de Julio Cortés)</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t xml:space="preserve"> (Ex 22:7-8)</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t xml:space="preserve"> [original: «In whatever manner a person shall deposit anything in the hands of another, in the same manner ought the same thing to be received back», en la traducción de Bühler]</w:t>
      </w:r>
      <w:r>
        <w:t xml:space="preserve"> (Leyes de Manu VIII, 180)</w:t>
      </w:r>
      <w:r>
        <w:t>.</w:t>
      </w:r>
    </w:p>
    <w:p>
      <w:pPr>
        <w:pStyle w:val="ListBullet"/>
      </w:pPr>
      <w:r>
        <w:rPr>
          <w:b/>
        </w:rPr>
        <w:t>Persia:</w:t>
      </w:r>
      <w:r>
        <w:t xml:space="preserve"> «quien no devuelve un préstamo a quien se lo prestó roba la cosa y despoja al hombre»</w:t>
      </w:r>
      <w:r>
        <w:t xml:space="preserve"> [original: «He that does not restore a loan to the man who lent it, steals the thing and robs the man», en la traducción de Darmesteter]</w:t>
      </w:r>
      <w:r>
        <w:t xml:space="preserve"> (Avesta, Vendidad 4.1)</w:t>
      </w:r>
      <w:r>
        <w:t>.</w:t>
      </w:r>
    </w:p>
    <w:p>
      <w:pPr>
        <w:pStyle w:val="ListBullet"/>
      </w:pPr>
      <w:r>
        <w:rPr>
          <w:b/>
        </w:rPr>
        <w:t>Mesopotamia:</w:t>
      </w:r>
      <w:r>
        <w:t xml:space="preserve"> quien niega lo recibido en custodia ante testigo «pagará íntegro todo lo que negó»</w:t>
      </w:r>
      <w:r>
        <w:t xml:space="preserve"> [original: «all that he has denied he shall pay in full»]</w:t>
      </w:r>
      <w:r>
        <w:t xml:space="preserve"> (Código de Hammurabi §124)</w:t>
      </w:r>
      <w:r>
        <w:t>.</w:t>
      </w:r>
    </w:p>
    <w:p>
      <w:pPr>
        <w:pStyle w:val="ListBullet"/>
      </w:pPr>
      <w:r>
        <w:t xml:space="preserve">Qué ha pasado con un depósito de todos, la hucha de las pensiones, se examina en </w:t>
      </w:r>
      <w:r>
        <w:t>8.6</w:t>
      </w:r>
      <w:r>
        <w:t>.</w:t>
      </w:r>
    </w:p>
    <w:p>
      <w:pPr>
        <w:pStyle w:val="ListBullet"/>
      </w:pPr>
      <w:r>
        <w:t>Y además: «¡No traicionéis, a sabiendas, la confianza puesta en vosotros!» (Corán 8:27); quien robó aunque sea la moneda mínima debe devolverla «aunque sea hasta Media»</w:t>
      </w:r>
      <w:r>
        <w:t xml:space="preserve"> [original: «אֲפִלּוּ לְמָדַי»]</w:t>
      </w:r>
      <w:r>
        <w:t xml:space="preserve"> (Mishná, Bava Kamma 9:5); «el fundamento de la justicia es la buena fe»</w:t>
      </w:r>
      <w:r>
        <w:t xml:space="preserve"> [original: «fundamentum autem est iustitiae fides»]</w:t>
      </w:r>
      <w:r>
        <w:t>, la fidelidad a lo dicho y lo convenido (Cicerón, De officiis I, 23); apropiarse de lo confiado a su custodia es una falta contra el voto de veracidad (Tattvartha Sutra 7.21).</w:t>
      </w:r>
    </w:p>
    <w:p>
      <w:pPr>
        <w:pStyle w:val="ListBullet"/>
      </w:pPr>
      <w:r>
        <w:rPr>
          <w:b/>
        </w:rPr>
        <w:t>La pata coja:</w:t>
      </w:r>
      <w:r>
        <w:t xml:space="preserve"> el Arthashastra enseña a un espía a reunir depósitos y préstamos para después «hacerse robar la suma»</w:t>
      </w:r>
      <w:r>
        <w:t xml:space="preserve"> (Arthashastra 5.2)</w:t>
      </w:r>
      <w:r>
        <w:t>. Y Cicerón admite un caso en que devolver el depósito deja de ser justo: si quien lo pide ha enloquecido</w:t>
      </w:r>
      <w:r>
        <w:t xml:space="preserve"> (De officiis I, 31)</w:t>
      </w:r>
      <w:r>
        <w:t>.</w:t>
      </w:r>
    </w:p>
    <w:p>
      <w:r>
        <w:t>[archivo del Arca; libreta 64, P5; 00.0-4.6, la hucha pasa a 8.6]</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t xml:space="preserve"> (Dt 24:16)</w:t>
      </w:r>
      <w:r>
        <w:t>.</w:t>
      </w:r>
    </w:p>
    <w:p>
      <w:pPr>
        <w:pStyle w:val="ListBullet"/>
      </w:pPr>
      <w:r>
        <w:rPr>
          <w:b/>
        </w:rPr>
        <w:t>El islam:</w:t>
      </w:r>
      <w:r>
        <w:t xml:space="preserve"> «Nadie cargará con la carga ajena»</w:t>
      </w:r>
      <w:r>
        <w:t xml:space="preserve"> (Corán 6:164)</w:t>
      </w:r>
      <w:r>
        <w:t>. Y: «Si un malvado os trae una noticia, examinadla bien, no sea que lastiméis a gente por ignorancia»</w:t>
      </w:r>
      <w:r>
        <w:t xml:space="preserve"> (Corán 49:6)</w:t>
      </w:r>
      <w:r>
        <w:t>.</w:t>
      </w:r>
    </w:p>
    <w:p>
      <w:pPr>
        <w:pStyle w:val="ListBullet"/>
      </w:pPr>
      <w:r>
        <w:rPr>
          <w:b/>
        </w:rPr>
        <w:t>China:</w:t>
      </w:r>
      <w:r>
        <w:t xml:space="preserve"> aun cuando todo el pueblo diga que alguien merece la muerte, entonces hay que examinarlo</w:t>
      </w:r>
      <w:r>
        <w:t xml:space="preserve"> [original: «國人皆曰可殺，然後察之»]</w:t>
      </w:r>
      <w:r>
        <w:t xml:space="preserve"> (Mencio 1B7)</w:t>
      </w:r>
      <w:r>
        <w:t>. Y: «padres, hijos y hermanos: sus delitos no se alcanzan unos a otros»</w:t>
      </w:r>
      <w:r>
        <w:t xml:space="preserve"> [original: «父子兄弟．罪不相及»]</w:t>
      </w:r>
      <w:r>
        <w:t xml:space="preserve"> (Comentario de Zuo, duque Zhao)</w:t>
      </w:r>
      <w:r>
        <w:t>.</w:t>
      </w:r>
    </w:p>
    <w:p>
      <w:pPr>
        <w:pStyle w:val="ListBullet"/>
      </w:pPr>
      <w:r>
        <w:rPr>
          <w:b/>
        </w:rPr>
        <w:t>Grecia:</w:t>
      </w:r>
      <w:r>
        <w:t xml:space="preserve"> «la deshonra o el castigo del padre no recaerán sobre sus hijos»</w:t>
      </w:r>
      <w:r>
        <w:t xml:space="preserve"> [original: «the disgrace or punishment inflicted on a father shall not descend upon his children»]</w:t>
      </w:r>
      <w:r>
        <w:t xml:space="preserve"> (Platón, Leyes IX, 856c)</w:t>
      </w:r>
      <w:r>
        <w:t>.</w:t>
      </w:r>
    </w:p>
    <w:p>
      <w:pPr>
        <w:pStyle w:val="ListBullet"/>
      </w:pPr>
      <w:r>
        <w:t>Y además: «interroga a fondo a los testigos»</w:t>
      </w:r>
      <w:r>
        <w:t xml:space="preserve"> [original: «הֱוֵי מַרְבֶּה לַחְקֹר אֶת הָעֵדִים»]</w:t>
      </w:r>
      <w:r>
        <w:t xml:space="preserve"> y «sed pausados en el juicio»</w:t>
      </w:r>
      <w:r>
        <w:t xml:space="preserve"> [original: «הֱווּ מְתוּנִים בַּדִּין»]</w:t>
      </w:r>
      <w:r>
        <w:t xml:space="preserve"> (Mishná, Avot 1:9 y 1:1); «la razón da tiempo a las dos partes»</w:t>
      </w:r>
      <w:r>
        <w:t xml:space="preserve"> [original: «ratio utrique parti tempus dat»]</w:t>
      </w:r>
      <w:r>
        <w:t xml:space="preserve"> (Séneca, De ira I, 18); «guárdate de castigar injustamente»</w:t>
      </w:r>
      <w:r>
        <w:t xml:space="preserve"> [original: «Take heed lest thou punish wrongfully», en la traducción de Erman y Blackman]</w:t>
      </w:r>
      <w:r>
        <w:t xml:space="preserve"> (Merikare); el juez examinará los testimonios (Hammurabi §9); impuesto sin la debida consideración, el castigo lo destruye todo (Leyes de Manu VII, 19); aunque se ejecutara al curaca culpable, al heredero no le quitaban el señorío (Garcilaso II, 13).</w:t>
      </w:r>
    </w:p>
    <w:p>
      <w:pPr>
        <w:pStyle w:val="ListBullet"/>
      </w:pPr>
      <w:r>
        <w:rPr>
          <w:b/>
        </w:rPr>
        <w:t>La pata coja:</w:t>
      </w:r>
      <w:r>
        <w:t xml:space="preserve"> si una casa mal hecha mata al hijo del dueño, «se dará muerte al hijo del constructor»</w:t>
      </w:r>
      <w:r>
        <w:t xml:space="preserve"> [original: «the son of that builder shall be put to death»]</w:t>
      </w:r>
      <w:r>
        <w:t xml:space="preserve"> (Código de Hammurabi §230, traducción inglesa de King)</w:t>
      </w:r>
      <w:r>
        <w:t>. El Libro del señor Shang pide «castigo duro y culpa compartida»</w:t>
      </w:r>
      <w:r>
        <w:t xml:space="preserve"> [original: «重刑而連其罪»]</w:t>
      </w:r>
      <w:r>
        <w:t xml:space="preserve"> (Libro del señor Shang, 墾令)</w:t>
      </w:r>
      <w:r>
        <w:t>. Y Séneca admite que, sin ira, la razón acabe con las familias dañinas para el Estado, «con sus mujeres e hijos»</w:t>
      </w:r>
      <w:r>
        <w:t xml:space="preserve"> [original: «cum coniugibus ac liberis»]</w:t>
      </w:r>
      <w:r>
        <w:t xml:space="preserve"> (De ira I, 19)</w:t>
      </w:r>
      <w:r>
        <w:t>.</w:t>
      </w:r>
    </w:p>
    <w:p>
      <w:r>
        <w:t>[archivo del Arca; libreta 64, P7]</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t xml:space="preserve"> (Lc 3:13)</w:t>
      </w:r>
      <w:r>
        <w:t>. Y «No recibirás presente; porque el presente ciega á los que ven, y pervierte las palabras justas»</w:t>
      </w:r>
      <w:r>
        <w:t xml:space="preserve"> (Ex 23:8)</w:t>
      </w:r>
      <w:r>
        <w:t>.</w:t>
      </w:r>
    </w:p>
    <w:p>
      <w:pPr>
        <w:pStyle w:val="ListBullet"/>
      </w:pPr>
      <w:r>
        <w:rPr>
          <w:b/>
        </w:rPr>
        <w:t>China:</w:t>
      </w:r>
      <w:r>
        <w:t xml:space="preserve"> gobernar con humanidad es ser «parco en castigos y multas»</w:t>
      </w:r>
      <w:r>
        <w:t xml:space="preserve"> [original: «省刑罰»; Legge: «being sparing in the use of punishments and fines»]</w:t>
      </w:r>
      <w:r>
        <w:t xml:space="preserve"> (Mencio 1A5)</w:t>
      </w:r>
      <w:r>
        <w:t>.</w:t>
      </w:r>
    </w:p>
    <w:p>
      <w:pPr>
        <w:pStyle w:val="ListBullet"/>
      </w:pPr>
      <w:r>
        <w:rPr>
          <w:b/>
        </w:rPr>
        <w:t>La tradición rabínica:</w:t>
      </w:r>
      <w:r>
        <w:t xml:space="preserve"> «quien cobra por juzgar, sus sentencias son nulas»</w:t>
      </w:r>
      <w:r>
        <w:t xml:space="preserve"> [original: «הַנּוֹטֵל שְׂכָרוֹ לָדוּן, דִּינָיו בְּטֵלִים»]</w:t>
      </w:r>
      <w:r>
        <w:t xml:space="preserve"> (Mishná, Bejorot 4:6)</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t xml:space="preserve"> (Garcilaso, Comentarios reales II, 13)</w:t>
      </w:r>
      <w:r>
        <w:t>.</w:t>
      </w:r>
    </w:p>
    <w:p>
      <w:pPr>
        <w:pStyle w:val="ListBullet"/>
      </w:pPr>
      <w:r>
        <w:rPr>
          <w:b/>
        </w:rPr>
        <w:t>Roma:</w:t>
      </w:r>
      <w:r>
        <w:t xml:space="preserve"> una ley se endureció «para aumentar el erario»</w:t>
      </w:r>
      <w:r>
        <w:t xml:space="preserve"> [original: «augendo aerario»]</w:t>
      </w:r>
      <w:r>
        <w:t>, con premios a los delatores, y arruinó muchas fortunas</w:t>
      </w:r>
      <w:r>
        <w:t xml:space="preserve"> (Tácito, Anales III, 25 y 28)</w:t>
      </w:r>
      <w:r>
        <w:t>. Es el texto más cercano a «el castigo como fuente de ingresos» de toda la búsqueda.</w:t>
      </w:r>
    </w:p>
    <w:p>
      <w:pPr>
        <w:pStyle w:val="ListBullet"/>
      </w:pPr>
      <w:r>
        <w:t>Y además: no por la confiscación, sino haciendo prosperar al pueblo (Kutadanta Sutta, Digha Nikaya 5); «enderezad vuestras sentencias, vosotros, devoradores de regalos»</w:t>
      </w:r>
      <w:r>
        <w:t xml:space="preserve"> [original: «ἰθύνετε †δίκας / δωροφάγοι»; Evelyn-White: «make straight your judgements, you who devour bribes»]</w:t>
      </w:r>
      <w:r>
        <w:t xml:space="preserve"> (Hesíodo, Trabajos y días 263-264); el rey virtuoso no tomará para sí los bienes del culpable (Leyes de Manu IX, 243); «No sobornéis con ella a los jueces» (Corán 2:188); los jueces que reciben dádivas «deben ser tenidos por ladrones» (Garcilaso VI, 36).</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t xml:space="preserve"> (Arthashastra 2.6)</w:t>
      </w:r>
      <w:r>
        <w:t>; entre los ashanti, las multas y tasas judiciales eran «otra fuente fructífera de ingresos»</w:t>
      </w:r>
      <w:r>
        <w:t xml:space="preserve"> [original: «another fruitful source of revenue»]</w:t>
      </w:r>
      <w:r>
        <w:t xml:space="preserve"> (Rattray, Ashanti Law and Constitution, cap. XIV)</w:t>
      </w:r>
      <w:r>
        <w:t>.</w:t>
      </w:r>
    </w:p>
    <w:p>
      <w:r>
        <w:t>[archivo del Arca; libreta 64, P8]</w:t>
      </w:r>
    </w:p>
    <w:p>
      <w:pPr>
        <w:pStyle w:val="Heading3"/>
      </w:pPr>
      <w:r>
        <w:t>P9. Más leyes, más pobreza</w:t>
      </w:r>
    </w:p>
    <w:p>
      <w:pPr>
        <w:pStyle w:val="ListBullet"/>
      </w:pPr>
      <w:r>
        <w:rPr>
          <w:b/>
        </w:rPr>
        <w:t>China:</w:t>
      </w:r>
      <w:r>
        <w:t xml:space="preserve"> «cuantas más prohibiciones, más pobre el pueblo; cuanto más se exhiben las leyes, más ladrones hay»</w:t>
      </w:r>
      <w:r>
        <w:t xml:space="preserve"> [original: «天下多忌諱，而民彌貧 […] 法令滋彰，盜賊多有»]</w:t>
      </w:r>
      <w:r>
        <w:t xml:space="preserve"> (Daodejing 57)</w:t>
      </w:r>
      <w:r>
        <w:t>. Y: «cuando un Estado va a perecer, multiplica sus reglamentos»</w:t>
      </w:r>
      <w:r>
        <w:t xml:space="preserve"> [original: «國將亡．必多制»]</w:t>
      </w:r>
      <w:r>
        <w:t xml:space="preserve"> (Comentario de Zuo, duque Zhao, año 6)</w:t>
      </w:r>
      <w:r>
        <w:t>.</w:t>
      </w:r>
    </w:p>
    <w:p>
      <w:pPr>
        <w:pStyle w:val="ListBullet"/>
      </w:pPr>
      <w:r>
        <w:rPr>
          <w:b/>
        </w:rPr>
        <w:t>Roma:</w:t>
      </w:r>
      <w:r>
        <w:t xml:space="preserve"> «cuanto más corrupto el Estado, más numerosas las leyes»</w:t>
      </w:r>
      <w:r>
        <w:t xml:space="preserve"> [original: «corruptissima re publica plurimae leges»]</w:t>
      </w:r>
      <w:r>
        <w:t xml:space="preserve"> (Tácito, Anales III, 27)</w:t>
      </w:r>
      <w:r>
        <w:t>.</w:t>
      </w:r>
    </w:p>
    <w:p>
      <w:pPr>
        <w:pStyle w:val="ListBullet"/>
      </w:pPr>
      <w:r>
        <w:rPr>
          <w:b/>
        </w:rPr>
        <w:t>La tradición rabínica:</w:t>
      </w:r>
      <w:r>
        <w:t xml:space="preserve"> «no se decreta una norma sobre la comunidad si la mayoría no puede cumplirla»</w:t>
      </w:r>
      <w:r>
        <w:t xml:space="preserve"> [original: «אֵין גּוֹזְרִין גְּזֵירָה עַל הַצִּבּוּר אֶלָּא אִם כֵּן רוֹב צִבּוּר יְכוֹלִין לַעֲמוֹד בָּהּ»]</w:t>
      </w:r>
      <w:r>
        <w:t xml:space="preserve"> (Talmud, Avodá Zará 36a)</w:t>
      </w:r>
      <w:r>
        <w:t>. Es la regla más directa de todas las tradiciones leídas.</w:t>
      </w:r>
    </w:p>
    <w:p>
      <w:pPr>
        <w:pStyle w:val="ListBullet"/>
      </w:pPr>
      <w:r>
        <w:rPr>
          <w:b/>
        </w:rPr>
        <w:t>Israel:</w:t>
      </w:r>
      <w:r>
        <w:t xml:space="preserve"> «atan cargas pesadas y difíciles de llevar, y las ponen sobre los hombros de los hombres; mas ni aun con su dedo las quieren mover»</w:t>
      </w:r>
      <w:r>
        <w:t xml:space="preserve"> (Mt 23:4)</w:t>
      </w:r>
      <w:r>
        <w:t>.</w:t>
      </w:r>
    </w:p>
    <w:p>
      <w:pPr>
        <w:pStyle w:val="ListBullet"/>
      </w:pPr>
      <w:r>
        <w:t>Y además: donde hay multitud de leyes particulares, es señal de que el Estado está mal gobernado (Isócrates, Areopagítico 40); los que se pasan la vida multiplicando leyes menudas y enmendándolas cortan cabezas a la hidra (Platón, República IV, 425e y 426e); «Alá no pide nada a nadie más allá de sus posibilidades» (Corán 2:286); al principio no había rey ni castigo, y todos se protegían unos a otros con rectitud (Mahabharata 12.59.14).</w:t>
      </w:r>
    </w:p>
    <w:p>
      <w:pPr>
        <w:pStyle w:val="ListBullet"/>
      </w:pPr>
      <w:r>
        <w:rPr>
          <w:b/>
        </w:rPr>
        <w:t>El matiz:</w:t>
      </w:r>
      <w:r>
        <w:t xml:space="preserve"> sin leyes, «todo dependía de la voluntad o el capricho del rey»</w:t>
      </w:r>
      <w:r>
        <w:t xml:space="preserve"> [original: «every thing went according to the will or whim of the king»]</w:t>
      </w:r>
      <w:r>
        <w:t xml:space="preserve"> (Malo, Antigüedades hawaianas XVIII, 38-39)</w:t>
      </w:r>
      <w:r>
        <w:t xml:space="preserve">. El principio es la medida justa de leyes, no su ausencia. Cuántas normas se publican hoy se examina en el </w:t>
      </w:r>
      <w:r>
        <w:t>cargo 8</w:t>
      </w:r>
      <w:r>
        <w:t>.</w:t>
      </w:r>
    </w:p>
    <w:p>
      <w:r>
        <w:t>[archivo del Arca; libreta 64, P9; 01.00-11.4]</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t xml:space="preserve"> [original: «miss the mark, esp. of spear thrown»]</w:t>
      </w:r>
      <w:r>
        <w:t xml:space="preserve"> (Liddell y Scott, Greek-English Lexicon, ἁμαρτάνω)</w:t>
      </w:r>
      <w:r>
        <w:t>;</w:t>
      </w:r>
    </w:p>
    <w:p>
      <w:pPr>
        <w:pStyle w:val="ListBullet"/>
      </w:pPr>
      <w:r>
        <w:t>en hebreo, de los honderos de Benjamín se dice que «tiraban una piedra con la honda á un cabello, y no erraban»</w:t>
      </w:r>
      <w:r>
        <w:t xml:space="preserve"> (Jue 20:16)</w:t>
      </w:r>
      <w:r>
        <w:t>, y ese «no erraban» es el verbo del pecado</w:t>
      </w:r>
      <w:r>
        <w:t xml:space="preserve"> [original: «וְלֹא יַחֲטִא»]</w:t>
      </w:r>
      <w:r>
        <w:t>.</w:t>
      </w:r>
    </w:p>
    <w:p>
      <w:r>
        <w:t>[07.00-18.1, 18.3 y 18.4; diccionario y hebreo leídos en su fuente; el sánscrito, en el anexo F (F.8); la fila budista y la japonesa, quitadas de la pieza el 5-oct]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t xml:space="preserve"> [original: «ur5-ra ti-la»; «e2-esz2-bi e-luh, ama-gi4-bi e-gar»; en la traducción del CDLI, «the one living in debt»; «their prison he cleared out, and their remission (of obligations) he established»]</w:t>
      </w:r>
      <w:r>
        <w:t xml:space="preserve"> (Urukagina, líneas 303-312)</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t xml:space="preserve"> [original: «he washes his debt-tablet in water»]</w:t>
      </w:r>
      <w:r>
        <w:t xml:space="preserve"> (Código de Hammurabi §48)</w:t>
      </w:r>
      <w:r>
        <w:t>; y el siervo por deudas será liberado al cuarto año</w:t>
      </w:r>
      <w:r>
        <w:t xml:space="preserve"> (§117)</w:t>
      </w:r>
      <w:r>
        <w:t>.</w:t>
      </w:r>
    </w:p>
    <w:p>
      <w:pPr>
        <w:pStyle w:val="ListBullet"/>
      </w:pPr>
      <w:r>
        <w:rPr>
          <w:b/>
        </w:rPr>
        <w:t>Israel:</w:t>
      </w:r>
      <w:r>
        <w:t xml:space="preserve"> «AL cabo de siete años harás remisión. Y esta es la manera de la remisión: perdonará á su deudor todo aquél que hizo empréstito de su mano»</w:t>
      </w:r>
      <w:r>
        <w:t xml:space="preserve"> (Dt 15:1-2)</w:t>
      </w:r>
      <w:r>
        <w:t>. Y cada cincuenta años: «pregonaréis libertad en la tierra á todos sus moradores: este os será jubileo; y volveréis cada uno á su posesión»</w:t>
      </w:r>
      <w:r>
        <w:t xml:space="preserve"> (Lv 25:10)</w:t>
      </w:r>
      <w:r>
        <w:t>.</w:t>
      </w:r>
    </w:p>
    <w:p>
      <w:pPr>
        <w:pStyle w:val="ListBullet"/>
      </w:pPr>
      <w:r>
        <w:rPr>
          <w:b/>
        </w:rPr>
        <w:t>Atenas:</w:t>
      </w:r>
      <w:r>
        <w:t xml:space="preserve"> Solón «dio leyes por las que canceló todas las deudas, públicas y privadas»</w:t>
      </w:r>
      <w:r>
        <w:t xml:space="preserve"> [original: «he made laws by which he cancelled all debts, public and private»]</w:t>
      </w:r>
      <w:r>
        <w:t xml:space="preserve">, la </w:t>
      </w:r>
      <w:r>
        <w:rPr>
          <w:i/>
        </w:rPr>
        <w:t>seisáchtheia</w:t>
      </w:r>
      <w:r>
        <w:t>, la descarga de fardos</w:t>
      </w:r>
      <w:r>
        <w:t xml:space="preserve"> (Constitución de los atenienses 6)</w:t>
      </w:r>
      <w:r>
        <w:t>.</w:t>
      </w:r>
    </w:p>
    <w:p>
      <w:pPr>
        <w:pStyle w:val="ListBullet"/>
      </w:pPr>
      <w:r>
        <w:rPr>
          <w:b/>
        </w:rPr>
        <w:t>El islam:</w:t>
      </w:r>
      <w:r>
        <w:t xml:space="preserve"> «Si está en apuro, concededle un respiro hasta que se alivie su situación. Y aún sería mejor para vosotros que le condonarais la deuda»</w:t>
      </w:r>
      <w:r>
        <w:t xml:space="preserve"> (Corán 2:280)</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t xml:space="preserve"> (Ex 22:25)</w:t>
      </w:r>
      <w:r>
        <w:t>. «No tomarás usura de él, ni aumento»</w:t>
      </w:r>
      <w:r>
        <w:t xml:space="preserve"> (Lv 25:36)</w:t>
      </w:r>
      <w:r>
        <w:t>.</w:t>
      </w:r>
    </w:p>
    <w:p>
      <w:pPr>
        <w:pStyle w:val="ListBullet"/>
      </w:pPr>
      <w:r>
        <w:rPr>
          <w:b/>
        </w:rPr>
        <w:t>Grecia:</w:t>
      </w:r>
      <w:r>
        <w:t xml:space="preserve"> «con toda razón se aborrece la usura, porque su ganancia sale del propio dinero y no de aquello para lo que se inventó»</w:t>
      </w:r>
      <w:r>
        <w:t xml:space="preserve"> [original: «εὐλογώτατα μισεῖται ἡ ὀβολοστατικὴ διὰ τὸ ἀπ᾽ αὐτοῦ τοῦ νομίσματος εἶναι τὴν κτῆσιν καὶ οὐκ ἐφ᾽ ὅπερ ἐπορίσθη»]</w:t>
      </w:r>
      <w:r>
        <w:t>; el interés es «dinero nacido del dinero»</w:t>
      </w:r>
      <w:r>
        <w:t xml:space="preserve"> [original: «νόμισμα ἐκ νομίσματος»]</w:t>
      </w:r>
      <w:r>
        <w:t>, y por eso «de todos los modos de ganar, este es el más contrario a la naturaleza»</w:t>
      </w:r>
      <w:r>
        <w:t xml:space="preserve"> [original: «μάλιστα παρὰ φύσιν οὗτος τῶν χρηματισμῶν ἐστιν»]</w:t>
      </w:r>
      <w:r>
        <w:t xml:space="preserve"> (Aristóteles, Política I, 1258b)</w:t>
      </w:r>
      <w:r>
        <w:t>.</w:t>
      </w:r>
    </w:p>
    <w:p>
      <w:pPr>
        <w:pStyle w:val="ListBullet"/>
      </w:pPr>
      <w:r>
        <w:rPr>
          <w:b/>
        </w:rPr>
        <w:t>El islam:</w:t>
      </w:r>
      <w:r>
        <w:t xml:space="preserve"> «Alá ha autorizado el comercio y prohibido la usura»</w:t>
      </w:r>
      <w:r>
        <w:t xml:space="preserve"> (Corán 2:275)</w:t>
      </w:r>
      <w:r>
        <w:t>.</w:t>
      </w:r>
    </w:p>
    <w:p>
      <w:pPr>
        <w:pStyle w:val="ListBullet"/>
      </w:pPr>
      <w:r>
        <w:rPr>
          <w:b/>
        </w:rPr>
        <w:t>La India:</w:t>
      </w:r>
      <w:r>
        <w:t xml:space="preserve"> Brahmā pesó en la balanza el asesinato de un sabio contra la usura, y «el usurero se hundió»</w:t>
      </w:r>
      <w:r>
        <w:t xml:space="preserve"> [original: «the usurer sank downwards»]</w:t>
      </w:r>
      <w:r>
        <w:t xml:space="preserve"> (Vasishtha 2.42)</w:t>
      </w:r>
      <w:r>
        <w:t>.</w:t>
      </w:r>
    </w:p>
    <w:p>
      <w:pPr>
        <w:pStyle w:val="ListBullet"/>
      </w:pPr>
      <w:r>
        <w:rPr>
          <w:b/>
        </w:rPr>
        <w:t>Etiopía:</w:t>
      </w:r>
      <w:r>
        <w:t xml:space="preserve"> «bienaventurados seréis si dais vuestros bienes sin usura y no como préstamo»</w:t>
      </w:r>
      <w:r>
        <w:t xml:space="preserve"> [original: «blessed shall ye be if ye give your possessions, without usury and not as loans»]</w:t>
      </w:r>
      <w:r>
        <w:t xml:space="preserve"> (Kebra Nagast, cap. 90)</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t xml:space="preserve"> [original: «have forgotten the divine Scripture, which says, He has not given his money upon usury»]</w:t>
      </w:r>
      <w:r>
        <w:t xml:space="preserve"> (Concilio de Nicea, canon 17)</w:t>
      </w:r>
      <w:r>
        <w:t>.</w:t>
      </w:r>
    </w:p>
    <w:p>
      <w:pPr>
        <w:pStyle w:val="ListBullet"/>
      </w:pPr>
      <w:r>
        <w:rPr>
          <w:b/>
        </w:rPr>
        <w:t>España, siglo XVI:</w:t>
      </w:r>
      <w:r>
        <w:t xml:space="preserve"> «Regla general es, que quando se aguarda plazo, y por aguardar se interessa, es vsura»</w:t>
      </w:r>
      <w:r>
        <w:t xml:space="preserve"> (Tomás de Mercado, Tratos y contratos de mercaderes, Salamanca, 1569)</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t xml:space="preserve"> (Tomás de Mercado, Tratos y contratos de mercaderes, Salamanca, 1569)</w:t>
      </w:r>
      <w:r>
        <w:t>; «como dize el Euangelio»</w:t>
      </w:r>
      <w:r>
        <w:t xml:space="preserve"> (ídem)</w:t>
      </w:r>
      <w:r>
        <w:t>. Se dicen, pero no cuentan como tradiciones aparte.</w:t>
      </w:r>
    </w:p>
    <w:p>
      <w:pPr>
        <w:pStyle w:val="ListBullet"/>
      </w:pPr>
      <w:r>
        <w:t>Y además: transgreden la prohibición «el que presta, el que toma prestado, el fiador y los testigos»</w:t>
      </w:r>
      <w:r>
        <w:t xml:space="preserve"> [original: «הַמַּלְוֶה, וְהַלֹּוֶה, וְהֶעָרֵב, וְהָעֵדִים»]</w:t>
      </w:r>
      <w:r>
        <w:t xml:space="preserve"> (Mishná, Bava Metsiá 5:11); «el año séptimo cancela el préstamo»</w:t>
      </w:r>
      <w:r>
        <w:t xml:space="preserve"> [original: «שְׁבִיעִית, מְשַׁמֶּטֶת אֶת הַמִּלְוָה»]</w:t>
      </w:r>
      <w:r>
        <w:t xml:space="preserve"> (Mishná, Sheviit 10:1); «¡No usureéis, doblando una y otra vez!» (Corán 3:130); el interés nunca pasará del doble del principal, y el que pasa del legal «lo llaman camino usurario»</w:t>
      </w:r>
      <w:r>
        <w:t xml:space="preserve"> [original: «they call that a usurious way (of lending)», en la traducción de Bühler]</w:t>
      </w:r>
      <w:r>
        <w:t xml:space="preserve"> (Leyes de Manu VIII, 151-152); «pobreza, deuda, intereses, requerimientos, persecución y cárcel son sufrimiento»</w:t>
      </w:r>
      <w:r>
        <w:t xml:space="preserve"> [original: «dāliddiyampi dukkhaṁ […], iṇādānampi dukkhaṁ […], vaḍḍhipi dukkhā […], codanāpi dukkhā […], anucariyāpi dukkhā […], bandhanampi dukkhaṁ […]»; en la traducción de Sujato: «poverty, debt, interest, warnings, prosecution, and imprisonment are suffering»]</w:t>
      </w:r>
      <w:r>
        <w:t xml:space="preserve"> (Anguttara Nikaya 6.45); el duque Huan pidió a los prestamistas que liquidaran los intereses de sus súbditos pobres (Guanzi 83).</w:t>
      </w:r>
    </w:p>
    <w:p>
      <w:r>
        <w:t>[07.00-13.1 a 15.2; archivo del Arca, P6; libreta 64, P6; glosario 12, canon 17 de Nicea; Biblia y Aristóteles leídos hoy en su fuente]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t xml:space="preserve"> (Ley de 23 de julio de 1908, art. 1)</w:t>
      </w:r>
      <w:r>
        <w:t>.</w:t>
      </w:r>
    </w:p>
    <w:p>
      <w:r>
        <w:t xml:space="preserve">Los tribunales la aplican hoy a las tarjetas </w:t>
      </w:r>
      <w:r>
        <w:rPr>
          <w:i/>
        </w:rPr>
        <w:t>revolving</w:t>
      </w:r>
      <w:r>
        <w:t xml:space="preserve">: el Supremo declaró el «carácter usurario» de una de ellas, cuyo interés puede convertir al cliente en un deudor «cautivo» (sentencia 149/2020, de 4 de marzo). Y declaró nulas las cláusulas suelo examinadas porque «no son transparentes»: entre otras razones, quedaban «enmascaradas» entre «una abrumadora cantidad de datos» (sentencia 241/2013, de 9 de mayo). </w:t>
      </w:r>
      <w:r>
        <w:t>[07.00-16.1 a 17.2; las dos sentencias leídas en el CENDOJ el 5-oct]</w:t>
      </w:r>
    </w:p>
    <w:p>
      <w:r>
        <w:t>[07.00-16.1 y 16.2; Ley de 1908 leída en el BOE]</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t xml:space="preserve"> (Dt 23:19-20)</w:t>
      </w:r>
      <w:r>
        <w:t>.</w:t>
      </w:r>
    </w:p>
    <w:p>
      <w:pPr>
        <w:pStyle w:val="ListBullet"/>
      </w:pPr>
      <w:r>
        <w:rPr>
          <w:b/>
        </w:rPr>
        <w:t>Las Leyes de Manu</w:t>
      </w:r>
      <w:r>
        <w:t xml:space="preserve"> no prohíben el interés: lo limitan</w:t>
      </w:r>
      <w:r>
        <w:t xml:space="preserve"> (Leyes de Manu VIII, 151-152)</w:t>
      </w:r>
      <w:r>
        <w:t>.</w:t>
      </w:r>
    </w:p>
    <w:p>
      <w:pPr>
        <w:pStyle w:val="ListBullet"/>
      </w:pPr>
      <w:r>
        <w:rPr>
          <w:b/>
        </w:rPr>
        <w:t>Entre los ashanti,</w:t>
      </w:r>
      <w:r>
        <w:t xml:space="preserve"> por una deuda «podía empeñarse a uno de los hijos»</w:t>
      </w:r>
      <w:r>
        <w:t xml:space="preserve"> [original: «one of the children might be pawned»]</w:t>
      </w:r>
      <w:r>
        <w:t xml:space="preserve"> (Rattray, pp. 53-54)</w:t>
      </w:r>
      <w:r>
        <w:t>.</w:t>
      </w:r>
    </w:p>
    <w:p>
      <w:r>
        <w:t>[archivo del Arca, pata coja de P6; Reina-Valera Antigua]</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t xml:space="preserve"> [original: «卒定變法之令»]</w:t>
      </w:r>
      <w:r>
        <w:t xml:space="preserve"> (Shiji 68)</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t xml:space="preserve"> [original: «寡人得見此人與之游，死不恨矣»]</w:t>
      </w:r>
      <w:r>
        <w:t xml:space="preserve"> (Shiji 63)</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t xml:space="preserve"> (Arthashastra 15.1)</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t xml:space="preserve"> (Leyes de Manu VII, 133, y IX, 244)</w:t>
      </w:r>
      <w:r>
        <w:t>. Exime y beneficia al estamento que custodiaba esos textos.</w:t>
      </w:r>
    </w:p>
    <w:p>
      <w:pPr>
        <w:pStyle w:val="ListBullet"/>
      </w:pPr>
      <w:r>
        <w:rPr>
          <w:b/>
        </w:rPr>
        <w:t>Séneca</w:t>
      </w:r>
      <w:r>
        <w:t xml:space="preserve"> (acabar con familias enteras): era uno de los guías del joven Nerón</w:t>
      </w:r>
      <w:r>
        <w:t xml:space="preserve"> [original: «rectores imperatoriae iuventae»]</w:t>
      </w:r>
      <w:r>
        <w:t xml:space="preserve"> (Tácito, Anales XIII, 2)</w:t>
      </w:r>
      <w:r>
        <w:t>.</w:t>
      </w:r>
    </w:p>
    <w:p>
      <w:pPr>
        <w:pStyle w:val="ListBullet"/>
      </w:pPr>
      <w:r>
        <w:rPr>
          <w:b/>
        </w:rPr>
        <w:t>Hammurabi</w:t>
      </w:r>
      <w:r>
        <w:t xml:space="preserve"> (muere el hijo por la culpa del padre): es el código del propio rey.</w:t>
      </w:r>
    </w:p>
    <w:p>
      <w:pPr>
        <w:pStyle w:val="ListBullet"/>
      </w:pPr>
      <w:r>
        <w:t>Y además: el Mahabharata 12.89 (subir la carga y dividir al pueblo) es la enseñanza de Bhishma al rey sobre sus deberes, un manual para el que gobierna; que la elección del señor mexica «no se puede anular» lo dicen los reyes y señores que lo designaron (Sahagún VI, 10); entre los ashanti, la multa judicial era un emolumento del jefe principal (Rattray, cap. XIV); entre los basutos, el propio Casalis explica la resistencia de los jefes a enriquecer a sus súbditos por su temor a perder su riqueza (pp. 216-217); y Li Si, que aplicó el legalismo en Qin, propuso quemar las historias y los libros de las escuelas, y que quien quisiera aprender las leyes tomara por maestros a los funcionarios (Shiji 6 y 87).</w:t>
      </w:r>
    </w:p>
    <w:p>
      <w:r>
        <w:t>[archivo del Arca, «Contrapunto: quién escribe la pata coja», aprobado por Kiko el 5-oct; textos leídos en su original]</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t xml:space="preserve"> (Rm 13:1)</w:t>
      </w:r>
      <w:r>
        <w:t>, acabó preso del mismo Imperio, «con un soldado que le guardase»</w:t>
      </w:r>
      <w:r>
        <w:t xml:space="preserve"> (Hch 28:16)</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t xml:space="preserve"> [original: «車裂商君以徇»; «遂滅商君之家»]</w:t>
      </w:r>
      <w:r>
        <w:t xml:space="preserve"> (Shiji 68)</w:t>
      </w:r>
      <w:r>
        <w:t>.</w:t>
      </w:r>
    </w:p>
    <w:p>
      <w:pPr>
        <w:pStyle w:val="ListBullet"/>
      </w:pPr>
      <w:r>
        <w:rPr>
          <w:b/>
        </w:rPr>
        <w:t>Han Fei:</w:t>
      </w:r>
      <w:r>
        <w:t xml:space="preserve"> Li Si le hizo llegar veneno para que se matara</w:t>
      </w:r>
      <w:r>
        <w:t xml:space="preserve"> (Shiji 63)</w:t>
      </w:r>
      <w:r>
        <w:t>.</w:t>
      </w:r>
    </w:p>
    <w:p>
      <w:pPr>
        <w:pStyle w:val="ListBullet"/>
      </w:pPr>
      <w:r>
        <w:rPr>
          <w:b/>
        </w:rPr>
        <w:t>Li Si:</w:t>
      </w:r>
      <w:r>
        <w:t xml:space="preserve"> le aplicaron las cinco penas, lo cortaron por la cintura en el mercado de Xianyang y exterminaron a sus tres clanes</w:t>
      </w:r>
      <w:r>
        <w:t xml:space="preserve"> (Shiji 87)</w:t>
      </w:r>
      <w:r>
        <w:t>.</w:t>
      </w:r>
    </w:p>
    <w:p>
      <w:pPr>
        <w:pStyle w:val="ListBullet"/>
      </w:pPr>
      <w:r>
        <w:rPr>
          <w:b/>
        </w:rPr>
        <w:t>La dinastía Qin,</w:t>
      </w:r>
      <w:r>
        <w:t xml:space="preserve"> que había unificado China en el 221 a. C., cayó en el 206 a. C. (las fechas, fuente secundaria); su último rey reinó cuarenta y seis días</w:t>
      </w:r>
      <w:r>
        <w:t xml:space="preserve"> (Shiji 6)</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 </w:t>
      </w:r>
      <w:r>
        <w:t>[archivo del Arca, lectura aprobada por Kiko el 5-oct]</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t xml:space="preserve"> [original: «most of them are bookkeeping documents, representing activities of economic administration rather than stories, arguments or descriptions»]</w:t>
      </w:r>
      <w:r>
        <w:t xml:space="preserve"> (P. Damerow, Cuneiform Digital Library Journal, 2006; fuente secundaria, especializada)</w:t>
      </w:r>
      <w:r>
        <w:t xml:space="preserve">. </w:t>
      </w:r>
      <w:r>
        <w:t>[07.00-20.2]</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t xml:space="preserve"> [original: «Neque fas esse existimant ea litteris mandare, cum in reliquis fere rebus, publicis privatisque rationibus Graecis litteris utantur. Id mihi duabus de causis instituisse videntur, quod neque in vulgum disciplinam efferri velint neque eos, qui discunt, litteris confisos minus memoriae studere»]</w:t>
      </w:r>
      <w:r>
        <w:t xml:space="preserve"> (César, La guerra de las Galias VI, 14)</w:t>
      </w:r>
      <w:r>
        <w:t>. Después, el emperador Claudio abolió del todo su religión, a la que Roma acusaba de «atroz crueldad»</w:t>
      </w:r>
      <w:r>
        <w:t xml:space="preserve"> [original: «Druidarum religionem apud Gallos dirae immanitatis […] penitus abolevit»]</w:t>
      </w:r>
      <w:r>
        <w:t xml:space="preserve"> (Suetonio, Claudio 25)</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t xml:space="preserve"> [original: «vedavikrayiṇaś caiva vedānāṃ caiva dūṣakāḥ / vedānāṃ lekhakāś caiva te vai nirayagāminaḥ»]</w:t>
      </w:r>
      <w:r>
        <w:t xml:space="preserve"> (Mahābhārata 13.24.70, edición crítica de Pune)</w:t>
      </w:r>
      <w:r>
        <w:t>.</w:t>
      </w:r>
    </w:p>
    <w:p>
      <w:r>
        <w:t>[07.00-21.1 y 21.2, corregido: César no habla de reverencia, sino de esas dos razones; 01.00-13.2 y 13.3]</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 </w:t>
      </w:r>
      <w:r>
        <w:t>[07.00-22.1 a 22.3; 01.00-6.4; las portadas de Soto (1553) y Suárez (1612), leídas el 5-oct]</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t xml:space="preserve">Las fuentes: los veinte cánones de Nicea (New Advent); san Jerónimo, prólogo a Judit (Patrología de Migne); Voltaire, Diccionario filosófico, «Conciles»; Atanasio, Carta 39 (año 367); Concilio de Cartago de 419, canon 24; Trento, sesión IV, 8 de abril de 1546; san Agustín, La ciudad de Dios XV, 23; Julio Africano, Cronografía, fragmento 2; Tertuliano, De cultu feminarum (Sobre el adorno de las mujeres) I, 3, en la traducción inglesa de la serie Ante-Nicene Fathers; el edicto de Tesalónica, en el Código Teodosiano XVI, 1, 2 (27 de febrero de 380); el Decreto Gelasiano, en la traducción inglesa de la edición de von Dobschütz (1912); R. H. Charles, The Book of Jubilees (El libro de los Jubileos), 1902, introducción; carta de Judas 14-15 y 1 Enoc 1:9. </w:t>
      </w:r>
      <w:r>
        <w:t>[glosario 12, leído en su fuente el 5-oct; Tertuliano y el edicto de Tesalónica, en su archivo del mismo lote, comprobados el 12-oct-2026; el Decreto Gelasiano y Charles, leídos en local el mismo día]</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[original: «the book of the daughters of Adam Leptogeneseos apocryphus»]</w:t>
      </w:r>
      <w:r>
        <w:t xml:space="preserve"> (Decreto Gelasiano, en la traducción inglesa de la edición de von Dobschütz, 1912)</w:t>
      </w:r>
      <w:r>
        <w:t>; el editor de Jubileos, R. H. Charles, ve en ese libro el de los Jubileos, o una obra corta basada en él, y da la fecha de la lista por dudosa</w:t>
      </w:r>
      <w:r>
        <w:t xml:space="preserve"> [original: «This book is identified with Jubilees in the Decree of Gelasius»; «it may not have been applied to the entire Book of Jubilees but to a short work based on Jubilees»; «the date of which is doubtful»]</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t xml:space="preserve"> (Jud 6)</w:t>
      </w:r>
      <w:r>
        <w:t>.</w:t>
      </w:r>
    </w:p>
    <w:p>
      <w:r>
        <w:t>[glosario 12, texto y lectura aprobados por Kiko el 5-oct; lo de los ángeles se desarrolla en 4.3]</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t xml:space="preserve"> [original: «לְעָבְדָהּ וּלְשָׁמְרָהּ»]</w:t>
      </w:r>
      <w:r>
        <w:t xml:space="preserve"> (Gn 2:15)</w:t>
      </w:r>
      <w:r>
        <w:t>. En hebreo, el verbo de labrar es el mismo de servir a Dios: «escogeos hoy á quién sirváis […] que yo y mi casa serviremos á Jehová»</w:t>
      </w:r>
      <w:r>
        <w:t xml:space="preserve"> [original: «וְאָנֹכִי וּבֵיתִי נַעֲבֹד אֶת־יְהוָה»]</w:t>
      </w:r>
      <w:r>
        <w:t xml:space="preserve"> (Jos 24:15)</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t xml:space="preserve"> [original: «οὐκ ἦλθεν διακονηθῆναι ἀλλὰ διακονῆσαι»]</w:t>
      </w:r>
      <w:r>
        <w:t xml:space="preserve"> (Mt 20:28)</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t xml:space="preserve"> [original: «江海所以能為百谷王者，以其善下之，故能為百谷王。是以欲上民，必以言下之。欲先民，必以身後之。»]</w:t>
      </w:r>
      <w:r>
        <w:t xml:space="preserve"> (Daodejing 66)</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t xml:space="preserve"> [original: «聖人不積，既以為人己愈有，既以與人己愈多。天之道，利而不害»]</w:t>
      </w:r>
      <w:r>
        <w:t xml:space="preserve"> (Daodejing 81)</w:t>
      </w:r>
      <w:r>
        <w:t>;</w:t>
      </w:r>
    </w:p>
    <w:p>
      <w:pPr>
        <w:pStyle w:val="ListBullet2"/>
      </w:pPr>
      <w:r>
        <w:t>la India: hay que obrar «mirando también por el bien del mundo»</w:t>
      </w:r>
      <w:r>
        <w:t xml:space="preserve"> [original: «loka-saṃgraham evāpi saṃpaśyan kartum arhasi»]</w:t>
      </w:r>
      <w:r>
        <w:t xml:space="preserve"> (Bhagavad Gita 3.20)</w:t>
      </w:r>
      <w:r>
        <w:t>; y el Buda envía a sus monjes «por el bien de muchos, por la felicidad de muchos, por compasión del mundo»</w:t>
      </w:r>
      <w:r>
        <w:t xml:space="preserve"> [original: «Caratha, bhikkhave, cārikaṁ bahujanahitāya bahujanasukhāya lokānukampāya»]</w:t>
      </w:r>
      <w:r>
        <w:t xml:space="preserve"> (Vinaya, Mahāvagga 1.11)</w:t>
      </w:r>
      <w:r>
        <w:t>;</w:t>
      </w:r>
    </w:p>
    <w:p>
      <w:pPr>
        <w:pStyle w:val="ListBullet2"/>
      </w:pPr>
      <w:r>
        <w:t>el islam: «Ayudaos unos a otros a practicar la piedad y el temor de Alá, no el pecado y la violación de la ley»</w:t>
      </w:r>
      <w:r>
        <w:t xml:space="preserve"> [original: «وَتَعَاوَنُوا۟ عَلَى ٱلْبِرِّ وَٱلتَّقْوَىٰ ۖ وَلَا تَعَاوَنُوا۟ عَلَى ٱلْإِثْمِ وَٱلْعُدْوَٰنِ»]</w:t>
      </w:r>
      <w:r>
        <w:t xml:space="preserve"> (Corán 5:2, traducción de Julio Cortés)</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t xml:space="preserve"> (Mt 7:19)</w:t>
      </w:r>
      <w:r>
        <w:t>; «allegará su trigo en el alfolí, y quemará la paja»</w:t>
      </w:r>
      <w:r>
        <w:t xml:space="preserve"> (Mt 3:12)</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t xml:space="preserve"> (Mt 13:16)</w:t>
      </w:r>
      <w:r>
        <w:t>.</w:t>
      </w:r>
    </w:p>
    <w:p>
      <w:r>
        <w:rPr>
          <w:b/>
        </w:rPr>
        <w:t>La pata coja.</w:t>
      </w:r>
      <w:r>
        <w:t xml:space="preserve"> Lo contrario también está escrito: «pueblo débil, Estado fuerte» (</w:t>
      </w:r>
      <w:r>
        <w:t>3.2</w:t>
      </w:r>
      <w:r>
        <w:t>). Y casi siempre lo escribió quien mandaba (</w:t>
      </w:r>
      <w:r>
        <w:t>3.4</w:t>
      </w:r>
      <w:r>
        <w:t>).</w:t>
      </w:r>
    </w:p>
    <w:p>
      <w:r>
        <w:t>[archivo del Arca, «El hilo del Arca: servir», leído por Claude el 5-oct; propuesta de Kiko del 5-oct]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t>[parlamento de la arqueología (08/21), apartados 4 y 6; el índice del agente reglas_del_juego, 12-oct-2026, comprobado por programa: 188 de 188 frases en su archivo; los pasajes, en F.9]</w:t>
      </w: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t xml:space="preserve"> (1 Co 6:2)</w:t>
      </w:r>
      <w:r>
        <w:t>; lo dice la primera carta a los corintios para que sus pleitos no vayan «delante de los injustos»</w:t>
      </w:r>
      <w:r>
        <w:t xml:space="preserve"> (1 Co 6:1)</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t>[parlamento 08/23, apartados 8 a 10; el encargo de fuentes el_camino_y_el_aviso, lotes A, B y C, 12-oct-2026, comprobado por programa: 456 de 456 frases en su archivo; la cuenta, por programa, sobre la etiqueta que lleva cada texto; los pasajes, en F.9]</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t xml:space="preserve"> (Ap 5:3)</w:t>
      </w:r>
      <w:r>
        <w:t>; lo abre «el león de la tribu de Judá, la raíz de David, que ha vencido»</w:t>
      </w:r>
      <w:r>
        <w:t xml:space="preserve"> (Ap 5:5)</w:t>
      </w:r>
      <w:r>
        <w:t>, y lo que se ve entonces es «un Cordero como inmolado»</w:t>
      </w:r>
      <w:r>
        <w:t xml:space="preserve"> (Ap 5:6)</w:t>
      </w:r>
      <w:r>
        <w:t>. En la Reina-Valera ha vencido «para abrir el libro, y desatar sus siete sellos»; el griego dice «abrir el libro y sus siete sellos», sin «desatar»</w:t>
      </w:r>
      <w:r>
        <w:t xml:space="preserve"> [original: «⸀ἀνοῖξαι τὸ βιβλίον καὶ τὰς ἑπτὰ σφραγῖδας αὐτοῦ», en el griego de la edición SBLGNT; el signo ⸀ marca que ahí hay una variante]</w:t>
      </w:r>
      <w:r>
        <w:t xml:space="preserve"> (Ap 5:5)</w:t>
      </w:r>
      <w:r>
        <w:t>. Al abrir los sellos, el verbo es «abrió»</w:t>
      </w:r>
      <w:r>
        <w:t xml:space="preserve"> [original: «ἤνοιξεν»]</w:t>
      </w:r>
      <w:r>
        <w:t xml:space="preserve"> (Ap 6:1 y 8:1)</w:t>
      </w:r>
      <w:r>
        <w:t>.</w:t>
      </w:r>
    </w:p>
    <w:p>
      <w:pPr>
        <w:pStyle w:val="ListBullet"/>
      </w:pPr>
      <w:r>
        <w:rPr>
          <w:b/>
        </w:rPr>
        <w:t>El séptimo sello es un silencio, no el final.</w:t>
      </w:r>
      <w:r>
        <w:t xml:space="preserve"> «Y CUANDO él abrió el séptimo sello, fué hecho silencio en el cielo casi por media hora»</w:t>
      </w:r>
      <w:r>
        <w:t xml:space="preserve"> (Ap 8:1)</w:t>
      </w:r>
      <w:r>
        <w:t>. Detrás vienen «los siete ángeles que estaban delante de Dios; y les fueron dadas siete trompetas»</w:t>
      </w:r>
      <w:r>
        <w:t xml:space="preserve"> (Ap 8:2)</w:t>
      </w:r>
      <w:r>
        <w:t>, y con la séptima llega «el tiempo de los muertos, para que sean juzgados»</w:t>
      </w:r>
      <w:r>
        <w:t xml:space="preserve"> (Ap 11:18)</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t xml:space="preserve"> (Ap 6:10)</w:t>
      </w:r>
      <w:r>
        <w:t>; los que se esconden piden que se los esconda «de la cara de aquél que está sentado sobre el trono, y de la ira del Cordero»</w:t>
      </w:r>
      <w:r>
        <w:t xml:space="preserve"> (Ap 6:16)</w:t>
      </w:r>
      <w:r>
        <w:t>; y de los muertos, «fué hecho juicio de cada uno según sus obras»</w:t>
      </w:r>
      <w:r>
        <w:t xml:space="preserve"> (Ap 20:13; el 20:12, arriba)</w:t>
      </w:r>
      <w:r>
        <w:t>. En la serie de los sellos y las trompetas no juzga ningún hombre. La otra cara: el mismo libro dice también «Y vi tronos, y se sentaron sobre ellos, y les fué dado juicio»</w:t>
      </w:r>
      <w:r>
        <w:t xml:space="preserve"> (Ap 20:4)</w:t>
      </w:r>
      <w:r>
        <w:t>. Converge con lo de arriba: la siega es de los ángeles (Mt 13:39).</w:t>
      </w:r>
    </w:p>
    <w:p>
      <w:pPr>
        <w:pStyle w:val="ListBullet"/>
      </w:pPr>
      <w:r>
        <w:rPr>
          <w:b/>
        </w:rPr>
        <w:t>El cuándo, en sus dos caras.</w:t>
      </w:r>
      <w:r>
        <w:t xml:space="preserve"> «el tiempo está cerca»</w:t>
      </w:r>
      <w:r>
        <w:t xml:space="preserve"> (Ap 1:3; y 22:10)</w:t>
      </w:r>
      <w:r>
        <w:t>; y, en el Evangelio, «del día y hora nadie sabe, ni aun los ángeles de los cielos, sino mi Padre solo»</w:t>
      </w:r>
      <w:r>
        <w:t xml:space="preserve"> (Mt 24:36)</w:t>
      </w:r>
      <w:r>
        <w:t>. De no saber la hora el texto no saca una fecha, sino velar: «Velad pues, porque no sabéis á qué hora ha de venir vuestro Señor»</w:t>
      </w:r>
      <w:r>
        <w:t xml:space="preserve"> (Mt 24:42)</w:t>
      </w:r>
      <w:r>
        <w:t>.</w:t>
      </w:r>
    </w:p>
    <w:p>
      <w:r>
        <w:t>[orden firme de 08.26 con las palabras de Kiko, chat de 08.26, 12-oct-2026, 17:0x; el encargo de fuentes el_septimo_sello, 12-oct-2026, comprobado por programa: 119 de 119 frases en su archivo; los pasajes, en F.9]</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t>[parlamento de la arqueología (08/21), apartado 4.4, con la pesa calibrada del parlamento de la balanza (08/22), 11.4; los montones segundo y tercero, con las decisiones de Kiko del parlamento 08/23, apartado 10; lectura del autor, sin dato nuevo]</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t>[fila 569 de 08/01: Kiko, chat de 08.24, 12-oct-2026; el encargo de fuentes el_registro_de_todo, 12-oct-2026, comprobado por programa: 209 de 209 frases en su archivo; la fecha del Ganying Pian, de la introducción de Legge (Sacred Books of the East, 39, 1891); los pasajes, en F.9]</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t xml:space="preserve"> (Jn 1:41)</w:t>
      </w:r>
      <w:r>
        <w:t>; de Jesús dice que Dios lo «ha hecho Señor y Cristo»</w:t>
      </w:r>
      <w:r>
        <w:t xml:space="preserve"> (Hch 2:36)</w:t>
      </w:r>
      <w:r>
        <w:t xml:space="preserve"> y que «le ungió Dios de Espíritu Santo y de potencia»</w:t>
      </w:r>
      <w:r>
        <w:t xml:space="preserve"> (Hch 10:38)</w:t>
      </w:r>
      <w:r>
        <w:t>. En la Biblia hebrea, «ungido» se dice del sacerdote (Lv 4:3), del rey, «el ungido de Jehová»</w:t>
      </w:r>
      <w:r>
        <w:t xml:space="preserve"> (1 S 24:7)</w:t>
      </w:r>
      <w:r>
        <w:t>, y hasta de Ciro, rey de Persia: «á su ungido, á Ciro»</w:t>
      </w:r>
      <w:r>
        <w:t xml:space="preserve"> (Is 45:1)</w:t>
      </w:r>
      <w:r>
        <w:t>, «aunque no me conociste»</w:t>
      </w:r>
      <w:r>
        <w:t xml:space="preserve"> (Is 45:4)</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t xml:space="preserve"> (Ex 30:30)</w:t>
      </w:r>
      <w:r>
        <w:t>, al rey (1 S 10:1) y, por mandato, al profeta (1 R 19:16).</w:t>
      </w:r>
    </w:p>
    <w:p>
      <w:pPr>
        <w:pStyle w:val="ListBullet"/>
      </w:pPr>
      <w:r>
        <w:rPr>
          <w:b/>
        </w:rPr>
        <w:t>El Espíritu lo muda.</w:t>
      </w:r>
      <w:r>
        <w:t xml:space="preserve"> A Saúl, al ungirlo: «serás mudado en otro hombre»</w:t>
      </w:r>
      <w:r>
        <w:t xml:space="preserve"> (1 S 10:6)</w:t>
      </w:r>
      <w:r>
        <w:t>; a David, «desde aquel día en adelante el espíritu de Jehová tomó á David»</w:t>
      </w:r>
      <w:r>
        <w:t xml:space="preserve"> (1 S 16:13)</w:t>
      </w:r>
      <w:r>
        <w:t>. Y Isaías une unción, Espíritu y tarea: «EL espíritu del Señor Jehová es sobre mí, porque me ungió Jehová»</w:t>
      </w:r>
      <w:r>
        <w:t xml:space="preserve"> (Is 61:1)</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t xml:space="preserve"> (Nm 11:29)</w:t>
      </w:r>
      <w:r>
        <w:t>, y la promesa, «derramaré mi Espíritu sobre toda carne»</w:t>
      </w:r>
      <w:r>
        <w:t xml:space="preserve"> (Jl 2:28)</w:t>
      </w:r>
      <w:r>
        <w:t>, que Pedro cita (Hch 2:17). En el Nuevo Testamento, de todos los que creen: «la unción que vosotros habéis recibido de él, mora en vosotros»</w:t>
      </w:r>
      <w:r>
        <w:t xml:space="preserve"> (1 Jn 2:27)</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t xml:space="preserve"> (Mt 24:24)</w:t>
      </w:r>
      <w:r>
        <w:t>, y la prueba del que habla en nombre de Dios es que se cumpla (Dt 18:22); el Cielo ayuda solo al virtuoso (Shujing); y el sabio es difícil de hallar (Bhagavad Gita 7.19).</w:t>
      </w:r>
    </w:p>
    <w:p>
      <w:r>
        <w:t>[orden firme de 08.26 con las palabras de Kiko, chat de 08.26, 12-oct-2026, 17:0x; el encargo de fuentes el_camino_y_el_aviso, lotes D y E, 12-oct-2026, verificados por programa; los pasajes, en F.9]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t xml:space="preserve"> (Antonio Machado, Poesías completas, Madrid, Publicaciones de la Residencia de Estudiantes, 1917, CXXXVI, «Proverbios y cantares», XXVIII)</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t xml:space="preserve"> (Flp 2:13)</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r>
        <w:t>[parlamento 08/23, apartado 10: las palabras de Kiko del 12-oct-2026; lectura del autor, sin dato nuevo]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r>
        <w:t>[archivo del Arca, aviso del bloque de África, América y Oceanía]</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r>
        <w:t>[cierre de los avisos, 9-oct; Parker 1916, Legge, Britannica, The Canadian Encyclopedia y Mercado, leídos]</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r>
        <w:t>[07.00-24.1 y 24.2]</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r>
        <w:t>[07.00-17.3, 26.1 y 26.2]</w:t>
      </w:r>
    </w:p>
    <w:p>
      <w:pPr>
        <w:pStyle w:val="ListBullet"/>
      </w:pPr>
      <w:r>
        <w:rPr>
          <w:b/>
        </w:rPr>
        <w:t>Hoy las leyes se publican gratis en el BOE, en español.</w:t>
      </w:r>
      <w:r>
        <w:t xml:space="preserve"> El latín ya no es la barrera; si lo es el volumen, se examina en el </w:t>
      </w:r>
      <w:r>
        <w:t>cargo 8</w:t>
      </w:r>
      <w:r>
        <w:t xml:space="preserve">. </w:t>
      </w:r>
      <w:r>
        <w:t>[07.00-28.1 y 28.2]</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r>
        <w:t>[índice del agente reglas_del_juego, «Incidencias respecto a lo esperado»; encargo el_camino_y_el_aviso, 12-oct-2026]</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r>
        <w:t>[clasificación de las defensas, aprobada; glosario 8.13]</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r>
        <w:br w:type="page"/>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5 (borrador B16). Ninguna otra palabra cambia. Cambio del 10-oct-2026, P4 (Kiko, chat de 08.4, pasado por 08.4 tal cual: «Sí a la P4, al escalón 6 de 4.2»; P4 del estudio 08/10, apartado 5, punto 4; generado por programa con 07/herramientas/generar_extenso_4_2.py desde la entrada 5 del índice del lote A): al final de 4.2, un bloque {extenso} que solo se ve en el escalón 6, «Lo extenso»: las promesas de vida eterna en los textos leídos, los 14 pasajes que lo dicen con sus palabras (Daniel, Juan, Mateo, Pablo, el Corán, la Katha Upanishad, el Dhammapada, los Textos de las Pirámides con Breasted, las Gathas), cada uno tal como está en su fuente y con su original, y los otros 17 en una línea; con la línea de entrada en llano (converge la promesa con una condición; no converge la palabra). El texto de lectura, la conclusión y las lecturas del autor de 4.2 no cambian. Las traducciones del inglés son de la edición, con el inglés al lado. Fuente nueva en I.9: Katha Upanishad. Cambio del 10-oct-2026, P3 (Kiko, chat de 08.4, pasado por 08.4 tal cual: «Sí a la P3, que entre con fuente»; P3 del estudio 08/10, apartado 5, punto 3; borrador de 07/borradores/caida_4_2): al final de la «Lectura del autor» de 4.2 (las tres jugadas de la serpiente), una frase con fuente: en el Corán (20:120 y 7:20, traducción de Julio Cortés, con el árabe al lado) quien promete el árbol de la inmortalidad y «os hagáis inmortales» es «el Demonio» que insinúa el mal a Adán, la misma jugada que «No moriréis» (Gn 3:4): la promesa de inmortalidad en boca del tentador, una presunción (0.4) hecha promesa; dos tradiciones que se conocían, dicho como dato y no como convergencia. Lote A, filas 5.13 y 5.14 (Cortés, nivel A; el árabe por la API, nivel B). La conclusión de 4.2 no cambia. Cambio del 10-oct-2026, P2 (Kiko, chat de 08.4, pasado por 08.4 tal cual: «Sí a la P2, que entre la línea»; P2 del estudio 08/10, apartado 5, punto 2; borrador de 07/borradores/caida_4_2): en «Lo que el texto no dice» de 4.2, una línea: la palabra «satán» («adversario» en hebreo, 4.1) no aparece ni una vez en el Génesis (contada por programa en el hebreo del códice de Leningrado, OSHB; lote A, entrada 4), en los libros históricos nombra a adversarios de carne y hueso (Adad y Rezón, 1 R 11:14 y 11:23) y la Reina-Valera 1909 la traduce «adversario» seis veces. Nivel A. La conclusión y las lecturas del autor de 4.2 no cambian. De paso, la viñeta del Límite honesto que decía «el hebreo no se ha leído» dice ahora que del hebreo solo se ha contado esa palabra. Cambio del 10-oct-2026, tarde (Kiko, chat de 07.2: «sí que hay que decir pistas que habría que investigar y desarrollar […] expondría todos los mencionados y no ocultarlos. Pero que son investigaciones en abierto», y «Sí, que entre tal cual»): al final de la «Lectura del autor, una hipótesis» de 4.2, una frase de cierre con las pistas en abierto, en la voz del autor y cada una sin prueba hoy (la luz de los seres vivos y el ADN, sin publicación con revisión ni réplica; el hipotálamo y los neuropéptidos; la serpiente y la genética, con el símbolo de la farmacia), la invitación a coger el relevo y la mirada al lenguaje antiguo. Nada entra como dato; «vibración» no entra. Sin bajar ninguna fuente. Cambio del 10-oct-2026, después (Kiko, chat de 08.3, pasado por 08.3 tal cual: «Yo añadiría a esto que faltaría una investigación mucho más profunda […] lo dejamos en abierto y se invita a la gente que tenga curiosidad a investigarlo […] basándome en este estudio no puedo ratificarme tanto»; complemento a la P1 del estudio 08/10, apartado 6 bis): en la «Lectura del autor, una hipótesis» de 4.2, la cadena que el autor imagina (lo pensado y sentido como señal química que llega a cada célula; el cortisol del estrés, las endorfinas), dicha como lectura y no como dato; que falta una investigación mucho más profunda y el autor no se ratifica más de lo que los estudios permiten; y que queda abierta e invita a investigarla. «Vibración» y «40.000» no entran. Sin bajar ninguna fuente. Cambio del 10-oct-2026 (Kiko, chat de 08.3: «Sí, que entre la hipótesis como dices»; P1 del estudio 08/10 de la carpeta 08, apartado 4; borrador de 07/borradores/caida_4_2): al final de 4.2, detrás de la «Lectura del autor» del relato de la caída, un párrafo nuevo «Lectura del autor, una hipótesis»: los dos árboles, la conducta repetida que deja huella en el cuerpo, lo que la ciencia mide (la conducta cambia qué genes se expresan, poco y a corto plazo; vivir con un propósito se asocia a vivir algo más; Kaliman 2014, Buric 2017 y Cohen 2016, este último solo en resumen, fuente secundaria) y lo que no mide, con el reconocimiento del autor de que es una teoría sin datos suficientes y la cautela del salto de vocabulario (8.11). Ni la conclusión ni el glosario cambian. Cambio del 9-oct-2026 (Kiko: «Sí a B7 y B8, aplícalos»; filas 12 y 13 de 04p; borrador B7 de la carpeta 07): tres bloques nuevos, sin renumerar. Al final de 4.2, «El relato de la caída, tal como está escrito» (Génesis 2:9, 2:16-17, 3:1-7, 3:22 y 3:24 en la Reina-Valera Antigua, con lo que el texto no dice, la conclusión y la lectura del autor: «seréis como dioses» es la autoridad derivada tomando por suya la original, 1.9). Al final de 4.3, «¿fue legítimo el susurro?» (no, por cuatro razones) y la «criba», como lectura del autor. Al final de 4.4, las improntas (el experimento mental y la pregunta final), como lectura del autor. Dos viñetas nuevas en el «Límite honesto de la prueba». Cambio del 9-oct-2026 (Kiko: «Sí, concuerdo» al texto de la mujer y el varón; borrador B2 versión 3 de la carpeta 07; 04p fila 12 y 03b A6): al final de 4.2, una línea de «Lectura del autor» sobre la mujer y el varón, que remite a 2.3. Cambio del 9-oct-2026 (Kiko: «solucionalo ya»; errata que dejó anotada la fase de reparación del 8-oct, libreta 80, y que se aplicó desde la carpeta 07): en 4.2, la transliteración del Libro de los Muertos cap. 125 decía «an-nek maat, ter-nà-nek àsfet». Budge, The Papyrus of Ani (1895), p. 194, línea 6 (lámina XXX), la imprime «ȧn-nȧ-nek maāt, ṭer-nȧ-nek ȧsfet»: faltaba «-nȧ-» en la primera mitad y las letras no llevaban las marcas impresas (ȧ con punto encima, ā con raya encima, ṭ con punto debajo). La traducción inglesa lleva también «Maāt», como la página. Leído a mano en la imagen de la página 358 de la edición digital de Heidelberg (10 FUENTES LEIDAS/flecos2/05.00_Maat_Budge_1895_Papyrus_of_Ani_transliteracion_archive.pdf), anotado en herramientas/citas_vistas_a_mano.tsv y quitado de herramientas/citas_pendientes_de_otra_conversacion.tsv. No cambia ningún dato. ESTADO: APROBADO por Kiko el 5-oct-2026 («sí a las tres»). Su material está marcado en el inventario (04 CAPITULOS/marcas/marcas del capitulo 4.txt). Cualquier cambio posterior, con su aprobación. Añadido el 5-oct, con su aprobación («sí a todo»): en 4.1, Robbers Cave; en 4.2, Egipto y el Ragnarök (flecos leídos en su fuente; libreta 72, punto 137). Añadido el 5-oct, con su aprobación: en 4.3, «¿Están entre nosotros?», cómo obran y cómo no caer en sus susurros (libreta 72, punto 127); en 4.3, la lectura de quienes cayeron en los susurros creyendo que era lícito, con dos cautelas; y en 4.4, la repetición que forma (dato de los textos) y la polarización (lectura del autor) (libreta 72, punto 128). Escrito en tres niveles y con remisiones enlazables. Trazabilidad: al final de cada párrafo o bloque, entre corchetes (se ve en el nivel completo). Reparto (Kiko, 5-oct): las fuentes las localizó y descargó un agente; Claude leyó cada original y extrajo las citas. Leído hoy en su original: Biblia, Reina-Valera Antigua, con el griego (SBLGNT) y el hebreo (códice de Leningrado): Nm 22:22; Job 1:7; Mc 5:9; Mt 6:24; Ap 12:7-9; Dn 10:13 y 10:20; Jn 8:31-32, 8:44, 12:31 y 14:30; 2 Co 4:4 y 11:14; Ef 5:13 y 6:12; Gn 6:2-4; Dt 32:17; 1 Sam 8:7; 1 Co 10:20; Jud 6; 2 Pe 2:4. Avesta, Yasna 30 (avéstico de la edición de Geldner y la traducción inglesa de avesta.org). Rig Veda 1.32 (edición de Aufrecht, GRETIL). Bhagavad Gita 16 (GRETIL; traducción inglesa de Telang, 1882). Enuma Elish IV (electronic Babylonian Library, traducción de B. R. Foster). Corán 7:22, 17:81, 35:6 y 114:4-6 (árabe y traducción de Julio Cortés). Sutta Nipata 3.2 y Dhammapada 223 (SuttaCentral, pali). Mundaka Upanishad 3.1.6 (Wikisource, sánscrito). 1 Enoc 8, 15 y 19 (R. H. Charles, The Book of Enoch, Londres, 1917, edición impresa). Jubileos 10 y 11 (Charles, 1902, edición impresa; glosario 5.4.2). La Boétie, Discours de la servitude volontaire (Wikisource, edición de 1922, cotejada con la de Bonnefon, 1892). No entra por no tener texto completo abierto: la Regla de la Guerra de Qumrán (solo se lee la columna 1) y el ciclo de Baal de Ugarit (solo una columna). La Teogonía de Hesíodo, leída, no se usa: es una guerra de dioses por el poder, y ese punto ya lo da el Enuma Elish. Hallado al escribir (para corregir en la Biblioteca, 00.00, sección 6): el Dhammapada 11-12 habla de lo esencial; vencer al mentiroso con la verdad está en el verso 223. Conceptos que ancla: el mal sin cuerpo y la servidumbre voluntaria (4.1). Desarrolla la fórmula del padre de la mentira, anclada en breve en 0.3. Cambio del 8-oct-2026 (petición de Kiko, «hace un anexo al apartado de Ángel y el demonio, enlázalo con la virtud»; ubicación aprobada por él: al final de 4.3, no como anexo J): sección «Anexo al apartado 4.3. El extremo con cara de ángel: la línea de la virtud», con Aristóteles, Ética a Nicómaco II, 6 y 7, leído en el griego. Nuevo concepto que ancla: la virtud como término medio entre dos vicios (4.3). Anotado en el registro y en las libretas.</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t xml:space="preserve"> [original: «לְשָׂטָן לוֹ»]</w:t>
      </w:r>
      <w:r>
        <w:t xml:space="preserve"> (Nm 22:22)</w:t>
      </w:r>
      <w:r>
        <w:t>. En el libro de Job, Satán dice de dónde viene: «De rodear la tierra, y de andar por ella»</w:t>
      </w:r>
      <w:r>
        <w:t xml:space="preserve"> (Job 1:7)</w:t>
      </w:r>
      <w:r>
        <w:t>.</w:t>
      </w:r>
    </w:p>
    <w:p>
      <w:pPr>
        <w:pStyle w:val="ListBullet"/>
      </w:pPr>
      <w:r>
        <w:rPr>
          <w:b/>
        </w:rPr>
        <w:t>Legión.</w:t>
      </w:r>
      <w:r>
        <w:t xml:space="preserve"> El espíritu que habla por boca de un hombre responde: «Legión me llamo; porque somos muchos»</w:t>
      </w:r>
      <w:r>
        <w:t xml:space="preserve"> (Mc 5:9)</w:t>
      </w:r>
      <w:r>
        <w:t>.</w:t>
      </w:r>
    </w:p>
    <w:p>
      <w:pPr>
        <w:pStyle w:val="ListBullet"/>
      </w:pPr>
      <w:r>
        <w:rPr>
          <w:b/>
        </w:rPr>
        <w:t>Mammón.</w:t>
      </w:r>
      <w:r>
        <w:t xml:space="preserve"> La riqueza puesta como un señor al que se sirve: «no podéis servir á Dios y á Mammón»</w:t>
      </w:r>
      <w:r>
        <w:t xml:space="preserve"> (Mt 6:24)</w:t>
      </w:r>
      <w:r>
        <w:t>.</w:t>
      </w:r>
    </w:p>
    <w:p>
      <w:pPr>
        <w:pStyle w:val="ListBullet"/>
      </w:pPr>
      <w:r>
        <w:rPr>
          <w:b/>
        </w:rPr>
        <w:t>Los ejércitos de Mara.</w:t>
      </w:r>
      <w:r>
        <w:t xml:space="preserve"> En el budismo, al tentador se le dice: «los deseos son tu primer ejército» y «este es tu ejército, Namuci»</w:t>
      </w:r>
      <w:r>
        <w:t xml:space="preserve"> [original: «Kāmā te paṭhamā senā»; «Esā namuci te senā»]</w:t>
      </w:r>
      <w:r>
        <w:t xml:space="preserve"> (Sutta Nipata 3.2)</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t xml:space="preserve"> [original: «مِن شَرِّ ٱلْوَسْوَاسِ ٱلْخَنَّاسِ ٱلَّذِى يُوَسْوِسُ فِى صُدُورِ ٱلنَّاسِ مِنَ ٱلْجِنَّةِ وَٱلنَّاسِ»]</w:t>
      </w:r>
      <w:r>
        <w:t xml:space="preserve"> (Corán 114:4-6, traducción de Julio Cortés)</w:t>
      </w:r>
      <w:r>
        <w:t>. El que susurra puede ser también un hombre.</w:t>
      </w:r>
    </w:p>
    <w:p>
      <w:r>
        <w:t>[04.00-1.1, 1.2, 1.3, 1.5, 1.8, 1.9 y 1.22; textos leídos en su original]</w:t>
      </w:r>
    </w:p>
    <w:p>
      <w:r>
        <w:t xml:space="preserve">La pieza 04.00 reúne más figuras: la Bestia del Apocalipsis, la druj del Avesta, los vigilantes de Enoc, el golem, Xibalbá, Kali y Māyā, el wétiko, el espectro sin rostro, el nafs y el ifrit, Belial, el Asag sumerio, el geis celta y los maligait inuit. La druj y los vigilantes se leen en </w:t>
      </w:r>
      <w:r>
        <w:t>4.2</w:t>
      </w:r>
      <w:r>
        <w:t xml:space="preserve">, </w:t>
      </w:r>
      <w:r>
        <w:t>4.3</w:t>
      </w:r>
      <w:r>
        <w:t xml:space="preserve"> y </w:t>
      </w:r>
      <w:r>
        <w:t>4.4</w:t>
      </w:r>
      <w:r>
        <w:t>; las demás quedan en la Biblioteca.</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 xml:space="preserve"> [original: «il est de soi-même défait, mais que le pays ne consente à sa servitude»]</w:t>
      </w:r>
      <w:r>
        <w:t>;</w:t>
      </w:r>
    </w:p>
    <w:p>
      <w:pPr>
        <w:pStyle w:val="ListBullet"/>
      </w:pPr>
      <w:r>
        <w:t>«¿de dónde ha sacado tantos ojos con los que os espía, si no se los dais vosotros?»</w:t>
      </w:r>
      <w:r>
        <w:t xml:space="preserve"> [original: «D’où a-t-il pris tant d’yeux, dont il vous épie, si vous ne les lui baillez ?»]</w:t>
      </w:r>
      <w:r>
        <w:t>;</w:t>
      </w:r>
    </w:p>
    <w:p>
      <w:pPr>
        <w:pStyle w:val="ListBullet"/>
      </w:pPr>
      <w:r>
        <w:t>y lo que más enseña a servir es la costumbre, que «en nada tiene tanta fuerza como en enseñarnos a servir»</w:t>
      </w:r>
      <w:r>
        <w:t xml:space="preserve"> [original: «la coutume, qui a en toutes choses grand pouvoir sur nous, n’a en aucun endroit si grande vertu qu’en ceci, de nous enseigner à servir»]</w:t>
      </w:r>
      <w:r>
        <w:t xml:space="preserve"> (La Boétie, Discurso de la servidumbre voluntaria, edición de 1922)</w:t>
      </w:r>
      <w:r>
        <w:t>.</w:t>
      </w:r>
    </w:p>
    <w:p>
      <w:r>
        <w:t>[04.00-5.1 y 5.2; La Boétie leído en francés]</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Lo mismo, observado.</w:t>
      </w:r>
      <w:r>
        <w:t xml:space="preserve"> En 1954, en Robbers Cave (Oklahoma), Muzafer Sherif y su equipo reunieron a 22 niños de unos once años, elegidos para que no se conocieran, y los separaron en dos grupos. Bastó un torneo con premios solo para el ganador, «un trofeo, medallas y once navajas de cuatro hojas», para que brotara la hostilidad, hasta quemar la bandera del otro grupo. El simple contacto no la redujo: «esas situaciones de contacto no resultaron eficaces para reducir la fricción». La redujo una serie de metas comunes, que solo podían alcanzar juntos</w:t>
      </w:r>
      <w:r>
        <w:t xml:space="preserve"> [original: «a trophy, medals, and 11 four-bladed knives»; «Such contact situations did not prove effective in reducing friction»; «superordinate goals»]</w:t>
      </w:r>
      <w:r>
        <w:t xml:space="preserve"> (Sherif, Harvey, White, Hood y Sherif, Intergroup Conflict and Cooperation: The Robbers Cave Experiment (Conflicto y cooperación entre grupos: el experimento de Robbers Cave), 1961, caps. 5 y 8)</w:t>
      </w:r>
      <w:r>
        <w:t xml:space="preserve">. </w:t>
      </w:r>
      <w:r>
        <w:t>[04.00-7.2; leído el 5-oct]</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t xml:space="preserve"> (Ef 5:13)</w:t>
      </w:r>
      <w:r>
        <w:t>.</w:t>
      </w:r>
    </w:p>
    <w:p>
      <w:r>
        <w:t>[04.00-1.4 y 7.1, lectura de la obra]</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t xml:space="preserve"> [original: «at tâ mainyû pouruyê ýâ ýêmâ hvafenâ asrvâtem manahicâ vacahicâ shyaothanôi hî vahyô akemcâ åscâ hudånghô eresh vîshyâtâ nôit duzhdånghô»; en la traducción inglesa de avesta.org: «Now the two primal Spirits, who reveal themselves in vision as Twins, are the Better and the Bad, in thought and word and action. And between these two the wise ones chose aright, the foolish not so»]</w:t>
      </w:r>
      <w:r>
        <w:t xml:space="preserve"> (Yasna 30:3)</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t xml:space="preserve"> (Ap 12:7-9)</w:t>
      </w:r>
      <w:r>
        <w:t>.</w:t>
      </w:r>
    </w:p>
    <w:p>
      <w:pPr>
        <w:pStyle w:val="ListBullet"/>
      </w:pPr>
      <w:r>
        <w:rPr>
          <w:b/>
        </w:rPr>
        <w:t>El islam.</w:t>
      </w:r>
      <w:r>
        <w:t xml:space="preserve"> El Demonio engañó a la primera pareja: «Les hizo, pues, caer dolosamente»</w:t>
      </w:r>
      <w:r>
        <w:t xml:space="preserve"> [original: «فَدَلَّىٰهُمَا بِغُرُورٍۢ»]</w:t>
      </w:r>
      <w:r>
        <w:t xml:space="preserve"> (Corán 7:22)</w:t>
      </w:r>
      <w:r>
        <w:t>. Y el aviso: «El Demonio es para vosotros un enemigo. Tenedle, pues, por tal»</w:t>
      </w:r>
      <w:r>
        <w:t xml:space="preserve"> [original: «إِنَّ ٱلشَّيْطَٰنَ لَكُمْ عَدُوٌّۭ فَٱتَّخِذُوهُ عَدُوًّا»]</w:t>
      </w:r>
      <w:r>
        <w:t xml:space="preserve"> (Corán 35:6, traducción de Julio Cortés)</w:t>
      </w:r>
      <w:r>
        <w:t>.</w:t>
      </w:r>
    </w:p>
    <w:p>
      <w:pPr>
        <w:pStyle w:val="ListBullet"/>
      </w:pPr>
      <w:r>
        <w:rPr>
          <w:b/>
        </w:rPr>
        <w:t>La India.</w:t>
      </w:r>
      <w:r>
        <w:t xml:space="preserve"> La Gita distingue dos condiciones en los seres: «la divina es para la liberación; la demoníaca, para la atadura»</w:t>
      </w:r>
      <w:r>
        <w:t xml:space="preserve"> [original: «daivī saṃpad vimokṣāya nibandhāyāsurī matā»]</w:t>
      </w:r>
      <w:r>
        <w:t xml:space="preserve"> (Bhagavad Gita 16.5)</w:t>
      </w:r>
      <w:r>
        <w:t>.</w:t>
      </w:r>
    </w:p>
    <w:p>
      <w:r>
        <w:t>[05.00-1.1, 4.1, 5.1 y 7.1; libreta 47 §3; textos leídos en su original]</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 </w:t>
      </w:r>
      <w:r>
        <w:t>[05.00-11.1]</w:t>
      </w:r>
    </w:p>
    <w:p>
      <w:r>
        <w:rPr>
          <w:b/>
        </w:rPr>
        <w:t>La pata coja: no toda guerra antigua es moral.</w:t>
      </w:r>
      <w:r>
        <w:t xml:space="preserve"> En Mesopotamia, los dioses dan a Marduk «la realeza sobre todo y sobre todos»</w:t>
      </w:r>
      <w:r>
        <w:t xml:space="preserve"> [original: «i niddinka šarrūta kiššat kal gimrēti»; en la traducción inglesa de B. R. Foster: «We bestow upon you kingship of all and everything»]</w:t>
      </w:r>
      <w:r>
        <w:t xml:space="preserve"> (Enuma Elish IV, 14)</w:t>
      </w:r>
      <w:r>
        <w:t xml:space="preserve"> para que venza a Tiamat. En la India, Indra «mató al dragón y abrió paso a las aguas»</w:t>
      </w:r>
      <w:r>
        <w:t xml:space="preserve"> [original: «ahann ahim anv apas tatarda»]</w:t>
      </w:r>
      <w:r>
        <w:t xml:space="preserve"> (Rig Veda 1.32.1)</w:t>
      </w:r>
      <w:r>
        <w:t>. Son guerras de dioses por el orden del mundo y por el poder, no una elección del ser humano entre el bien y el mal.</w:t>
      </w:r>
    </w:p>
    <w:p>
      <w:r>
        <w:t>[libreta 47 §3, pendientes: el Enuma Elish y el Rig Veda, leídos hoy]</w:t>
      </w:r>
    </w:p>
    <w:p>
      <w:r>
        <w:rPr>
          <w:b/>
        </w:rPr>
        <w:t>Dos formas más, sin dos dioses iguales:</w:t>
      </w:r>
    </w:p>
    <w:p>
      <w:pPr>
        <w:pStyle w:val="ListBullet"/>
      </w:pPr>
      <w:r>
        <w:rPr>
          <w:b/>
        </w:rPr>
        <w:t>Egipto.</w:t>
      </w:r>
      <w:r>
        <w:t xml:space="preserve"> El orden se llama </w:t>
      </w:r>
      <w:r>
        <w:rPr>
          <w:i/>
        </w:rPr>
        <w:t>maat</w:t>
      </w:r>
      <w:r>
        <w:t xml:space="preserve">, la verdad; su contrario, </w:t>
      </w:r>
      <w:r>
        <w:rPr>
          <w:i/>
        </w:rPr>
        <w:t>isfet</w:t>
      </w:r>
      <w:r>
        <w:t>, el error o la maldad. Ya hacia 2600 a. C. el rey Snefru se titula «señor de la verdad» (fuente secundaria: Breasted, 1906). Hacia 2350 a. C., los textos de la pirámide de Unas dicen que el rey «había puesto la verdad en lugar del error»</w:t>
      </w:r>
      <w:r>
        <w:t xml:space="preserve"> [original: en la traducción inglesa de Mercer, «had set truth therein in the place of error»]</w:t>
      </w:r>
      <w:r>
        <w:t xml:space="preserve"> (Textos de las Pirámides, § 265)</w:t>
      </w:r>
      <w:r>
        <w:t>. Y en el Libro de los Muertos, el difunto dice: «te he traído la verdad, he alejado de ti la maldad»</w:t>
      </w:r>
      <w:r>
        <w:t xml:space="preserve"> [original: «ȧn-nȧ-nek maāt, ṭer-nȧ-nek ȧsfet»; en la traducción de Budge, «I have brought to thee Maāt. I have driven away for thee wickedness»]</w:t>
      </w:r>
      <w:r>
        <w:t xml:space="preserve"> (Libro de los Muertos, cap. 125)</w:t>
      </w:r>
      <w:r>
        <w:t>. No son dos dioses iguales: es el deber de poner la verdad donde había error.</w:t>
      </w:r>
    </w:p>
    <w:p>
      <w:pPr>
        <w:pStyle w:val="ListBullet"/>
      </w:pPr>
      <w:r>
        <w:rPr>
          <w:b/>
        </w:rPr>
        <w:t>El norte de Europa.</w:t>
      </w:r>
      <w:r>
        <w:t xml:space="preserve"> El fin del mundo, el Ragnarök, es una tragedia en la que mueren también los dioses: Odín va a luchar contra el lobo, y «caerá el amado de Frigg»; «el sol se oscurece, la tierra se hunde en el mar»; y después, la vidente «ve surgir de nuevo la tierra del mar, siempre verde»</w:t>
      </w:r>
      <w:r>
        <w:t xml:space="preserve"> [original: «þá mun Friggjar falla angan»; «Sól tér sortna, sígr fold í mar»; «Sér hon upp koma öðru sinni jörð ór ægi iðjagræna»]</w:t>
      </w:r>
      <w:r>
        <w:t xml:space="preserve"> (Völuspá 53, 57 y 59, en el Codex Regius, de finales del siglo XIII)</w:t>
      </w:r>
      <w:r>
        <w:t>. No triunfa el bien: el mundo cae y vuelve a empezar.</w:t>
      </w:r>
    </w:p>
    <w:p>
      <w:r>
        <w:t>[05.00-2.1 y 9.1, corregidos; Textos de las Pirámides (Mercer), Libro de los Muertos (Budge) y Völuspá (nórdico antiguo), leídos el 5-oct]</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t xml:space="preserve"> [original: «וְשַׂר מַלְכוּת פָּרַס»; «שַׂר־יָוָן»]</w:t>
      </w:r>
      <w:r>
        <w:t xml:space="preserve"> (Dn 10:13 y 10:20)</w:t>
      </w:r>
      <w:r>
        <w:t>: un príncipe por cada reino.</w:t>
      </w:r>
    </w:p>
    <w:p>
      <w:pPr>
        <w:pStyle w:val="ListBullet"/>
      </w:pPr>
      <w:r>
        <w:rPr>
          <w:b/>
        </w:rPr>
        <w:t>El Evangelio.</w:t>
      </w:r>
      <w:r>
        <w:t xml:space="preserve"> Llama al diablo «el príncipe de este mundo»</w:t>
      </w:r>
      <w:r>
        <w:t xml:space="preserve"> [original: «ὁ ἄρχων τοῦ κόσμου τούτου»]</w:t>
      </w:r>
      <w:r>
        <w:t xml:space="preserve"> (Jn 12:31 y 14:30)</w:t>
      </w:r>
      <w:r>
        <w:t>.</w:t>
      </w:r>
    </w:p>
    <w:p>
      <w:pPr>
        <w:pStyle w:val="ListBullet"/>
      </w:pPr>
      <w:r>
        <w:rPr>
          <w:b/>
        </w:rPr>
        <w:t>Pablo.</w:t>
      </w:r>
      <w:r>
        <w:t xml:space="preserve"> «el dios de este siglo cegó los entendimientos de los incrédulos»</w:t>
      </w:r>
      <w:r>
        <w:t xml:space="preserve"> [original: «ὁ θεὸς τοῦ αἰῶνος τούτου ἐτύφλωσεν τὰ νοήματα τῶν ἀπίστων»]</w:t>
      </w:r>
      <w:r>
        <w:t xml:space="preserve"> (2 Co 4:4)</w:t>
      </w:r>
      <w:r>
        <w:t>. Y: «no tenemos lucha contra sangre y carne; sino contra principados, contra potestades, contra señores del mundo, gobernadores de estas tinieblas, contra malicias espirituales en los aires»</w:t>
      </w:r>
      <w:r>
        <w:t xml:space="preserve"> [original: «οὐκ ἔστιν ἡμῖν ἡ πάλη πρὸς αἷμα καὶ σάρκα, ἀλλὰ πρὸς τὰς ἀρχάς, πρὸς τὰς ἐξουσίας, πρὸς τοὺς κοσμοκράτορας τοῦ σκότους τούτου»]</w:t>
      </w:r>
      <w:r>
        <w:t xml:space="preserve"> (Ef 6:12)</w:t>
      </w:r>
      <w:r>
        <w:t>.</w:t>
      </w:r>
    </w:p>
    <w:p>
      <w:pPr>
        <w:pStyle w:val="ListBullet"/>
      </w:pPr>
      <w:r>
        <w:rPr>
          <w:b/>
        </w:rPr>
        <w:t>Persia.</w:t>
      </w:r>
      <w:r>
        <w:t xml:space="preserve"> Tampoco los daevas eligieron bien, y «se lanzaron juntos a la violencia, para debilitar el mundo de los hombres»</w:t>
      </w:r>
      <w:r>
        <w:t xml:space="preserve"> [original: en la traducción inglesa de avesta.org: «Between these twain the Daevas also chose not aright […] Then they rushed together to Violence, that they might enfeeble the world of men»]</w:t>
      </w:r>
      <w:r>
        <w:t xml:space="preserve"> (Yasna 30:6)</w:t>
      </w:r>
      <w:r>
        <w:t>.</w:t>
      </w:r>
    </w:p>
    <w:p>
      <w:pPr>
        <w:pStyle w:val="ListBullet"/>
      </w:pPr>
      <w:r>
        <w:rPr>
          <w:b/>
        </w:rPr>
        <w:t>La India.</w:t>
      </w:r>
      <w:r>
        <w:t xml:space="preserve"> El de condición demoníaca se ensalza a sí mismo: «yo soy señor, yo el que disfruta; soy perfecto, fuerte y feliz» y «¿quién hay igual a mí?»</w:t>
      </w:r>
      <w:r>
        <w:t xml:space="preserve"> [original: «īśvaro 'ham ahaṃ bhogī siddho 'haṃ balavān sukhī»; «ko 'nyo 'sti sadṛśo mayā»]</w:t>
      </w:r>
      <w:r>
        <w:t xml:space="preserve"> (Bhagavad Gita 16.14-15)</w:t>
      </w:r>
      <w:r>
        <w:t>.</w:t>
      </w:r>
    </w:p>
    <w:p>
      <w:r>
        <w:t>[fleco #192 (tabla 06): candidatos leídos hoy en su original; 04.00-4.1 y 4.2]</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t>[fleco #192, palabras de Kiko (5-oct)]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 xml:space="preserve">. </w:t>
      </w:r>
      <w:r>
        <w:t>[palabras de Kiko, 9-oct-2026]</w:t>
      </w:r>
    </w:p>
    <w:p>
      <w:r>
        <w:rPr>
          <w:b/>
        </w:rPr>
        <w:t>El relato de la caída, tal como está escrito.</w:t>
      </w:r>
      <w:r>
        <w:t xml:space="preserve"> El Génesis cuenta que había dos árboles en medio del huerto: «también el árbol de vida en medio del huerto, y el árbol de ciencia del bien y del mal»</w:t>
      </w:r>
      <w:r>
        <w:t xml:space="preserve"> (Gn 2:9)</w:t>
      </w:r>
      <w:r>
        <w:t>. La orden era una sola: «De todo árbol del huerto comerás»</w:t>
      </w:r>
      <w:r>
        <w:t xml:space="preserve"> (Gn 2:16)</w:t>
      </w:r>
      <w:r>
        <w:t>; «Mas del árbol de ciencia del bien y del mal no comerás de él; porque el día que de él comieres, morirás»</w:t>
      </w:r>
      <w:r>
        <w:t xml:space="preserve"> (Gn 2:17)</w:t>
      </w:r>
      <w:r>
        <w:t>. La serpiente empieza por darle la vuelta: «¿Conque Dios os ha dicho: No comáis de todo árbol del huerto?»</w:t>
      </w:r>
      <w:r>
        <w:t xml:space="preserve"> (Gn 3:1)</w:t>
      </w:r>
      <w:r>
        <w:t>. La mujer responde, y añade algo que en la orden no estaba: «ni le tocaréis»</w:t>
      </w:r>
      <w:r>
        <w:t xml:space="preserve"> (Gn 3:3)</w:t>
      </w:r>
      <w:r>
        <w:t>. La serpiente niega la consecuencia sin dar un dato, «No moriréis»</w:t>
      </w:r>
      <w:r>
        <w:t xml:space="preserve"> (Gn 3:4)</w:t>
      </w:r>
      <w:r>
        <w:t>, y atribuye un motivo: «Mas sabe Dios que el día que comiereis de él, serán abiertos vuestros ojos, y seréis como dioses sabiendo el bien y el mal»</w:t>
      </w:r>
      <w:r>
        <w:t xml:space="preserve"> (Gn 3:5)</w:t>
      </w:r>
      <w:r>
        <w:t>. La mujer decide por lo que ve: el árbol era «bueno para comer, y que era agradable á los ojos, y árbol codiciable para alcanzar la sabiduría»</w:t>
      </w:r>
      <w:r>
        <w:t xml:space="preserve"> (Gn 3:6)</w:t>
      </w:r>
      <w:r>
        <w:t>. Los frutos vienen enseguida: «tuve miedo, porque estaba desnudo; y escondíme»</w:t>
      </w:r>
      <w:r>
        <w:t xml:space="preserve"> (Gn 3:10)</w:t>
      </w:r>
      <w:r>
        <w:t>; el hombre culpa a la mujer, y la mujer, a la serpiente</w:t>
      </w:r>
      <w:r>
        <w:t xml:space="preserve"> (Gn 3:12-13)</w:t>
      </w:r>
      <w:r>
        <w:t>. Y Dios dice: «He aquí el hombre es como uno de Nos sabiendo el bien y el mal: ahora, pues, porque no alargue su mano, y tome también del árbol de la vida, y coma, y viva para siempre»</w:t>
      </w:r>
      <w:r>
        <w:t xml:space="preserve"> (Gn 3:22)</w:t>
      </w:r>
      <w:r>
        <w:t>. Echó al hombre del huerto y puso «querubines, y una espada encendida que se revolvía á todos lados, para guardar el camino del árbol de la vida»</w:t>
      </w:r>
      <w:r>
        <w:t xml:space="preserve"> (Gn 3:24)</w:t>
      </w:r>
      <w:r>
        <w:t>.</w:t>
      </w:r>
    </w:p>
    <w:p>
      <w:r>
        <w:rPr>
          <w:b/>
        </w:rPr>
        <w:t>Lo que el texto no dice.</w:t>
      </w:r>
      <w:r>
        <w:t xml:space="preserve"> No dice «manzana»: dice «del fruto del árbol que está en medio del huerto»</w:t>
      </w:r>
      <w:r>
        <w:t xml:space="preserve"> (Gn 3:3)</w:t>
      </w:r>
      <w:r>
        <w:t>. No llama diablo ni Satanás a la serpiente: esa identificación es posterior (Ap 12:9, arriba). Tampoco está la palabra «satán», que en hebreo es «adversario» (</w:t>
      </w:r>
      <w:r>
        <w:t>4.1</w:t>
      </w:r>
      <w:r>
        <w:t>): en todo el Génesis no aparece ni una vez</w:t>
      </w:r>
      <w:r>
        <w:t xml:space="preserve"> (Gn 1-50, en hebreo (códice de Leningrado, OSHB), la palabra שָׂטָן contada por programa el 10-oct-2026: 0 veces)</w:t>
      </w:r>
      <w:r>
        <w:t>; en los libros históricos nombra a adversarios de carne y hueso: «Jehová suscitó un adversario á Salomón, á Adad, Idumeo»</w:t>
      </w:r>
      <w:r>
        <w:t xml:space="preserve"> (1 R 11:14)</w:t>
      </w:r>
      <w:r>
        <w:t>, «Despertóle también Dios por adversario á Rezón»</w:t>
      </w:r>
      <w:r>
        <w:t xml:space="preserve"> (1 R 11:23)</w:t>
      </w:r>
      <w:r>
        <w:t>; y la Reina-Valera la traduce «adversario» seis veces</w:t>
      </w:r>
      <w:r>
        <w:t xml:space="preserve"> (Nm 22:22; 2 Sam 19:22; 1 R 5:4, 11:14, 11:23 y 11:25)</w:t>
      </w:r>
      <w:r>
        <w:t>. Y no dice que el hombre fuera inmortal por naturaleza: la vida para siempre depende del árbol de la vida</w:t>
      </w:r>
      <w:r>
        <w:t xml:space="preserve"> (Gn 3:22)</w:t>
      </w:r>
      <w:r>
        <w:t>, y la consecuencia anunciada es «morirás»</w:t>
      </w:r>
      <w:r>
        <w:t xml:space="preserve"> (Gn 2:17)</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t xml:space="preserve"> [original: «هَلْ أَدُلُّكَ عَلَىٰ شَجَرَةِ ٱلْخُلْدِ وَمُلْكٍۢ لَّا يَبْلَىٰ»]</w:t>
      </w:r>
      <w:r>
        <w:t xml:space="preserve"> (Corán 20:120, traducción de Julio Cortés)</w:t>
      </w:r>
      <w:r>
        <w:t xml:space="preserve"> y le dice que el árbol se prohibió «por temor de que os convirtáis en ángeles u os hagáis inmortales»</w:t>
      </w:r>
      <w:r>
        <w:t xml:space="preserve"> [original: «إِلَّآ أَن تَكُونَا مَلَكَيْنِ أَوْ تَكُونَا مِنَ ٱلْخَٰلِدِينَ»]</w:t>
      </w:r>
      <w:r>
        <w:t xml:space="preserve"> (Corán 7:20, traducción de Julio Cortés)</w:t>
      </w:r>
      <w:r>
        <w:t xml:space="preserve"> es «el Demonio» que le insinúa el mal, como la serpiente con «No moriréis»</w:t>
      </w:r>
      <w:r>
        <w:t xml:space="preserve"> (Gn 3:4)</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t xml:space="preserve"> (Kaliman y otros, Psychoneuroendocrinology 40, 2014; Buric y otros, Frontiers in Immunology 8, 2017)</w:t>
      </w:r>
      <w:r>
        <w:t>, y vivir con un propósito se asocia a vivir algo más</w:t>
      </w:r>
      <w:r>
        <w:t xml:space="preserve"> (Cohen y otros, Psychosomatic Medicine 78, 2016, resumen; fuente secundaria)</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r>
        <w:t>[Génesis completo en la Reina-Valera Antigua, leído el 8-oct-2026; 04e; palabras de Kiko, 8-oct-2026; borrador B7, 9-oct; la hipótesis: palabras de Kiko, 10-oct-2026, y el estudio 08/10 con los lotes A (07/fuentes/caida_textos) y B (08/09 FUENTES); Kaliman 2014, Buric 2017 y Cohen 2016 leídos el 10-oct-2026; «satán»: lote A, entrada 4 (07/fuentes/caida_textos; el Génesis hebreo de OSHB contado por programa, la Reina-Valera 1909 local y los léxicos BDB, Klein y Jastrow por Sefaria), 10-oct-2026; Corán 20:120 y 7:20: lote A, entrada 5 (filas 5.13 y 5.14; la traducción de Cortés por Tanzil y el árabe uzmaní por la API de alquran.cloud), 10-oct-2026]</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t xml:space="preserve"> (Gn 6:2 y 6:4)</w:t>
      </w:r>
      <w:r>
        <w:t>. El Nuevo Testamento recuerda a «los ángeles que no guardaron su dignidad, mas dejaron su habitación»</w:t>
      </w:r>
      <w:r>
        <w:t xml:space="preserve"> (Jud 6)</w:t>
      </w:r>
      <w:r>
        <w:t>, y que «Dios no perdonó á los ángeles que habían pecado»</w:t>
      </w:r>
      <w:r>
        <w:t xml:space="preserve"> (2 Pe 2:4)</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t xml:space="preserve"> [original: en la traducción inglesa de R. H. Charles: «And Azazél taught men to make swords, and knives, and shields, and breastplates»; «And there arose much godlessness, and they committed fornication, and they were led astray, and became corrupt in all their ways»]</w:t>
      </w:r>
      <w:r>
        <w:t xml:space="preserve"> (1 Enoc 8:1-2)</w:t>
      </w:r>
      <w:r>
        <w:t>;</w:t>
      </w:r>
    </w:p>
    <w:p>
      <w:pPr>
        <w:pStyle w:val="ListBullet"/>
      </w:pPr>
      <w:r>
        <w:t>de los gigantes nacen espíritus que «afligen, oprimen, destruyen, atacan, hacen la guerra»</w:t>
      </w:r>
      <w:r>
        <w:t xml:space="preserve"> [original: «the spirits of the giants afflict, oppress, destroy, attack, do battle, and work destruction on the earth»]</w:t>
      </w:r>
      <w:r>
        <w:t xml:space="preserve"> (1 Enoc 15:11)</w:t>
      </w:r>
      <w:r>
        <w:t>;</w:t>
      </w:r>
    </w:p>
    <w:p>
      <w:pPr>
        <w:pStyle w:val="ListBullet"/>
      </w:pPr>
      <w:r>
        <w:t>y esos espíritus, «tomando muchas formas distintas», corrompen a la humanidad y la llevan a sacrificar a los demonios «como a dioses»</w:t>
      </w:r>
      <w:r>
        <w:t xml:space="preserve"> [original: «their spirits, assuming many different forms, are defiling mankind, and shall lead them astray into sacrificing to demons as gods»; Charles marca «as gods» como lectura dudosa del manuscrito]</w:t>
      </w:r>
      <w:r>
        <w:t xml:space="preserve"> (1 Enoc 19:1)</w:t>
      </w:r>
      <w:r>
        <w:t>;</w:t>
      </w:r>
    </w:p>
    <w:p>
      <w:pPr>
        <w:pStyle w:val="ListBullet"/>
      </w:pPr>
      <w:r>
        <w:t>en Jubileos, el jefe de los espíritus, Mastema, pide que algunos queden con él para obedecer su voz, y se le concede «la décima parte»</w:t>
      </w:r>
      <w:r>
        <w:t xml:space="preserve"> [original: «And the chief of the spirits, Mastêmâ, came and said: “Lord, Creator, let some of them remain before me”»; «Let the tenth part of them remain before him»]</w:t>
      </w:r>
      <w:r>
        <w:t xml:space="preserve"> (Jub 10:8-9)</w:t>
      </w:r>
      <w:r>
        <w:t>.</w:t>
      </w:r>
    </w:p>
    <w:p>
      <w:r>
        <w:rPr>
          <w:b/>
        </w:rPr>
        <w:t>La Biblia común, con el mismo aviso:</w:t>
      </w:r>
    </w:p>
    <w:p>
      <w:pPr>
        <w:pStyle w:val="ListBullet"/>
      </w:pPr>
      <w:r>
        <w:t>«Sacrificaron á los diablos, no á Dios»</w:t>
      </w:r>
      <w:r>
        <w:t xml:space="preserve"> (Dt 32:17)</w:t>
      </w:r>
      <w:r>
        <w:t>;</w:t>
      </w:r>
    </w:p>
    <w:p>
      <w:pPr>
        <w:pStyle w:val="ListBullet"/>
      </w:pPr>
      <w:r>
        <w:t>«lo que los Gentiles sacrifican, á los demonios lo sacrifican, y no á Dios»</w:t>
      </w:r>
      <w:r>
        <w:t xml:space="preserve"> (1 Co 10:20)</w:t>
      </w:r>
      <w:r>
        <w:t>;</w:t>
      </w:r>
    </w:p>
    <w:p>
      <w:pPr>
        <w:pStyle w:val="ListBullet"/>
      </w:pPr>
      <w:r>
        <w:t>«el mismo Satanás se transfigura en ángel de luz»</w:t>
      </w:r>
      <w:r>
        <w:t xml:space="preserve"> (2 Co 11:14)</w:t>
      </w:r>
      <w:r>
        <w:t>.</w:t>
      </w:r>
    </w:p>
    <w:p>
      <w:r>
        <w:t>Por eso se pide probar los espíritus (</w:t>
      </w:r>
      <w:r>
        <w:t>1.3</w:t>
      </w:r>
      <w:r>
        <w:t>).</w:t>
      </w:r>
    </w:p>
    <w:p>
      <w:r>
        <w:t>[glosario 5.4.2, aprobado por Kiko el 5-oct; 1 Enoc leído en la edición impresa de Charles (1917); Jubileos, edición impresa de Charles (1902); Reina-Valera Antigua]</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t xml:space="preserve"> [original: «to exalt themselves above the nation, and to found the beginnings of kingdoms»; «malignant spirits assisted and seduced (them)»]</w:t>
      </w:r>
      <w:r>
        <w:t xml:space="preserve"> (Jub 11:2-5)</w:t>
      </w:r>
      <w:r>
        <w:t>. La Biblia común guarda el mismo aviso: cuando Israel pidió un rey, Dios dijo a Samuel: «no te han desechado á ti, sino á mí me han desechado, para que no reine sobre ellos»</w:t>
      </w:r>
      <w:r>
        <w:t xml:space="preserve"> (1 Sam 8:7)</w:t>
      </w:r>
      <w:r>
        <w:t>. Es el paso del aprendiz al ser superior: un poder humano que se pone en el lugar de la ley de Dios. Esto apunta hacia el padre de la mentira (Jn 8:44).</w:t>
      </w:r>
    </w:p>
    <w:p>
      <w:r>
        <w:t>[glosario 5.4.2, texto aprobado por Kiko el 5-oct; 00.00, sección 5]</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t xml:space="preserve"> [original: en la traducción inglesa de R. H. Charles: «bind them fast for seventy generations in the valleys of the earth, till the day of their judgement»]</w:t>
      </w:r>
      <w:r>
        <w:t xml:space="preserve"> (1 Enoc 10:12)</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t xml:space="preserve"> [original: «shall be called evil spirits upon the earth, and on the earth shall be their dwelling»]</w:t>
      </w:r>
      <w:r>
        <w:t xml:space="preserve"> (1 Enoc 15:8)</w:t>
      </w:r>
      <w:r>
        <w:t>; «se levantarán contra los hijos de los hombres y contra las mujeres»</w:t>
      </w:r>
      <w:r>
        <w:t xml:space="preserve"> [original: «these spirits shall rise up against the children of men and against the women»]</w:t>
      </w:r>
      <w:r>
        <w:t xml:space="preserve"> (1 Enoc 15:12)</w:t>
      </w:r>
      <w:r>
        <w:t>; y destruirán «hasta el día de la consumación»</w:t>
      </w:r>
      <w:r>
        <w:t xml:space="preserve"> [original: «thus shall they destroy until the day of the consummation»]</w:t>
      </w:r>
      <w:r>
        <w:t xml:space="preserve"> (1 Enoc 16:1)</w:t>
      </w:r>
      <w:r>
        <w:t>. En Jubileos, nueve partes fueron atadas, «y dejamos una décima parte de ellos, para que estuvieran sujetos a Satán en la tierra»</w:t>
      </w:r>
      <w:r>
        <w:t xml:space="preserve"> [original: «a tenth part of them we left that they might be subject before Satan on the earth»]</w:t>
      </w:r>
      <w:r>
        <w:t xml:space="preserve"> (Jub 10:11)</w:t>
      </w:r>
      <w:r>
        <w:t>.</w:t>
      </w:r>
    </w:p>
    <w:p>
      <w:pPr>
        <w:pStyle w:val="ListBullet"/>
      </w:pPr>
      <w:r>
        <w:rPr>
          <w:b/>
        </w:rPr>
        <w:t>Y Satán y sus ángeles fueron arrojados a la tierra.</w:t>
      </w:r>
      <w:r>
        <w:t xml:space="preserve"> El dragón «fué arrojado en tierra, y sus ángeles fueron arrojados con él»</w:t>
      </w:r>
      <w:r>
        <w:t xml:space="preserve"> (Ap 12:9)</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t xml:space="preserve"> (1 Pe 5:8-9)</w:t>
      </w:r>
      <w:r>
        <w:t>; y «Velad y orad, para que no entréis en tentación»</w:t>
      </w:r>
      <w:r>
        <w:t xml:space="preserve"> (Mt 26:41)</w:t>
      </w:r>
      <w:r>
        <w:t>;</w:t>
      </w:r>
    </w:p>
    <w:p>
      <w:pPr>
        <w:pStyle w:val="ListBullet"/>
      </w:pPr>
      <w:r>
        <w:rPr>
          <w:b/>
        </w:rPr>
        <w:t>no darle sitio:</w:t>
      </w:r>
      <w:r>
        <w:t xml:space="preserve"> «Ni deis lugar al diablo»</w:t>
      </w:r>
      <w:r>
        <w:t xml:space="preserve"> (Ef 4:27)</w:t>
      </w:r>
      <w:r>
        <w:t>; «resistid al diablo, y de vosotros huirá»</w:t>
      </w:r>
      <w:r>
        <w:t xml:space="preserve"> (Stg 4:7)</w:t>
      </w:r>
      <w:r>
        <w:t>;</w:t>
      </w:r>
    </w:p>
    <w:p>
      <w:pPr>
        <w:pStyle w:val="ListBullet"/>
      </w:pPr>
      <w:r>
        <w:rPr>
          <w:b/>
        </w:rPr>
        <w:t>conocer sus maniobras:</w:t>
      </w:r>
      <w:r>
        <w:t xml:space="preserve"> «no ignoramos sus maquinaciones»</w:t>
      </w:r>
      <w:r>
        <w:t xml:space="preserve"> (2 Co 2:11)</w:t>
      </w:r>
      <w:r>
        <w:t>; y vestir «toda la armadura de Dios, para que podáis estar firmes contra las asechanzas del diablo»</w:t>
      </w:r>
      <w:r>
        <w:t xml:space="preserve"> (Ef 6:11)</w:t>
      </w:r>
      <w:r>
        <w:t>;</w:t>
      </w:r>
    </w:p>
    <w:p>
      <w:pPr>
        <w:pStyle w:val="ListBullet"/>
      </w:pPr>
      <w:r>
        <w:rPr>
          <w:b/>
        </w:rPr>
        <w:t>refugiarse en Dios:</w:t>
      </w:r>
      <w:r>
        <w:t xml:space="preserve"> «Si el Demonio te incita al mal, busca refugio en Alá»</w:t>
      </w:r>
      <w:r>
        <w:t xml:space="preserve"> [original: «وَإِمَّا يَنزَغَنَّكَ مِنَ ٱلشَّيْطَٰنِ نَزْغٌۭ فَٱسْتَعِذْ بِٱللَّهِ»]</w:t>
      </w:r>
      <w:r>
        <w:t xml:space="preserve"> (Corán 7:200)</w:t>
      </w:r>
      <w:r>
        <w:t>; y «Cuando los que temen a Alá sufren una aparición del Demonio, se dejan amonestar y ven claro»</w:t>
      </w:r>
      <w:r>
        <w:t xml:space="preserve"> [original: «إِنَّ ٱلَّذِينَ ٱتَّقَوْا۟ إِذَا مَسَّهُمْ طَٰٓئِفٌۭ مِّنَ ٱلشَّيْطَٰنِ تَذَكَّرُوا۟ فَإِذَا هُم مُّبْصِرُونَ»]</w:t>
      </w:r>
      <w:r>
        <w:t xml:space="preserve"> (Corán 7:201)</w:t>
      </w:r>
      <w:r>
        <w:t>;</w:t>
      </w:r>
    </w:p>
    <w:p>
      <w:pPr>
        <w:pStyle w:val="ListBullet"/>
      </w:pPr>
      <w:r>
        <w:rPr>
          <w:b/>
        </w:rPr>
        <w:t>no consentir:</w:t>
      </w:r>
      <w:r>
        <w:t xml:space="preserve"> «Él no puede nada contra los que creen y confían en su Señor. Sólo tiene poder contra los que traban amistad con él»</w:t>
      </w:r>
      <w:r>
        <w:t xml:space="preserve"> [original: «إِنَّهُۥ لَيْسَ لَهُۥ سُلْطَٰنٌ عَلَى ٱلَّذِينَ ءَامَنُوا۟ وَعَلَىٰ رَبِّهِمْ يَتَوَكَّلُونَ إِنَّمَا سُلْطَٰنُهُۥ عَلَى ٱلَّذِينَ يَتَوَلَّوْنَهُۥ»]</w:t>
      </w:r>
      <w:r>
        <w:t xml:space="preserve"> (Corán 16:99-100, traducción de Julio Cortés)</w:t>
      </w:r>
      <w:r>
        <w:t>;</w:t>
      </w:r>
    </w:p>
    <w:p>
      <w:pPr>
        <w:pStyle w:val="ListBullet"/>
      </w:pPr>
      <w:r>
        <w:rPr>
          <w:b/>
        </w:rPr>
        <w:t>la sabiduría:</w:t>
      </w:r>
      <w:r>
        <w:t xml:space="preserve"> ante el ejército de Mara, que el mundo no vence, el Buda dice: «lo romperé con la sabiduría, como una piedra rompe una vasija sin cocer»</w:t>
      </w:r>
      <w:r>
        <w:t xml:space="preserve"> [original: «Taṁ te paññāya bhecchāmi, āmaṁ pattaṁva asmanā»]</w:t>
      </w:r>
      <w:r>
        <w:t xml:space="preserve"> (Sutta Nipata 3.2)</w:t>
      </w:r>
      <w:r>
        <w:t>;</w:t>
      </w:r>
    </w:p>
    <w:p>
      <w:pPr>
        <w:pStyle w:val="ListBullet"/>
      </w:pPr>
      <w:r>
        <w:rPr>
          <w:b/>
        </w:rPr>
        <w:t>cerrar las tres puertas:</w:t>
      </w:r>
      <w:r>
        <w:t xml:space="preserve"> «Triple es esta puerta del infierno, que destruye el alma: el deseo, la ira y la codicia; por eso hay que dejar las tres»</w:t>
      </w:r>
      <w:r>
        <w:t xml:space="preserve"> [original: «tri-vidhaṃ narakasyedaṃ dvāraṃ nāśanam ātmanaḥ kāmaḥ krodhas tathā lobhas tasmād etat trayaṃ tyajet»]</w:t>
      </w:r>
      <w:r>
        <w:t xml:space="preserve"> (Bhagavad Gita 16.21)</w:t>
      </w:r>
      <w:r>
        <w:t>;</w:t>
      </w:r>
    </w:p>
    <w:p>
      <w:pPr>
        <w:pStyle w:val="ListBullet"/>
      </w:pPr>
      <w:r>
        <w:rPr>
          <w:b/>
        </w:rPr>
        <w:t>y el conocimiento, como medicina:</w:t>
      </w:r>
      <w:r>
        <w:t xml:space="preserve"> a Noé se le explicaron «todas las medicinas de sus males, junto con sus seducciones», para que pudiera curarlos</w:t>
      </w:r>
      <w:r>
        <w:t xml:space="preserve"> [original: «we explained to Noah all the medicines of their diseases, together with their seductions, how he might heal them»]</w:t>
      </w:r>
      <w:r>
        <w:t xml:space="preserve"> (Jub 10:12)</w:t>
      </w:r>
      <w:r>
        <w:t>.</w:t>
      </w:r>
    </w:p>
    <w:p>
      <w:r>
        <w:t>Y el criterio de siempre: probar los espíritus (</w:t>
      </w:r>
      <w:r>
        <w:t>1.3</w:t>
      </w:r>
      <w:r>
        <w:t>) y mirar los frutos (</w:t>
      </w:r>
      <w:r>
        <w:t>0.5</w:t>
      </w:r>
      <w:r>
        <w:t>).</w:t>
      </w:r>
    </w:p>
    <w:p>
      <w:r>
        <w:t>[petición de Kiko del 5-oct; 1 Enoc 10, 15 y 16 (Charles, 1917); Jub 10:11-12 (Charles, 1902); Reina-Valera Antigua; Corán, traducción de Julio Cortés; Sutta Nipata 3.2 (SuttaCentral, pali); Bhagavad Gita 16.21 (GRETIL)]</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t xml:space="preserve"> (Ez 33:11)</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t xml:space="preserve"> (Gn 3:4)</w:t>
      </w:r>
      <w:r>
        <w:t>. Dos: sin autoridad, porque quien propone no es el autor de la orden y promete lo que solo la autoridad original podría dar: «seréis como dioses»</w:t>
      </w:r>
      <w:r>
        <w:t xml:space="preserve"> (Gn 3:5)</w:t>
      </w:r>
      <w:r>
        <w:t>. Tres: un motivo atribuido y no comprobable, «Mas sabe Dios que…»</w:t>
      </w:r>
      <w:r>
        <w:t xml:space="preserve"> (Gn 3:5)</w:t>
      </w:r>
      <w:r>
        <w:t>. Cuatro: los frutos, que son miedo, escondite, acusación en cadena y expulsión</w:t>
      </w:r>
      <w:r>
        <w:t xml:space="preserve"> (Gn 3:7-24)</w:t>
      </w:r>
      <w:r>
        <w:t>: daña, y no hay reciprocidad ni beneficio mutuo. Además, el texto no muestra ninguna necesidad: tenían todos los demás árboles, «De todo árbol del huerto comerás»</w:t>
      </w:r>
      <w:r>
        <w:t xml:space="preserve"> (Gn 2:16)</w:t>
      </w:r>
      <w:r>
        <w:t>; lo que mueve es el deseo, «agradable á los ojos»</w:t>
      </w:r>
      <w:r>
        <w:t xml:space="preserve"> (Gn 3:6)</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t xml:space="preserve"> (Gn 2:16)</w:t>
      </w:r>
      <w:r>
        <w:t>. Un juego con criba selecciona por poder, que es la lógica de Nimrod, «vigoroso cazador delante de Jehová»</w:t>
      </w:r>
      <w:r>
        <w:t xml:space="preserve"> (Gn 10:9)</w:t>
      </w:r>
      <w:r>
        <w:t>, y la de Babel: «hagámonos un nombre»</w:t>
      </w:r>
      <w:r>
        <w:t xml:space="preserve"> (Gn 11:4)</w:t>
      </w:r>
      <w:r>
        <w:t>. Es lectura, no dato: el texto no habla de niveles ni de un juego.</w:t>
      </w:r>
    </w:p>
    <w:p>
      <w:r>
        <w:t>[palabras de Kiko, 8-oct-2026; 04e apartado 5; 04n E5; borrador B7, 9-oct]</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t xml:space="preserve"> (2 Co 11:14)</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t xml:space="preserve"> [original: «ἔστιν ἄρα ἡ ἀρετὴ ἕξις προαιρετική, ἐν μεσότητι οὖσα τῇ πρὸς ἡμᾶς, ὡρισμένῃ λόγῳ καὶ ᾧ ἂν ὁ φρόνιμος ὁρίσειεν. μεσότης δὲ δύο κακιῶν, τῆς μὲν καθʼ ὑπερβολὴν τῆς δὲ κατʼ ἔλλειψιν»]</w:t>
      </w:r>
      <w:r>
        <w:t xml:space="preserve"> (Aristóteles, Ética a Nicómaco II, 6, 1106b36 a 1107a2, en el griego de la edición de Bywater (Oxford, 1894), Perseus Digital Library; traducción de la edición)</w:t>
      </w:r>
      <w:r>
        <w:t>;</w:t>
      </w:r>
    </w:p>
    <w:p>
      <w:pPr>
        <w:pStyle w:val="ListBullet"/>
      </w:pPr>
      <w:r>
        <w:t>«errar es posible de muchas maneras […]; acertar, de una sola»</w:t>
      </w:r>
      <w:r>
        <w:t xml:space="preserve"> [original: «τὸ μὲν ἁμαρτάνειν πολλαχῶς ἔστιν […], τὸ δὲ κατορθοῦν μοναχῶς»]</w:t>
      </w:r>
      <w:r>
        <w:t xml:space="preserve"> (Aristóteles, Ética a Nicómaco II, 6, 1106b28 a 1106b32, ídem; traducción de la edición)</w:t>
      </w:r>
      <w:r>
        <w:t>;</w:t>
      </w:r>
    </w:p>
    <w:p>
      <w:pPr>
        <w:pStyle w:val="ListBullet"/>
      </w:pPr>
      <w:r>
        <w:t>y da dos ejemplos: en el miedo y la confianza, el término medio es la valentía, y los extremos, el temerario y el cobarde; en el dar y recibir dinero, es la generosidad, y los extremos, el derroche y la tacañería</w:t>
      </w:r>
      <w:r>
        <w:t xml:space="preserve"> [original: «ἀνδρεία μεσότης […] θρασύς […] δειλός»; «ἐλευθεριότης […] ἀσωτία καὶ ἀνελευθερία»]</w:t>
      </w:r>
      <w:r>
        <w:t xml:space="preserve"> (Aristóteles, Ética a Nicómaco II, 7, 1107a33 a 1107b8, en el griego de la edición de Bywater (Oxford, 1894), Perseus Digital Library; traducción de la edición)</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r>
        <w:t xml:space="preserve">[petición de Kiko del 8-oct-2026; 2 Co 11:14 y 4.3, ya en el capítulo; Aristóteles, </w:t>
      </w:r>
      <w:r>
        <w:rPr>
          <w:i/>
        </w:rPr>
        <w:t>Ética a Nicómaco</w:t>
      </w:r>
      <w:r>
        <w:t xml:space="preserve"> II, 6 y 7, leído el 8-oct-2026 en el griego de la edición de Bywater (Perseus Digital Library), con los siete fragmentos griegos comprobados letra a letra por programa; lectura del autor, palabras del autor, 8-oct-2026]</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t xml:space="preserve"> [original: «ὅταν λαλῇ τὸ ψεῦδος, ἐκ τῶν ἰδίων λαλεῖ, ὅτι ψεύστης ἐστὶν καὶ ὁ πατὴρ αὐτοῦ»]</w:t>
      </w:r>
      <w:r>
        <w:t xml:space="preserve"> (Jn 8:44)</w:t>
      </w:r>
      <w:r>
        <w:t>.</w:t>
      </w:r>
    </w:p>
    <w:p>
      <w:r>
        <w:rPr>
          <w:b/>
        </w:rPr>
        <w:t>La mentira, del lado del mal, en otras tradiciones:</w:t>
      </w:r>
    </w:p>
    <w:p>
      <w:pPr>
        <w:pStyle w:val="ListBullet"/>
      </w:pPr>
      <w:r>
        <w:rPr>
          <w:b/>
        </w:rPr>
        <w:t>Persia:</w:t>
      </w:r>
      <w:r>
        <w:t xml:space="preserve"> de los dos espíritus, «el que siguió la Mentira eligió hacer lo peor»</w:t>
      </w:r>
      <w:r>
        <w:t xml:space="preserve"> [original: «ayå manivå varatâ ýê dregvå acishtâ verezyô»; en la traducción inglesa de avesta.org: «Of these twain Spirits he that followed the Lie chose doing the worst things»]</w:t>
      </w:r>
      <w:r>
        <w:t xml:space="preserve"> (Yasna 30:5)</w:t>
      </w:r>
      <w:r>
        <w:t>;</w:t>
      </w:r>
    </w:p>
    <w:p>
      <w:pPr>
        <w:pStyle w:val="ListBullet"/>
      </w:pPr>
      <w:r>
        <w:rPr>
          <w:b/>
        </w:rPr>
        <w:t>la India:</w:t>
      </w:r>
      <w:r>
        <w:t xml:space="preserve"> los de condición demoníaca dicen que el mundo «no tiene verdad, ni fundamento, ni Señor»</w:t>
      </w:r>
      <w:r>
        <w:t xml:space="preserve"> [original: «asatyam apratiṣṭhaṃ te jagad āhur anīśvaram»]</w:t>
      </w:r>
      <w:r>
        <w:t xml:space="preserve"> (Bhagavad Gita 16.8)</w:t>
      </w:r>
      <w:r>
        <w:t>; y la Upanishad responde: «solo la verdad vence, no la mentira»</w:t>
      </w:r>
      <w:r>
        <w:t xml:space="preserve"> [original: «सत्यमेव जयते नानृतं»]</w:t>
      </w:r>
      <w:r>
        <w:t xml:space="preserve"> (Mundaka Upanishad 3.1.6)</w:t>
      </w:r>
      <w:r>
        <w:t>;</w:t>
      </w:r>
    </w:p>
    <w:p>
      <w:pPr>
        <w:pStyle w:val="ListBullet"/>
      </w:pPr>
      <w:r>
        <w:rPr>
          <w:b/>
        </w:rPr>
        <w:t>el budismo:</w:t>
      </w:r>
      <w:r>
        <w:t xml:space="preserve"> «vence al mentiroso con la verdad»</w:t>
      </w:r>
      <w:r>
        <w:t xml:space="preserve"> [original: «saccenālikavādinaṁ»]</w:t>
      </w:r>
      <w:r>
        <w:t xml:space="preserve"> (Dhammapada 223)</w:t>
      </w:r>
      <w:r>
        <w:t>;</w:t>
      </w:r>
    </w:p>
    <w:p>
      <w:pPr>
        <w:pStyle w:val="ListBullet"/>
      </w:pPr>
      <w:r>
        <w:rPr>
          <w:b/>
        </w:rPr>
        <w:t>el islam:</w:t>
      </w:r>
      <w:r>
        <w:t xml:space="preserve"> «¡Ha venido la Verdad y se ha disipado lo falso! ¡Lo falso tiene que disiparse!»</w:t>
      </w:r>
      <w:r>
        <w:t xml:space="preserve"> [original: «جَآءَ ٱلْحَقُّ وَزَهَقَ ٱلْبَٰطِلُ ۚ إِنَّ ٱلْبَٰطِلَ كَانَ زَهُوقًۭا»]</w:t>
      </w:r>
      <w:r>
        <w:t xml:space="preserve"> (Corán 17:81, traducción de Julio Cortés)</w:t>
      </w:r>
      <w:r>
        <w:t>.</w:t>
      </w:r>
    </w:p>
    <w:p>
      <w:r>
        <w:t>Y la verdad libera, pero con una condición: «Si vosotros permaneciereis en mi palabra, seréis verdaderamente mis discípulos; Y conoceréis la verdad, y la verdad os libertará»</w:t>
      </w:r>
      <w:r>
        <w:t xml:space="preserve"> (Jn 8:31-32)</w:t>
      </w:r>
      <w:r>
        <w:t>.</w:t>
      </w:r>
    </w:p>
    <w:p>
      <w:r>
        <w:t>[00.00-6.3 a 6.9, corregido: el Dhammapada que vence al mentiroso es el verso 223, no el 11-12; textos leídos en su original]</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 </w:t>
      </w:r>
      <w:r>
        <w:t>[00.00-6.9]</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t>[glosario 9.1, fórmula aprobada por Kiko el 5-oct]</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t xml:space="preserve"> [original: «τὰ μὲν δίκαια πράττοντες δίκαιοι γινόμεθα»]</w:t>
      </w:r>
      <w:r>
        <w:t xml:space="preserve"> (Aristóteles, Ética a Nicómaco II, 1, 1103b)</w:t>
      </w:r>
      <w:r>
        <w:t>;</w:t>
      </w:r>
    </w:p>
    <w:p>
      <w:pPr>
        <w:pStyle w:val="ListBullet"/>
      </w:pPr>
      <w:r>
        <w:rPr>
          <w:b/>
        </w:rPr>
        <w:t>el Evangelio:</w:t>
      </w:r>
      <w:r>
        <w:t xml:space="preserve"> «todo aquel que hace pecado, es siervo de pecado»</w:t>
      </w:r>
      <w:r>
        <w:t xml:space="preserve"> (Jn 8:34)</w:t>
      </w:r>
      <w:r>
        <w:t>; y Pablo: «sois siervos de aquel á quien obedecéis»</w:t>
      </w:r>
      <w:r>
        <w:t xml:space="preserve"> (Rm 6:16)</w:t>
      </w:r>
      <w:r>
        <w:t>. De los que hablan mentira dice que acaban «teniendo cauterizada la conciencia»</w:t>
      </w:r>
      <w:r>
        <w:t xml:space="preserve"> (1 Tim 4:2)</w:t>
      </w:r>
      <w:r>
        <w:t>;</w:t>
      </w:r>
    </w:p>
    <w:p>
      <w:pPr>
        <w:pStyle w:val="ListBullet"/>
      </w:pPr>
      <w:r>
        <w:rPr>
          <w:b/>
        </w:rPr>
        <w:t>el islam:</w:t>
      </w:r>
      <w:r>
        <w:t xml:space="preserve"> «Lo que han cometido ha cubierto de herrumbre sus corazones»</w:t>
      </w:r>
      <w:r>
        <w:t xml:space="preserve"> [original: «بَلْ ۜ رَانَ عَلَىٰ قُلُوبِهِم مَّا كَانُوا۟ يَكْسِبُونَ»]</w:t>
      </w:r>
      <w:r>
        <w:t xml:space="preserve"> (Corán 83:14, traducción de Julio Cortés)</w:t>
      </w:r>
      <w:r>
        <w:t>;</w:t>
      </w:r>
    </w:p>
    <w:p>
      <w:pPr>
        <w:pStyle w:val="ListBullet"/>
      </w:pPr>
      <w:r>
        <w:rPr>
          <w:b/>
        </w:rPr>
        <w:t>el budismo:</w:t>
      </w:r>
      <w:r>
        <w:t xml:space="preserve"> «No tengas en poco el mal […]: gota a gota se llena la jarra de agua; el necio se llena de mal, juntándolo poco a poco»</w:t>
      </w:r>
      <w:r>
        <w:t xml:space="preserve"> [original: «Māvamaññetha pāpassa […] Udabindunipātena, udakumbhopi pūrati; Bālo pūrati pāpassa, thokaṁ thokampi ācinaṁ»]</w:t>
      </w:r>
      <w:r>
        <w:t xml:space="preserve"> (Dhammapada 121)</w:t>
      </w:r>
      <w:r>
        <w:t>.</w:t>
      </w:r>
    </w:p>
    <w:p>
      <w:r>
        <w:t>Y lo mismo vale para el bien: el grano, por repetición, hace el bien (</w:t>
      </w:r>
      <w:r>
        <w:t>2.5</w:t>
      </w:r>
      <w:r>
        <w:t>).</w:t>
      </w:r>
    </w:p>
    <w:p>
      <w:r>
        <w:t>[petición de Kiko del 5-oct; Aristóteles leído en griego (Perseus); Reina-Valera Antigua; Corán, árabe y Cortés; Dhammapada en pali (SuttaCentral)]</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t>[00.00-6.1 y 6.2; la repetición y la polarización, lectura de Kiko del 5-oct]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t xml:space="preserve"> (Lv 19:18)</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r>
        <w:t>[palabras de Kiko, 8-oct-2026; 04c; 04n Q17; borrador B7, 9-oct]</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r>
        <w:t>[04.00-9.1]</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r>
        <w:t>[04.00-8.6, 8.7 y 9.1]</w:t>
      </w:r>
    </w:p>
    <w:p>
      <w:pPr>
        <w:pStyle w:val="ListBullet"/>
      </w:pPr>
      <w:r>
        <w:rPr>
          <w:b/>
        </w:rPr>
        <w:t>El Estado actúa por cargos con nombre, y la ley prevé que respondan.</w:t>
      </w:r>
      <w:r>
        <w:t xml:space="preserve"> Esa defensa, con sus artículos, se oye en las cuestiones previas (</w:t>
      </w:r>
      <w:r>
        <w:t>11.2</w:t>
      </w:r>
      <w:r>
        <w:t xml:space="preserve">). </w:t>
      </w:r>
      <w:r>
        <w:t>[04.00-8.2 y 8.3]</w:t>
      </w:r>
    </w:p>
    <w:p>
      <w:pPr>
        <w:pStyle w:val="ListBullet"/>
      </w:pPr>
      <w:r>
        <w:rPr>
          <w:b/>
        </w:rPr>
        <w:t>Que el Estado solo exista porque se cree en él es una posición doctrinal,</w:t>
      </w:r>
      <w:r>
        <w:t xml:space="preserve"> no un consenso. Las conclusiones de la obra no dependen de ella, sino de hechos que se pueden comprobar. </w:t>
      </w:r>
      <w:r>
        <w:t>[04.00-8.8 y 8.9]</w:t>
      </w:r>
    </w:p>
    <w:p>
      <w:pPr>
        <w:pStyle w:val="ListBullet"/>
      </w:pPr>
      <w:r>
        <w:rPr>
          <w:b/>
        </w:rPr>
        <w:t>El dualismo puro es la excepción:</w:t>
      </w:r>
      <w:r>
        <w:t xml:space="preserve"> solo dos de las nueve tradiciones lo sostienen. Presentarlo todo como una guerra de dos poderes iguales sería falsear las fuentes. </w:t>
      </w:r>
      <w:r>
        <w:t>[05.00-11.1]</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r>
        <w:t>[clasificación de las defensas, aprobada; glosario 8.13]</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r>
        <w:br w:type="page"/>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keepNext/>
      </w:pPr>
      <w:r>
        <w:rPr>
          <w:rFonts w:ascii="Segoe UI" w:hAnsi="Segoe UI" w:eastAsia="Segoe UI" w:cs="Segoe UI"/>
          <w:b/>
          <w:color w:val="6B665E"/>
          <w:sz w:val="20"/>
        </w:rPr>
        <w:t>Notas de trabajo (estado y trazabilidad)</w:t>
      </w:r>
    </w:p>
    <w:p>
      <w:r>
        <w:t>Cambio del 12-oct-2026, el cierre, dentro del paso 3 (orden de 08.30, fila 725 de 08/01): en la conclusión de 5.1, «y el «derecho» no se puede reclamar» pasa a «y el «derecho» a la vivienda no se puede reclamar», como dicen la tabla de 5.1 y «Para recordar» (07/herramientas/aplicar_derecho_vivienda_5_1.py).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6 (borrador B16). Ninguna otra palabra cambia. Cambio del 11-oct-2026 (Kiko, chat de 08.16, 21:5x, pasado por 08.16 tal cual: «sí, corrígelo si expecifica o sino deben de estar ahi los sacas que utilice otros si hay para apoyar su argumentacion […]»; borrador B12 de la carpeta 07, aviso de 11.2): en 5.1, n.º 14, «ha anulado varios decretos-leyes» pasa a «ha anulado al menos cinco veces decretos-leyes […]: uno entero, en 2007, y partes de otros cuatro: dos en 2011, uno en 2018 y otro en 2020», cada una con su sentencia. Las de 2018 y 2020, leídas en local (06/10 FUENTES LEIDAS/c10); las de 2007 y 2011, en el BOE (BOE-T-2007-8660, FJ 12; BOE-A-2011-6546, FJ 8; BOE-A-2011-16025, FJ 8), las tres por el art. 86.1. Ninguna otra palabra cambia. Cambio del 9-oct-2026 (Kiko: «Sí al B6 con las tres recomendaciones» y «sí al B6»; filas 38 de 04p; borrador B6 de la carpeta 07, escrito por la ventana que acompaña): en 5.4, «La idea» y un bloque nuevo al final, «La piedra que sostiene toda la obra» (el pueblo no consintió; nació dentro y lo aceptó sin saberlo; si es verdadero, se sostiene, con Mt 7:24-27); y la frase en 5.0, «En pocas palabras» y «Para recordar». Cambio del 8-oct-2026 (fase de reparación, sexta tanda): corregida una remisión que apuntaba a un apartado que no trata de lo que se remite: «no es otra persona escondida bajo el nombre propio» remitía a 2.6, que no lo trata; se trata en el anexo E (E.2). Cambio del 8-oct-2026 (parlamento sobre los mitos; Kiko: «sí a las tres, con tus recomendaciones» y el añadido del método de medir): en 5.4, «ese mito ya se descartó» pasa a «la idea de una persona oculta bajo el nombre propio no tiene respaldo (anexo E)». ESTADO: APROBADO por Kiko el 5-oct-2026 («sí a todas»: el título del glosario, las correcciones en la Biblioteca y el párrafo de Aristóteles). Su material está marcado en el inventario (04 CAPITULOS/marcas/marcas del capitulo 5.txt).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localizó y descargó un agente (61 archivos en c5 y 7 en c5b); Claude leyó cada original y extrajo las citas. Leído hoy en su original: - BOE: Constitución, arts. 1, 9, 10, 16, 47, 50, 53.3, 67.2, 71.4, 86, 135.3 y 168; Código Civil, arts. 1, 6.1, 29, 30 y 1261; Ley 39/2015, arts. 21, 39, 77.5, 98, 99 y 129; Ley General de la Seguridad Social, arts. 110.1, 122 y 123.2.d; texto refundido de la Ley Concursal, art. 1.3; Ley 20/2011 del Registro Civil, arts. 5, 6, 45, 46 (en la redacción de la Ley 19/2015) y 48; Ley General Tributaria, art. 28; Ley de Enjuiciamiento Civil, art. 517; Ley 46/1998, art. 3; Ley Orgánica 6/2002, de Partidos Políticos, art. 7.1; STC 184/2025. - Otros: Tratado de Funcionamiento de la UE, art. 3.1.c; Fondo de Reserva, informe a las Cortes de 2025; Memoria del Tribunal Constitucional de 2025; INE, Tabla de Pensiones 2021; Banco de Inglaterra, 2014. - Diccionarios: Webster, 1913 (Gutenberg); Real Academia Española, 14.ª edición, 1914 (Internet Archive, dos copias: diccionariodelal00realuoft y diccionariodelal0000unse_q9u2); 22.ª edición, 2001, y edición actual. - Biblia: Reina-Valera Antigua. - Autores: Montaigne, Ensayos III, 13 (Wikisource, edición de Burdeos); Pascal, Pensamientos, fr. 294 (Wikisource, edición de Brunschvicg, 1921); Rousseau, Del contrato social I, 4 (Wikisource, edición de 1762); La Boétie, Discurso de la servidumbre voluntaria (Wikisource, edición de 1922); Aristóteles, Ética a Nicómaco II, 1, 1103b (Perseus, griego); Lewis y Short, A Latin Dictionary, s. v. «persona» (Perseus). - Fuente secundaria, porque no hay texto abierto: Searle (1995), su fórmula comprobada en la Stanford Encyclopedia of Philosophy, «Social Ontology»; Derrida (1989), por el título y el año; Putnam (2000), por el título. Hallado al escribir (corregido en la Biblioteca el 5-oct, libreta 72, punto 134, salvo lo que se dice): - 00.1, «Otras seis incongruencias», fila 3: no fue el Supremo, sino el Tribunal Constitucional (STC 184/2025, Pleno, 2-12-2025); y no anuló el reglamento entero, sino que declaró inconstitucional y nulo su art. 73.1. Corregido en la 00.1, y en la 00.2, la 20.00 y la 37.00 («un artículo de un reglamento»). - 00.1, «Otras seis incongruencias», fila 4 («Ninguna ley obliga a explicar las normas en lenguaje llano…»): afirmación de ausencia que no se sostiene tal cual. La Ley 39/2015, art. 129.4, pide un marco normativo «claro» que facilite «su conocimiento y comprensión». No entra; va a la libreta de flecos (no se corrige: queda pendiente). - 00.1, «contrato social»: «sus propios teóricos lo presentan como una idea (Hume, Kant)». Hume fue un crítico del contrato original, no su teórico. Se revisa al escribir 6.1; aquí solo se remite (no se corrige todavía). - Constitución, art. 135.3: la Biblioteca corta la cita; sigue «mientras se ajusten a las condiciones de la ley de emisión». Aquí va entera. Corregido en la 00.1. - Del borrador, no de la Biblioteca: el INE dice que la cifra «hace referencia al valor presente»; la Biblioteca lo parafrasea bien («el valor actual de pagos futuros»), sin comillas. - Verificado hoy, que la Biblioteca daba sin poder abrir: la RAE de 1914 dice lo que la 00.1 afirma. Nuevo, aprobado por Kiko el 5-oct: en 5.5, Aristóteles, los legisladores forman a los ciudadanos por la costumbre (mismo pasaje que 4.4). Título: el del glosario 3.3, «lo que se da por supuesto», porque «lo que nos hacen creer» supone intención; esa expresión se queda en la lectura del autor (decisión de Kiko del 5-oct; índice y 0.6 al día). No entra: 04.00-2.5 (Miguel Anxo Bastos), sin obra ni página que leer; la idea, con fuente, está en 5.3 (Searle), y su límite ya se dijo en el capítulo 4 (es una posición doctrinal). Conceptos que ancla: la maniobra camuflada y el dinero sin respaldo material, en breve (5.1; se desarrolla en 8.1); la presunción (5.2; en breve en 0.4); contra natura (5.2); la ficción jurídica (5.3). Corregido el 7-oct-2026 (capítulo 11, parte 6): «Las veinticinco preguntas» pasa a «Las preguntas»: el catálogo (00.1) tiene 24, ordenadas por destinatario en 11.5; las 25 maniobras de 5.1 no tienen una pregunta cada una.</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 </w:t>
      </w:r>
      <w:r>
        <w:t>[glosario 3.3; 00.1-0.0.2]</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 xml:space="preserve">. </w:t>
      </w:r>
      <w:r>
        <w:t>[00.1-0.0.3 y 0.0.4]</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t xml:space="preserve"> (Ley General de la Seguridad Social, art. 110.1)</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t xml:space="preserve"> (Ley General de la Seguridad Social, art. 122)</w:t>
      </w:r>
      <w:r>
        <w:t>, y hoy «está compuesta, exclusivamente, por deuda pública española»</w:t>
      </w:r>
      <w:r>
        <w:t xml:space="preserve"> (Fondo de Reserva, informe a las Cortes Generales, 2025)</w:t>
      </w:r>
      <w:r>
        <w:t>. En el comité que decide se sienta el Director General del Tesoro</w:t>
      </w:r>
      <w:r>
        <w:t xml:space="preserve"> (art. 123.2.d)</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t xml:space="preserve"> (Eurostat, cuentas de las administraciones públicas)</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t xml:space="preserve"> (Ley 35/2006, art. 63)</w:t>
      </w:r>
      <w:r>
        <w:t>, y «El mínimo del contribuyente será, con carácter general, de 5.550 euros anuales»</w:t>
      </w:r>
      <w:r>
        <w:t xml:space="preserve"> (art. 57.1)</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t xml:space="preserve"> (texto refundido de la Ley Concursal, art. 1.3)</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t xml:space="preserve"> (Constitución, art. 135.3)</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t xml:space="preserve"> (STC 73/2017)</w:t>
      </w:r>
      <w:r>
        <w:t xml:space="preserve"> y el cálculo de la plusvalía municipal</w:t>
      </w:r>
      <w:r>
        <w:t xml:space="preserve"> (STC 182/2021)</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t xml:space="preserve"> [original: «This article explains how the majority of money in the modern economy is created by commercial banks making loans.»]</w:t>
      </w:r>
      <w:r>
        <w:t xml:space="preserve"> (Banco de Inglaterra, «Money creation in the modern economy» (La creación del dinero en la economía moderna), Quarterly Bulletin (Boletín trimestral), 2014)</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t xml:space="preserve"> (Ley 46/1998, art. 3)</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t xml:space="preserve"> [original: «la política monetaria de los Estados miembros cuya moneda es el euro»]</w:t>
      </w:r>
      <w:r>
        <w:t xml:space="preserve"> (Tratado de Funcionamiento de la Unión Europea, art. 3.1.c)</w:t>
      </w:r>
      <w:r>
        <w:t>. (</w:t>
      </w:r>
      <w:r>
        <w:t>8.2</w:t>
      </w:r>
      <w:r>
        <w:t xml:space="preserve"> y </w:t>
      </w:r>
      <w:r>
        <w:t>8.3</w:t>
      </w:r>
      <w:r>
        <w:t>)</w:t>
      </w:r>
    </w:p>
    <w:p>
      <w:r>
        <w:t>[00.1-1.1 a 1.14; normas leídas en el BOE; Fondo de Reserva, Banco de Inglaterra y Tratado, en su documento]</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 xml:space="preserve">. </w:t>
      </w:r>
      <w:r>
        <w:t>[glosario 6.1]</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t xml:space="preserve"> (Código Civil, art. 1261)</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t xml:space="preserve"> (Constitución, art. 86.1)</w:t>
      </w:r>
      <w:r>
        <w:t>, y el Constitucional ha anulado al menos cinco veces decretos-leyes por no justificar esa urgencia: uno entero, en 2007</w:t>
      </w:r>
      <w:r>
        <w:t xml:space="preserve"> (STC 68/2007, de 28-III)</w:t>
      </w:r>
      <w:r>
        <w:t>, y partes de otros cuatro: dos en 2011</w:t>
      </w:r>
      <w:r>
        <w:t xml:space="preserve"> (STC 31/2011, de 17-III; STC 137/2011, de 14-IX)</w:t>
      </w:r>
      <w:r>
        <w:t>, uno en 2018</w:t>
      </w:r>
      <w:r>
        <w:t xml:space="preserve"> (STC 61/2018, de 7-VI)</w:t>
      </w:r>
      <w:r>
        <w:t xml:space="preserve"> y otro en 2020</w:t>
      </w:r>
      <w:r>
        <w:t xml:space="preserve"> (STC 14/2020, de 28-I)</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t xml:space="preserve"> (Ley 39/2015, art. 98.1)</w:t>
      </w:r>
      <w:r>
        <w:t>, y ella misma puede ejecutarlos</w:t>
      </w:r>
      <w:r>
        <w:t xml:space="preserve"> (art. 99)</w:t>
      </w:r>
      <w:r>
        <w:t>: embarga sin juez previo. Un particular necesita siempre un título, porque «La acción ejecutiva deberá fundarse en un título que tenga aparejada ejecución»</w:t>
      </w:r>
      <w:r>
        <w:t xml:space="preserve"> (Ley de Enjuiciamiento Civil, art. 517.1)</w:t>
      </w:r>
      <w:r>
        <w:t>: una sentencia, un laudo o una escritura. Al ciudadano que paga tarde se le aplica un recargo del 5, el 10 o el 20 %</w:t>
      </w:r>
      <w:r>
        <w:t xml:space="preserve"> (Ley General Tributaria, art. 28)</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t xml:space="preserve"> (Constitución, art. 53.3)</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t xml:space="preserve"> (Constitución, art. 67.2)</w:t>
      </w:r>
      <w:r>
        <w:t>, y durante el mandato nadie los puede apartar, salvo en los casos tasados del Reglamento</w:t>
      </w:r>
      <w:r>
        <w:t xml:space="preserve"> (Reglamento del Congreso, art. 22)</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t xml:space="preserve"> (Ley Orgánica 6/2002, art. 7.1)</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t xml:space="preserve"> (Tribunal Constitucional, Memoria 2025)</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r>
        <w:t>[00.1-3.1 a 3.10; normas leídas en el BOE; Memoria del Constitucional]</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xml:space="preserve"> [original: «Undue expansion or increase, from overissue; -- said of currency. [U.S.]»]</w:t>
      </w:r>
      <w:r>
        <w:t>, y llamaba «inflacionista» a quien «favorece una emisión aumentada o muy grande de papel moneda»</w:t>
      </w:r>
      <w:r>
        <w:t xml:space="preserve"> [original: «One who favors an increased or very large issue of paper money.»]</w:t>
      </w:r>
      <w:r>
        <w:t xml:space="preserve"> (Webster's Revised Unabridged Dictionary (Diccionario Webster revisado e íntegro), 1913, Proyecto Gutenberg n.º 29765, s. v. «inflation» e «inflationist»)</w:t>
      </w:r>
      <w:r>
        <w:t>.</w:t>
      </w:r>
    </w:p>
    <w:p>
      <w:pPr>
        <w:pStyle w:val="ListBullet2"/>
      </w:pPr>
      <w:r>
        <w:t>En español, en 1914, «inflación» solo era «Acción y efecto de inflar» y, en sentido figurado, «Engreimiento y vanidad»</w:t>
      </w:r>
      <w:r>
        <w:t xml:space="preserve"> (Real Academia Española, Diccionario de la lengua castellana, 14.ª edición, 1914)</w:t>
      </w:r>
      <w:r>
        <w:t>.</w:t>
      </w:r>
    </w:p>
    <w:p>
      <w:pPr>
        <w:pStyle w:val="ListBullet2"/>
      </w:pPr>
      <w:r>
        <w:t>En 2001, la Academia la definía en economía como «Elevación notable del nivel de precios con efectos desfavorables para la economía de un país»</w:t>
      </w:r>
      <w:r>
        <w:t xml:space="preserve"> (Diccionario de la lengua española, 22.ª edición, 2001)</w:t>
      </w:r>
      <w:r>
        <w:t>.</w:t>
      </w:r>
    </w:p>
    <w:p>
      <w:pPr>
        <w:pStyle w:val="ListBullet2"/>
      </w:pPr>
      <w:r>
        <w:t>Hoy, como «Elevación del nivel general de precios»</w:t>
      </w:r>
      <w:r>
        <w:t xml:space="preserve"> (Diccionario de la lengua española, edición actual)</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t xml:space="preserve"> [original: «6.129.248 millones de euros correspondieron a los sistemas garantizados por las Administraciones Públicas»]</w:t>
      </w:r>
      <w:r>
        <w:t xml:space="preserve"> (INE, Tabla de Pensiones 2021)</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t xml:space="preserve"> (Ley 39/2015, art. 21.1)</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t>[00.1-5.1 a 5.7; diccionarios leídos en su fuente, la RAE de 1914 en Internet Archive el 5-X-2026; INE y Ley 39/2015, en su documento]</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t xml:space="preserve"> (Ley 39/2015, art. 129.4)</w:t>
      </w:r>
      <w:r>
        <w:t>, y una información de transparencia publicada «de una manera clara, estructurada y entendible» y «comprensible, de acceso fácil y gratuito»</w:t>
      </w:r>
      <w:r>
        <w:t xml:space="preserve"> (Ley 19/2013, art. 5.4 y 5.5)</w:t>
      </w:r>
      <w:r>
        <w:t>. La obra no ha buscado en todo el ordenamiento una obligación expresa de explicar las normas en lenguaje llano a quien no es jurista.</w:t>
      </w:r>
    </w:p>
    <w:p>
      <w:r>
        <w:t>[00.1-7.1 a 7.6 (la fila 4, con lo leído en la Ley 39/2015 y en la Ley 19/2013, y sin «ninguna ley»); STC 184/2025 leída en el BOE; corregido en la Biblioteca, que decía «el Supremo» y «entero»]</w:t>
      </w:r>
    </w:p>
    <w:p>
      <w:r>
        <w:rPr>
          <w:b/>
        </w:rPr>
        <w:t>A qué ámbitos de la vida afecta.</w:t>
      </w:r>
      <w:r>
        <w:t xml:space="preserve"> No es un asunto de economistas. Esta tabla reúne, de un vistazo, lo que cada creencia toca en la vida de una persona corriente:</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Ámbito de la vida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le hace creer</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dicen los datos</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color w:val="1F1D1A"/>
                <w:sz w:val="18"/>
              </w:rPr>
              <w:t>Su tiempo de vida</w:t>
            </w:r>
          </w:p>
        </w:tc>
        <w:tc>
          <w:tcPr>
            <w:tcW w:type="dxa" w:w="2296"/>
          </w:tcPr>
          <w:p>
            <w:pPr>
              <w:spacing w:after="20" w:line="264" w:lineRule="auto"/>
            </w:pPr>
            <w:r/>
            <w:r>
              <w:rPr>
                <w:rFonts w:ascii="Segoe UI" w:hAnsi="Segoe UI" w:eastAsia="Segoe UI" w:cs="Segoe UI"/>
                <w:color w:val="1F1D1A"/>
                <w:sz w:val="18"/>
              </w:rPr>
              <w:t>Que trabaja para sí.</w:t>
            </w:r>
          </w:p>
        </w:tc>
        <w:tc>
          <w:tcPr>
            <w:tcW w:type="dxa" w:w="2296"/>
          </w:tcPr>
          <w:p>
            <w:pPr>
              <w:spacing w:after="20" w:line="264" w:lineRule="auto"/>
            </w:pPr>
            <w:r/>
            <w:r>
              <w:rPr>
                <w:rFonts w:ascii="Segoe UI" w:hAnsi="Segoe UI" w:eastAsia="Segoe UI" w:cs="Segoe UI"/>
                <w:color w:val="1F1D1A"/>
                <w:sz w:val="18"/>
              </w:rPr>
              <w:t>Entre el 41 % y el 53,6 % del coste de su trabajo va a impuestos y cotizaciones.</w:t>
            </w:r>
          </w:p>
        </w:tc>
        <w:tc>
          <w:tcPr>
            <w:tcW w:type="dxa" w:w="2296"/>
          </w:tcPr>
          <w:p>
            <w:pPr>
              <w:spacing w:after="20" w:line="264" w:lineRule="auto"/>
            </w:pPr>
            <w:r/>
            <w:r>
              <w:rPr>
                <w:rFonts w:ascii="Segoe UI" w:hAnsi="Segoe UI" w:eastAsia="Segoe UI" w:cs="Segoe UI"/>
                <w:color w:val="1F1D1A"/>
                <w:sz w:val="18"/>
              </w:rPr>
              <w:t>8.4</w:t>
            </w:r>
          </w:p>
        </w:tc>
      </w:tr>
      <w:tr>
        <w:tc>
          <w:tcPr>
            <w:tcW w:type="dxa" w:w="2296"/>
          </w:tcPr>
          <w:p>
            <w:pPr>
              <w:spacing w:after="20" w:line="264" w:lineRule="auto"/>
            </w:pPr>
            <w:r/>
            <w:r>
              <w:rPr>
                <w:rFonts w:ascii="Segoe UI" w:hAnsi="Segoe UI" w:eastAsia="Segoe UI" w:cs="Segoe UI"/>
                <w:color w:val="1F1D1A"/>
                <w:sz w:val="18"/>
              </w:rPr>
              <w:t>Su sueldo</w:t>
            </w:r>
          </w:p>
        </w:tc>
        <w:tc>
          <w:tcPr>
            <w:tcW w:type="dxa" w:w="2296"/>
          </w:tcPr>
          <w:p>
            <w:pPr>
              <w:spacing w:after="20" w:line="264" w:lineRule="auto"/>
            </w:pPr>
            <w:r/>
            <w:r>
              <w:rPr>
                <w:rFonts w:ascii="Segoe UI" w:hAnsi="Segoe UI" w:eastAsia="Segoe UI" w:cs="Segoe UI"/>
                <w:color w:val="1F1D1A"/>
                <w:sz w:val="18"/>
              </w:rPr>
              <w:t>Que le suben el sueldo.</w:t>
            </w:r>
          </w:p>
        </w:tc>
        <w:tc>
          <w:tcPr>
            <w:tcW w:type="dxa" w:w="2296"/>
          </w:tcPr>
          <w:p>
            <w:pPr>
              <w:spacing w:after="20" w:line="264" w:lineRule="auto"/>
            </w:pPr>
            <w:r/>
            <w:r>
              <w:rPr>
                <w:rFonts w:ascii="Segoe UI" w:hAnsi="Segoe UI" w:eastAsia="Segoe UI" w:cs="Segoe UI"/>
                <w:color w:val="1F1D1A"/>
                <w:sz w:val="18"/>
              </w:rPr>
              <w:t>El salario medio compra hoy lo mismo que en 2008.</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ahorros</w:t>
            </w:r>
          </w:p>
        </w:tc>
        <w:tc>
          <w:tcPr>
            <w:tcW w:type="dxa" w:w="2296"/>
          </w:tcPr>
          <w:p>
            <w:pPr>
              <w:spacing w:after="20" w:line="264" w:lineRule="auto"/>
            </w:pPr>
            <w:r/>
            <w:r>
              <w:rPr>
                <w:rFonts w:ascii="Segoe UI" w:hAnsi="Segoe UI" w:eastAsia="Segoe UI" w:cs="Segoe UI"/>
                <w:color w:val="1F1D1A"/>
                <w:sz w:val="18"/>
              </w:rPr>
              <w:t>Que su dinero está guardado.</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impuestos</w:t>
            </w:r>
          </w:p>
        </w:tc>
        <w:tc>
          <w:tcPr>
            <w:tcW w:type="dxa" w:w="2296"/>
          </w:tcPr>
          <w:p>
            <w:pPr>
              <w:spacing w:after="20" w:line="264" w:lineRule="auto"/>
            </w:pPr>
            <w:r/>
            <w:r>
              <w:rPr>
                <w:rFonts w:ascii="Segoe UI" w:hAnsi="Segoe UI" w:eastAsia="Segoe UI" w:cs="Segoe UI"/>
                <w:color w:val="1F1D1A"/>
                <w:sz w:val="18"/>
              </w:rPr>
              <w:t>Que, si no se los suben, paga lo mismo.</w:t>
            </w:r>
          </w:p>
        </w:tc>
        <w:tc>
          <w:tcPr>
            <w:tcW w:type="dxa" w:w="2296"/>
          </w:tcPr>
          <w:p>
            <w:pPr>
              <w:spacing w:after="20" w:line="264" w:lineRule="auto"/>
            </w:pPr>
            <w:r/>
            <w:r>
              <w:rPr>
                <w:rFonts w:ascii="Segoe UI" w:hAnsi="Segoe UI" w:eastAsia="Segoe UI" w:cs="Segoe UI"/>
                <w:color w:val="1F1D1A"/>
                <w:sz w:val="18"/>
              </w:rPr>
              <w:t>La escala del IRPF no se actualiza desde 2015, con una subida de precios del 28 %.</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 vejez</w:t>
            </w:r>
          </w:p>
        </w:tc>
        <w:tc>
          <w:tcPr>
            <w:tcW w:type="dxa" w:w="2296"/>
          </w:tcPr>
          <w:p>
            <w:pPr>
              <w:spacing w:after="20" w:line="264" w:lineRule="auto"/>
            </w:pPr>
            <w:r/>
            <w:r>
              <w:rPr>
                <w:rFonts w:ascii="Segoe UI" w:hAnsi="Segoe UI" w:eastAsia="Segoe UI" w:cs="Segoe UI"/>
                <w:color w:val="1F1D1A"/>
                <w:sz w:val="18"/>
              </w:rPr>
              <w:t>Que cotiza para su jubilación.</w:t>
            </w:r>
          </w:p>
        </w:tc>
        <w:tc>
          <w:tcPr>
            <w:tcW w:type="dxa" w:w="2296"/>
          </w:tcPr>
          <w:p>
            <w:pPr>
              <w:spacing w:after="20" w:line="264" w:lineRule="auto"/>
            </w:pPr>
            <w:r/>
            <w:r>
              <w:rPr>
                <w:rFonts w:ascii="Segoe UI" w:hAnsi="Segoe UI" w:eastAsia="Segoe UI" w:cs="Segoe UI"/>
                <w:color w:val="1F1D1A"/>
                <w:sz w:val="18"/>
              </w:rPr>
              <w:t>El sistema es de reparto, y la hucha rindió un 0,12 % al año en los últimos diez años.</w:t>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 casa y su familia</w:t>
            </w:r>
          </w:p>
        </w:tc>
        <w:tc>
          <w:tcPr>
            <w:tcW w:type="dxa" w:w="2296"/>
          </w:tcPr>
          <w:p>
            <w:pPr>
              <w:spacing w:after="20" w:line="264" w:lineRule="auto"/>
            </w:pPr>
            <w:r/>
            <w:r>
              <w:rPr>
                <w:rFonts w:ascii="Segoe UI" w:hAnsi="Segoe UI" w:eastAsia="Segoe UI" w:cs="Segoe UI"/>
                <w:color w:val="1F1D1A"/>
                <w:sz w:val="18"/>
              </w:rPr>
              <w:t>Que tiene derecho a una vivienda.</w:t>
            </w:r>
          </w:p>
        </w:tc>
        <w:tc>
          <w:tcPr>
            <w:tcW w:type="dxa" w:w="2296"/>
          </w:tcPr>
          <w:p>
            <w:pPr>
              <w:spacing w:after="20" w:line="264" w:lineRule="auto"/>
            </w:pPr>
            <w:r/>
            <w:r>
              <w:rPr>
                <w:rFonts w:ascii="Segoe UI" w:hAnsi="Segoe UI" w:eastAsia="Segoe UI" w:cs="Segoe UI"/>
                <w:color w:val="1F1D1A"/>
                <w:sz w:val="18"/>
              </w:rPr>
              <w:t>Ese derecho no se puede reclamar ante un juez sin una ley que lo desarrolle, y la fecundidad está en 1,10 hijos por mujer.</w:t>
            </w:r>
          </w:p>
        </w:tc>
        <w:tc>
          <w:tcPr>
            <w:tcW w:type="dxa" w:w="2296"/>
          </w:tcPr>
          <w:p>
            <w:pPr>
              <w:spacing w:after="20" w:line="264" w:lineRule="auto"/>
            </w:pPr>
            <w:r/>
            <w:r>
              <w:rPr>
                <w:rFonts w:ascii="Segoe UI" w:hAnsi="Segoe UI" w:eastAsia="Segoe UI" w:cs="Segoe UI"/>
                <w:color w:val="1F1D1A"/>
                <w:sz w:val="18"/>
              </w:rPr>
              <w:t>7.6</w:t>
            </w:r>
            <w:r>
              <w:rPr>
                <w:rFonts w:ascii="Segoe UI" w:hAnsi="Segoe UI" w:eastAsia="Segoe UI" w:cs="Segoe UI"/>
                <w:color w:val="1F1D1A"/>
                <w:sz w:val="18"/>
              </w:rPr>
              <w:t xml:space="preserve"> y </w:t>
            </w:r>
            <w:r>
              <w:rPr>
                <w:rFonts w:ascii="Segoe UI" w:hAnsi="Segoe UI" w:eastAsia="Segoe UI" w:cs="Segoe UI"/>
                <w:color w:val="1F1D1A"/>
                <w:sz w:val="18"/>
              </w:rPr>
              <w:t>8.8</w:t>
            </w:r>
          </w:p>
        </w:tc>
      </w:tr>
      <w:tr>
        <w:tc>
          <w:tcPr>
            <w:tcW w:type="dxa" w:w="2296"/>
          </w:tcPr>
          <w:p>
            <w:pPr>
              <w:spacing w:after="20" w:line="264" w:lineRule="auto"/>
            </w:pPr>
            <w:r/>
            <w:r>
              <w:rPr>
                <w:rFonts w:ascii="Segoe UI" w:hAnsi="Segoe UI" w:eastAsia="Segoe UI" w:cs="Segoe UI"/>
                <w:color w:val="1F1D1A"/>
                <w:sz w:val="18"/>
              </w:rPr>
              <w:t>Su defensa</w:t>
            </w:r>
          </w:p>
        </w:tc>
        <w:tc>
          <w:tcPr>
            <w:tcW w:type="dxa" w:w="2296"/>
          </w:tcPr>
          <w:p>
            <w:pPr>
              <w:spacing w:after="20" w:line="264" w:lineRule="auto"/>
            </w:pPr>
            <w:r/>
            <w:r>
              <w:rPr>
                <w:rFonts w:ascii="Segoe UI" w:hAnsi="Segoe UI" w:eastAsia="Segoe UI" w:cs="Segoe UI"/>
                <w:color w:val="1F1D1A"/>
                <w:sz w:val="18"/>
              </w:rPr>
              <w:t>Que el Constitucional le ampara.</w:t>
            </w:r>
          </w:p>
        </w:tc>
        <w:tc>
          <w:tcPr>
            <w:tcW w:type="dxa" w:w="2296"/>
          </w:tcPr>
          <w:p>
            <w:pPr>
              <w:spacing w:after="20" w:line="264" w:lineRule="auto"/>
            </w:pPr>
            <w:r/>
            <w:r>
              <w:rPr>
                <w:rFonts w:ascii="Segoe UI" w:hAnsi="Segoe UI" w:eastAsia="Segoe UI" w:cs="Segoe UI"/>
                <w:color w:val="1F1D1A"/>
                <w:sz w:val="18"/>
              </w:rPr>
              <w:t>En 2025 se admitieron 59 de 9.089 recursos de amparo; la Administración embarga sin juez, y él no puede hacer lo mismo.</w:t>
            </w:r>
          </w:p>
        </w:tc>
        <w:tc>
          <w:tcPr>
            <w:tcW w:type="dxa" w:w="2296"/>
          </w:tcPr>
          <w:p>
            <w:pPr>
              <w:spacing w:after="20" w:line="264" w:lineRule="auto"/>
            </w:pPr>
            <w:r/>
            <w:r>
              <w:rPr>
                <w:rFonts w:ascii="Segoe UI" w:hAnsi="Segoe UI" w:eastAsia="Segoe UI" w:cs="Segoe UI"/>
                <w:color w:val="1F1D1A"/>
                <w:sz w:val="18"/>
              </w:rPr>
              <w:t>7.2</w:t>
            </w:r>
            <w:r>
              <w:rPr>
                <w:rFonts w:ascii="Segoe UI" w:hAnsi="Segoe UI" w:eastAsia="Segoe UI" w:cs="Segoe UI"/>
                <w:color w:val="1F1D1A"/>
                <w:sz w:val="18"/>
              </w:rPr>
              <w:t xml:space="preserve"> y </w:t>
            </w:r>
            <w:r>
              <w:rPr>
                <w:rFonts w:ascii="Segoe UI" w:hAnsi="Segoe UI" w:eastAsia="Segoe UI" w:cs="Segoe UI"/>
                <w:color w:val="1F1D1A"/>
                <w:sz w:val="18"/>
              </w:rPr>
              <w:t>7.6</w:t>
            </w:r>
          </w:p>
        </w:tc>
      </w:tr>
      <w:tr>
        <w:tc>
          <w:tcPr>
            <w:tcW w:type="dxa" w:w="2296"/>
          </w:tcPr>
          <w:p>
            <w:pPr>
              <w:spacing w:after="20" w:line="264" w:lineRule="auto"/>
            </w:pPr>
            <w:r/>
            <w:r>
              <w:rPr>
                <w:rFonts w:ascii="Segoe UI" w:hAnsi="Segoe UI" w:eastAsia="Segoe UI" w:cs="Segoe UI"/>
                <w:color w:val="1F1D1A"/>
                <w:sz w:val="18"/>
              </w:rPr>
              <w:t>Su voto</w:t>
            </w:r>
          </w:p>
        </w:tc>
        <w:tc>
          <w:tcPr>
            <w:tcW w:type="dxa" w:w="2296"/>
          </w:tcPr>
          <w:p>
            <w:pPr>
              <w:spacing w:after="20" w:line="264" w:lineRule="auto"/>
            </w:pPr>
            <w:r/>
            <w:r>
              <w:rPr>
                <w:rFonts w:ascii="Segoe UI" w:hAnsi="Segoe UI" w:eastAsia="Segoe UI" w:cs="Segoe UI"/>
                <w:color w:val="1F1D1A"/>
                <w:sz w:val="18"/>
              </w:rPr>
              <w:t>Que elige a sus representantes.</w:t>
            </w:r>
          </w:p>
        </w:tc>
        <w:tc>
          <w:tcPr>
            <w:tcW w:type="dxa" w:w="2296"/>
          </w:tcPr>
          <w:p>
            <w:pPr>
              <w:spacing w:after="20" w:line="264" w:lineRule="auto"/>
            </w:pPr>
            <w:r/>
            <w:r>
              <w:rPr>
                <w:rFonts w:ascii="Segoe UI" w:hAnsi="Segoe UI" w:eastAsia="Segoe UI" w:cs="Segoe UI"/>
                <w:color w:val="1F1D1A"/>
                <w:sz w:val="18"/>
              </w:rPr>
              <w:t>Vota una lista cerrada, y su diputado no está ligado por mandato imperativo.</w:t>
            </w:r>
          </w:p>
        </w:tc>
        <w:tc>
          <w:tcPr>
            <w:tcW w:type="dxa" w:w="2296"/>
          </w:tcPr>
          <w:p>
            <w:pPr>
              <w:spacing w:after="20" w:line="264" w:lineRule="auto"/>
            </w:pPr>
            <w:r/>
            <w:r>
              <w:rPr>
                <w:rFonts w:ascii="Segoe UI" w:hAnsi="Segoe UI" w:eastAsia="Segoe UI" w:cs="Segoe UI"/>
                <w:color w:val="1F1D1A"/>
                <w:sz w:val="18"/>
              </w:rPr>
              <w:t>7.2</w:t>
            </w:r>
          </w:p>
        </w:tc>
      </w:tr>
      <w:tr>
        <w:tc>
          <w:tcPr>
            <w:tcW w:type="dxa" w:w="2296"/>
          </w:tcPr>
          <w:p>
            <w:pPr>
              <w:spacing w:after="20" w:line="264" w:lineRule="auto"/>
            </w:pPr>
            <w:r/>
            <w:r>
              <w:rPr>
                <w:rFonts w:ascii="Segoe UI" w:hAnsi="Segoe UI" w:eastAsia="Segoe UI" w:cs="Segoe UI"/>
                <w:color w:val="1F1D1A"/>
                <w:sz w:val="18"/>
              </w:rPr>
              <w:t>Lo que sabe</w:t>
            </w:r>
          </w:p>
        </w:tc>
        <w:tc>
          <w:tcPr>
            <w:tcW w:type="dxa" w:w="2296"/>
          </w:tcPr>
          <w:p>
            <w:pPr>
              <w:spacing w:after="20" w:line="264" w:lineRule="auto"/>
            </w:pPr>
            <w:r/>
            <w:r>
              <w:rPr>
                <w:rFonts w:ascii="Segoe UI" w:hAnsi="Segoe UI" w:eastAsia="Segoe UI" w:cs="Segoe UI"/>
                <w:color w:val="1F1D1A"/>
                <w:sz w:val="18"/>
              </w:rPr>
              <w:t>Que hay transparencia.</w:t>
            </w:r>
          </w:p>
        </w:tc>
        <w:tc>
          <w:tcPr>
            <w:tcW w:type="dxa" w:w="2296"/>
          </w:tcPr>
          <w:p>
            <w:pPr>
              <w:spacing w:after="20" w:line="264" w:lineRule="auto"/>
            </w:pPr>
            <w:r/>
            <w:r>
              <w:rPr>
                <w:rFonts w:ascii="Segoe UI" w:hAnsi="Segoe UI" w:eastAsia="Segoe UI" w:cs="Segoe UI"/>
                <w:color w:val="1F1D1A"/>
                <w:sz w:val="18"/>
              </w:rPr>
              <w:t>Se publica cada dato suelto, nunca la suma; y hasta las palabras cambian de significado, como «inflación».</w:t>
            </w:r>
          </w:p>
        </w:tc>
        <w:tc>
          <w:tcPr>
            <w:tcW w:type="dxa" w:w="2296"/>
          </w:tcPr>
          <w:p>
            <w:pPr>
              <w:spacing w:after="20" w:line="264" w:lineRule="auto"/>
            </w:pPr>
            <w:r/>
            <w:r>
              <w:rPr>
                <w:rFonts w:ascii="Segoe UI" w:hAnsi="Segoe UI" w:eastAsia="Segoe UI" w:cs="Segoe UI"/>
                <w:color w:val="1F1D1A"/>
                <w:sz w:val="18"/>
              </w:rPr>
              <w:t>5.1</w:t>
            </w:r>
            <w:r>
              <w:rPr>
                <w:rFonts w:ascii="Segoe UI" w:hAnsi="Segoe UI" w:eastAsia="Segoe UI" w:cs="Segoe UI"/>
                <w:color w:val="1F1D1A"/>
                <w:sz w:val="18"/>
              </w:rPr>
              <w:t xml:space="preserve"> y </w:t>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Sus hijos y nietos</w:t>
            </w:r>
          </w:p>
        </w:tc>
        <w:tc>
          <w:tcPr>
            <w:tcW w:type="dxa" w:w="2296"/>
          </w:tcPr>
          <w:p>
            <w:pPr>
              <w:spacing w:after="20" w:line="264" w:lineRule="auto"/>
            </w:pPr>
            <w:r/>
            <w:r>
              <w:rPr>
                <w:rFonts w:ascii="Segoe UI" w:hAnsi="Segoe UI" w:eastAsia="Segoe UI" w:cs="Segoe UI"/>
                <w:color w:val="1F1D1A"/>
                <w:sz w:val="18"/>
              </w:rPr>
              <w:t>Que la deuda es del Estado.</w:t>
            </w:r>
          </w:p>
        </w:tc>
        <w:tc>
          <w:tcPr>
            <w:tcW w:type="dxa" w:w="2296"/>
          </w:tcPr>
          <w:p>
            <w:pPr>
              <w:spacing w:after="20" w:line="264" w:lineRule="auto"/>
            </w:pPr>
            <w:r/>
            <w:r>
              <w:rPr>
                <w:rFonts w:ascii="Segoe UI" w:hAnsi="Segoe UI" w:eastAsia="Segoe UI" w:cs="Segoe UI"/>
                <w:color w:val="1F1D1A"/>
                <w:sz w:val="18"/>
              </w:rPr>
              <w:t>La pagarán ellos: 1,7 billones de deuda, más 6,13 billones en pensiones ya prometidas.</w:t>
            </w:r>
          </w:p>
        </w:tc>
        <w:tc>
          <w:tcPr>
            <w:tcW w:type="dxa" w:w="2296"/>
          </w:tcPr>
          <w:p>
            <w:pPr>
              <w:spacing w:after="20" w:line="264" w:lineRule="auto"/>
            </w:pPr>
            <w:r/>
            <w:r>
              <w:rPr>
                <w:rFonts w:ascii="Segoe UI" w:hAnsi="Segoe UI" w:eastAsia="Segoe UI" w:cs="Segoe UI"/>
                <w:color w:val="1F1D1A"/>
                <w:sz w:val="18"/>
              </w:rPr>
              <w:t>9.1</w:t>
            </w:r>
          </w:p>
        </w:tc>
      </w:tr>
    </w:tbl>
    <w:p>
      <w:pPr>
        <w:spacing w:after="80"/>
      </w:pPr>
    </w:p>
    <w:p>
      <w:r>
        <w:t xml:space="preserve">En todos los ámbitos se repite el mismo patrón: el nombre o la creencia dicen una cosa y el dato dice otra, y el recurso va casi siempre en la misma dirección, del ciudadano al sistema. Lo probado es el mecanismo: mientras se cree lo que dice el nombre, no se mira lo que hace la cosa. </w:t>
      </w:r>
      <w:r>
        <w:t>[00.1-8.1 a 8.13]</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 xml:space="preserve">). </w:t>
      </w:r>
      <w:r>
        <w:t>[00.1-27.1 y 0.0.4]</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xml:space="preserve">) y cargando a los que vienen con deudas que les roban el futuro. Si Dios es lo natural, lo que tuerce lo natural para protegerse va contra Él: esto apunta hacia el padre de la mentira (Jn 8:44). «Por sus frutos los conoceréis» (Mt 7:16). </w:t>
      </w:r>
      <w:r>
        <w:t>[00.1-28.1, con la fórmula de la edición, glosario 9.1]</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xml:space="preserve">). En el derecho es, además, una regla: la ley manda tener algo por cierto mientras no se pruebe lo contrario, y así decide quién tiene que probar. Por eso cada presunción reparte una carga: la de la prueba. </w:t>
      </w:r>
      <w:r>
        <w:t>[00.2-0.0.2; glosario 3.3]</w:t>
      </w:r>
    </w:p>
    <w:p>
      <w:r>
        <w:rPr>
          <w:b/>
        </w:rPr>
        <w:t>Contra natura.</w:t>
      </w:r>
      <w:r>
        <w:t xml:space="preserve"> Desde aquí, la edición llama «contra natura» a lo que va contra la ley natural (</w:t>
      </w:r>
      <w:r>
        <w:t>1.4</w:t>
      </w:r>
      <w:r>
        <w:t xml:space="preserve">). Se dice solo de normas e instituciones, nunca de personas ni de la conducta de ningún colectivo. </w:t>
      </w:r>
      <w:r>
        <w:t>[glosario 3.4, cautela]</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 xml:space="preserve">). </w:t>
      </w:r>
      <w:r>
        <w:t>[00.2-0.0.3]</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r>
        <w:t>[00.2-1.3]</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r>
        <w:t>[00.2-1.4]</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r>
        <w:t>[00.2-1.5]</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t xml:space="preserve"> (Mt 22:21)</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t xml:space="preserve"> (Mt 23:23)</w:t>
      </w:r>
      <w:r>
        <w:t>. La letra sin justicia deja fuera lo más importante.</w:t>
      </w:r>
    </w:p>
    <w:p>
      <w:r>
        <w:t>[00.2-2.1 a 2.5; Reina-Valera Antigua]</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t xml:space="preserve"> (Constitución, art. 1.2)</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t xml:space="preserve"> (Constitución, art. 168)</w:t>
      </w:r>
      <w:r>
        <w:t xml:space="preserve">. </w:t>
      </w:r>
      <w:r>
        <w:t>[00.2-4.3]</w:t>
      </w:r>
    </w:p>
    <w:p>
      <w:pPr>
        <w:pStyle w:val="ListBullet"/>
      </w:pPr>
      <w:r>
        <w:rPr>
          <w:b/>
        </w:rPr>
        <w:t>El contrato social.</w:t>
      </w:r>
      <w:r>
        <w:t xml:space="preserve"> Se presume que existe un pacto que todos aceptamos. Ya se vio: nadie lo firmó (</w:t>
      </w:r>
      <w:r>
        <w:t>5.1</w:t>
      </w:r>
      <w:r>
        <w:t xml:space="preserve">, n.º 13). </w:t>
      </w:r>
      <w:r>
        <w:t>[00.2-4.4]</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r>
        <w:t>[00.2-4.5]</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 Y Mencio: el pueblo es lo más valioso; el gobernante, lo de menos (</w:t>
      </w:r>
      <w:r>
        <w:t>3.2</w:t>
      </w:r>
      <w:r>
        <w:t>, P1).</w:t>
      </w:r>
    </w:p>
    <w:p>
      <w:pPr>
        <w:pStyle w:val="ListBullet"/>
      </w:pPr>
      <w:r>
        <w:t>A la segunda: «Mas sea vuestro hablar: Sí, sí; No, no; porque lo que es más de esto, de mal procede»</w:t>
      </w:r>
      <w:r>
        <w:t xml:space="preserve"> (Mt 5:37)</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r>
        <w:t>[00.2-5.1 a 5.5; Constitución leída en el BOE; Reina-Valera Antigua]</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r>
        <w:t>[00.2-7.3]</w:t>
      </w:r>
    </w:p>
    <w:p>
      <w:pPr>
        <w:pStyle w:val="ListBullet"/>
      </w:pPr>
      <w:r>
        <w:rPr>
          <w:b/>
        </w:rPr>
        <w:t>Todos conocen todas las leyes.</w:t>
      </w:r>
      <w:r>
        <w:t xml:space="preserve"> Se presume que cada persona conoce el ordenamiento entero. «La ignorancia de las leyes no excusa de su cumplimiento»</w:t>
      </w:r>
      <w:r>
        <w:t xml:space="preserve"> (Código Civil, art. 6.1)</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r>
        <w:t>[00.2-7.4]</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t xml:space="preserve"> (Lc 11:46)</w:t>
      </w:r>
      <w:r>
        <w:t>. Y en China y en Roma, más leyes, más pobreza y más corrupción (</w:t>
      </w:r>
      <w:r>
        <w:t>3.2</w:t>
      </w:r>
      <w:r>
        <w:t>, P9).</w:t>
      </w:r>
    </w:p>
    <w:p>
      <w:r>
        <w:t>[00.2-8.1 a 8.4; Reina-Valera Antigua]</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t xml:space="preserve"> (Ley 39/2015, art. 39.1)</w:t>
      </w:r>
      <w:r>
        <w:t xml:space="preserve">. </w:t>
      </w:r>
      <w:r>
        <w:t>[00.2-10.3]</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t xml:space="preserve"> (Ley 39/2015, art. 77.5)</w:t>
      </w:r>
      <w:r>
        <w:t xml:space="preserve">: es el ciudadano quien tiene que demostrar que no es así. </w:t>
      </w:r>
      <w:r>
        <w:t>[00.2-10.4]</w:t>
      </w:r>
    </w:p>
    <w:p>
      <w:pPr>
        <w:pStyle w:val="ListBullet"/>
      </w:pPr>
      <w:r>
        <w:rPr>
          <w:b/>
        </w:rPr>
        <w:t>El cobro sin juez.</w:t>
      </w:r>
      <w:r>
        <w:t xml:space="preserve"> Se presume que el Estado puede ejecutar por sí mismo lo que reclama. Ya se vio (</w:t>
      </w:r>
      <w:r>
        <w:t>5.1</w:t>
      </w:r>
      <w:r>
        <w:t xml:space="preserve">, n.º 15). </w:t>
      </w:r>
      <w:r>
        <w:t>[00.2-10.5]</w:t>
      </w:r>
    </w:p>
    <w:p>
      <w:pPr>
        <w:pStyle w:val="ListBullet"/>
      </w:pPr>
      <w:r>
        <w:rPr>
          <w:b/>
        </w:rPr>
        <w:t>La urgencia.</w:t>
      </w:r>
      <w:r>
        <w:t xml:space="preserve"> Se presume que el Gobierno legisla por decreto solo cuando hay urgencia. Ya se vio (</w:t>
      </w:r>
      <w:r>
        <w:t>5.1</w:t>
      </w:r>
      <w:r>
        <w:t xml:space="preserve">, n.º 14). </w:t>
      </w:r>
      <w:r>
        <w:t>[00.2-10.6]</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t xml:space="preserve"> (Dt 19:15)</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t xml:space="preserve"> (Dt 24:10-11)</w:t>
      </w:r>
      <w:r>
        <w:t>. La ley de Dios no deja ni al acreedor entrar en casa del deudor a tomar la prenda.</w:t>
      </w:r>
    </w:p>
    <w:p>
      <w:pPr>
        <w:pStyle w:val="ListBullet"/>
      </w:pPr>
      <w:r>
        <w:t>A la cuarta: «todo presuroso, indefectiblemente á pobreza»</w:t>
      </w:r>
      <w:r>
        <w:t xml:space="preserve"> (Pr 21:5)</w:t>
      </w:r>
      <w:r>
        <w:t>.</w:t>
      </w:r>
    </w:p>
    <w:p>
      <w:r>
        <w:t>[00.2-11.1 a 11.6; leyes leídas en el BOE; Reina-Valera Antigua]</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r>
        <w:t>[00.2-13.3 a 13.5]</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t xml:space="preserve"> (Constitución, art. 50)</w:t>
      </w:r>
      <w:r>
        <w:t xml:space="preserve">. </w:t>
      </w:r>
      <w:r>
        <w:t>[00.2-13.6]</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r>
        <w:t>[00.2-13.7 y 13.8]</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t xml:space="preserve"> (Pr 20:10)</w:t>
      </w:r>
      <w:r>
        <w:t>. Y Confucio pone el cuidado de las pesas y medidas como primera tarea del buen gobierno (</w:t>
      </w:r>
      <w:r>
        <w:t>3.2</w:t>
      </w:r>
      <w:r>
        <w:t>, P4).</w:t>
      </w:r>
    </w:p>
    <w:p>
      <w:pPr>
        <w:pStyle w:val="ListBullet"/>
      </w:pPr>
      <w:r>
        <w:t>A la inflación: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t xml:space="preserve"> (Mt 6:19)</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t xml:space="preserve"> (Lv 6:4-5)</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t xml:space="preserve"> (Pr 22:7)</w:t>
      </w:r>
      <w:r>
        <w:t>. La presunción da a la deuda prioridad absoluta y sin final; la ley de Dios le pone un límite.</w:t>
      </w:r>
    </w:p>
    <w:p>
      <w:r>
        <w:t>[00.2-14.1 a 14.8; Constitución leída en el BOE; Reina-Valera Antigua]</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r>
        <w:t>[00.2-16.3]</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r>
        <w:t>[00.2-16.4]</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t xml:space="preserve"> (Jer 31:29-30)</w:t>
      </w:r>
      <w:r>
        <w:t>. La ley de Dios no hace pagar a los hijos lo que comieron los padres.</w:t>
      </w:r>
    </w:p>
    <w:p>
      <w:pPr>
        <w:pStyle w:val="ListBullet"/>
      </w:pPr>
      <w:r>
        <w:t>A la segunda: «Da cuenta de tu mayordomía, porque ya no podrás más ser mayordomo»</w:t>
      </w:r>
      <w:r>
        <w:t xml:space="preserve"> (Lc 16:2)</w:t>
      </w:r>
      <w:r>
        <w:t>. La ley de Dios pide cuentas al administrador, y lo aparta si no las da.</w:t>
      </w:r>
    </w:p>
    <w:p>
      <w:r>
        <w:t>[00.2-17.1 a 17.4; Reina-Valera Antigua]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r>
        <w:t>[00.2-19.3 a 19.5]</w:t>
      </w:r>
    </w:p>
    <w:p>
      <w:r>
        <w:rPr>
          <w:b/>
        </w:rPr>
        <w:t>Frente a ellas, la ley de Dios:</w:t>
      </w:r>
    </w:p>
    <w:p>
      <w:pPr>
        <w:pStyle w:val="ListBullet"/>
      </w:pPr>
      <w:r>
        <w:t>A la primera: «Porque nada hay encubierto, que no haya de ser descubierto; ni oculto, que no haya de ser sabido»</w:t>
      </w:r>
      <w:r>
        <w:t xml:space="preserve"> (Lc 12:2)</w:t>
      </w:r>
      <w:r>
        <w:t>.</w:t>
      </w:r>
    </w:p>
    <w:p>
      <w:pPr>
        <w:pStyle w:val="ListBullet"/>
      </w:pPr>
      <w:r>
        <w:t>A la segunda: «Delante de las canas te levantarás, y honrarás el rostro del anciano»</w:t>
      </w:r>
      <w:r>
        <w:t xml:space="preserve"> (Lv 19:32)</w:t>
      </w:r>
      <w:r>
        <w:t>. La presunción mezcla en la «vejez» lo que pagaron unos y lo que pagan otros; la ley de Dios manda honrar al anciano.</w:t>
      </w:r>
    </w:p>
    <w:p>
      <w:pPr>
        <w:pStyle w:val="ListBullet"/>
      </w:pPr>
      <w:r>
        <w:t>A la tercera: «Así también la fe, si no tuviere obras, es muerta en sí misma»</w:t>
      </w:r>
      <w:r>
        <w:t xml:space="preserve"> (Stg 2:17)</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t>[00.2-20.1 a 20.5; Reina-Valera Antigua]</w:t>
      </w:r>
    </w:p>
    <w:p>
      <w:r>
        <w:t xml:space="preserve">Las demás tradiciones que cita la Biblioteca en este edificio (Mencio, Confucio, Laozi, las Leyes de Manu, Maat, el Corán, la Gran Ley de la Paz iroquesa y Tácito) ya se leyeron en su original en el </w:t>
      </w:r>
      <w:r>
        <w:t>capítulo 3</w:t>
      </w:r>
      <w:r>
        <w:t xml:space="preserve">, y allí se remite. No es una religión frente al Estado: es la humanidad entera. </w:t>
      </w:r>
      <w:r>
        <w:t>[00.2-2.5, 5.5, 8.4, 11.6, 14.8, 17.4 y 20.5]</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xml:space="preserve">, con sus dos cautelas). Por eso el primer paso es devolver las leyes a su orden: la ley de Dios, la ley natural, la costumbre y, por último, la ley humana. </w:t>
      </w:r>
      <w:r>
        <w:t>[00.2-23.1 y 23.2, con la fórmula de la edición, glosario 9.1]</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xml:space="preserve"> [original: «X counts as Y in C»]</w:t>
      </w:r>
      <w:r>
        <w:t>. Su ejemplo: un trozo de papel cuenta como dinero. Del mismo modo, un territorio y una población cuentan como Estado</w:t>
      </w:r>
      <w:r>
        <w:t xml:space="preserve"> (John Searle, The Construction of Social Reality (La construcción de la realidad social), 1995; fuente secundaria: Stanford Encyclopedia of Philosophy (Enciclopedia de Filosofía de Stanford), «Social Ontology» (Ontología social))</w:t>
      </w:r>
      <w:r>
        <w:t xml:space="preserve">. </w:t>
      </w:r>
      <w:r>
        <w:t>[10.00-10.1 y 10.2]</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xml:space="preserve">). Es lo que 2.1 anunciaba: cómo llega el derecho a tratar como persona a lo que no tiene cuerpo. </w:t>
      </w:r>
      <w:r>
        <w:t>[glosario 3.6; 10.00-10.3]</w:t>
      </w:r>
    </w:p>
    <w:p>
      <w:r>
        <w:rPr>
          <w:b/>
        </w:rPr>
        <w:t>La máscara.</w:t>
      </w:r>
      <w:r>
        <w:t xml:space="preserve"> En latín, </w:t>
      </w:r>
      <w:r>
        <w:rPr>
          <w:i/>
        </w:rPr>
        <w:t>persona</w:t>
      </w:r>
      <w:r>
        <w:t xml:space="preserve"> era ante todo la máscara del actor</w:t>
      </w:r>
      <w:r>
        <w:t xml:space="preserve"> [original: «A mask, esp. that used by players»]</w:t>
      </w:r>
      <w:r>
        <w:t xml:space="preserve"> (Lewis y Short, A Latin Dictionary (Diccionario latino), s. v. «persona»)</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xml:space="preserve">): es el mismo ser humano, visto por el derecho. Tiene una función legítima, porque permite actuar en derecho, heredar, contratar y ser protegido por la ley. Pero, como toda herramienta, tiene dos filos. </w:t>
      </w:r>
      <w:r>
        <w:t>[20.00-33.1; Lewis y Short leído en Perseus]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t xml:space="preserve"> [original: «Or les loix se maintiennent en credit, non par ce qu’elles sont justes, mais par ce qu’elles sont loix. C’est le fondement mystique de leur authorité ; elles n’en ont poinct d’autre»]</w:t>
      </w:r>
      <w:r>
        <w:t xml:space="preserve"> (Montaigne, Ensayos III, 13)</w:t>
      </w:r>
      <w:r>
        <w:t>. Pascal lo dijo de la costumbre: «La costumbre hace toda la equidad, por la sola razón de que es recibida: es el fundamento místico de su autoridad. Quien la lleva a su principio, la aniquila»</w:t>
      </w:r>
      <w:r>
        <w:t xml:space="preserve"> [original: «La coutume fait toute l’équité, par cette seule raison qu’elle est reçue ; c’est le fondement mystique de son autorité. Qui la ramène à son principe, l’anéantit.»]</w:t>
      </w:r>
      <w:r>
        <w:t xml:space="preserve"> (Pascal, Pensamientos, fr. 294, edición de Brunschvicg)</w:t>
      </w:r>
      <w:r>
        <w:t>.</w:t>
      </w:r>
    </w:p>
    <w:p>
      <w:r>
        <w:t>En 1989, el filósofo Jacques Derrida retomó esa expresión de Montaigne en una conferencia, «Force of Law» (Fuerza de ley). Sostiene que el acto que funda un orden jurídico no puede justificarse por el derecho, porque en ese momento el derecho aún no existe; y que, una vez fundado, se presenta como si siempre hubiera tenido derecho a serlo (fuente secundaria; el título y la fecha, en la Stanford Encyclopedia of Philosophy, «Jacques Derrida»).</w:t>
      </w:r>
    </w:p>
    <w:p>
      <w:r>
        <w:t>[10.00-10.4; Montaigne y Pascal leídos en francés]</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 xml:space="preserve">). </w:t>
      </w:r>
      <w:r>
        <w:t>[10.00-10.5]</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t xml:space="preserve"> (Robert D. Putnam, Bowling Alone (Jugar a los bolos solo), 2000; fuente secundaria)</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xml:space="preserve">). Yo soy otro tú. </w:t>
      </w:r>
      <w:r>
        <w:t>[20.00-33.1 y 33.2; 10.00-10.3]</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t>[00.1-9.1 a 9.9]</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 </w:t>
      </w:r>
      <w:r>
        <w:t>[00.1-9.10]</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 xml:space="preserve">). </w:t>
      </w:r>
      <w:r>
        <w:t>[20.00-32.1]</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t xml:space="preserve"> (Ley 20/2011, del Registro Civil, art. 45)</w:t>
      </w:r>
      <w:r>
        <w:t>.</w:t>
      </w:r>
    </w:p>
    <w:p>
      <w:pPr>
        <w:pStyle w:val="ListBullet"/>
      </w:pPr>
      <w:r>
        <w:rPr>
          <w:b/>
        </w:rPr>
        <w:t>En qué plazo.</w:t>
      </w:r>
      <w:r>
        <w:t xml:space="preserve"> Esa dirección «comunicará en el plazo de setenta y dos horas a la Oficina del Registro Civil» cada nacimiento</w:t>
      </w:r>
      <w:r>
        <w:t xml:space="preserve"> (art. 46, en la redacción de la Ley 19/2015)</w:t>
      </w:r>
      <w:r>
        <w:t>.</w:t>
      </w:r>
    </w:p>
    <w:p>
      <w:pPr>
        <w:pStyle w:val="ListBullet"/>
      </w:pPr>
      <w:r>
        <w:rPr>
          <w:b/>
        </w:rPr>
        <w:t>Qué se abre.</w:t>
      </w:r>
      <w:r>
        <w:t xml:space="preserve"> «El registro individual se abrirá con la inscripción de nacimiento»</w:t>
      </w:r>
      <w:r>
        <w:t xml:space="preserve"> (art. 5.2)</w:t>
      </w:r>
      <w:r>
        <w:t>, y a cada registro «se le asignará un código personal […] que será única e invariable en el tiempo»</w:t>
      </w:r>
      <w:r>
        <w:t xml:space="preserve"> (art. 6)</w:t>
      </w:r>
      <w:r>
        <w:t>.</w:t>
      </w:r>
    </w:p>
    <w:p>
      <w:pPr>
        <w:pStyle w:val="ListBullet"/>
      </w:pPr>
      <w:r>
        <w:rPr>
          <w:b/>
        </w:rPr>
        <w:t>Ni el abandonado queda fuera.</w:t>
      </w:r>
      <w:r>
        <w:t xml:space="preserve"> Las entidades públicas «deberán promover sin demora la inscripción de menores en situación de desamparo por abandono»</w:t>
      </w:r>
      <w:r>
        <w:t xml:space="preserve"> (art. 48.1)</w:t>
      </w:r>
      <w:r>
        <w:t>.</w:t>
      </w:r>
    </w:p>
    <w:p>
      <w:r>
        <w:t>Nadie preguntó. Y nadie podía preguntar: el interesado tenía cero días.</w:t>
      </w:r>
    </w:p>
    <w:p>
      <w:r>
        <w:t>[20.00-32.1 y 32.2; Ley 20/2011 leída en el BOE]</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t xml:space="preserve"> [original: «Quand chacun pourroit s’aliéner lui-même il ne peut aliéner ses enfans ; ils naissent hommes &amp; libres ; leur liberté leur appartient, nul n’a droit d’en disposer qu’eux. Avant qu’ils soient en âge de raison, le pere peut en leur nom stipuler des conditions pour leur conservation, pour leur bien être ; mais non les donner irrévocablement &amp; sans condition ; car un tel don est contraire aux fins de la nature, &amp; passe les droits de la paternité.»]</w:t>
      </w:r>
      <w:r>
        <w:t xml:space="preserve"> (Rousseau, Del contrato social I, 4, edición de 1762)</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xml:space="preserve"> [original: «se contentent de vivre comme ils sont nés, et ne pensent point avoir autre bien ni autre droit que ce qu’ils ont trouvé, ils prennent pour leur naturel l’état de leur naissance»]</w:t>
      </w:r>
      <w:r>
        <w:t>. Por eso, «la primera razón de la servidumbre voluntaria es la costumbre»</w:t>
      </w:r>
      <w:r>
        <w:t xml:space="preserve"> [original: «la première raison de la servitude volontaire, c’est la coutume»]</w:t>
      </w:r>
      <w:r>
        <w:t xml:space="preserve"> (La Boétie, Discurso de la servidumbre voluntaria, edición de 1922)</w:t>
      </w:r>
      <w:r>
        <w:t>. No la fuerza, sino no haber conocido nunca otra cosa (</w:t>
      </w:r>
      <w:r>
        <w:t>4.1</w:t>
      </w:r>
      <w:r>
        <w:t>).</w:t>
      </w:r>
    </w:p>
    <w:p>
      <w:r>
        <w:t>[20.00-32.1 y 32.2; Rousseau y La Boétie leídos en francés]</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 </w:t>
      </w:r>
      <w:r>
        <w:t>[20.00-32.1]</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xml:space="preserve">). Esto apunta hacia el padre de la mentira (Jn 8:44). «Por sus frutos los conoceréis» (Mt 7:16). </w:t>
      </w:r>
      <w:r>
        <w:t>[00.1-9.11, con la fórmula de la edición, glosario 9.1; 20.00-32.1]</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t xml:space="preserve"> (Código Civil, art. 6.1)</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t xml:space="preserve"> (Mt 7:25)</w:t>
      </w:r>
      <w:r>
        <w:t>; y la casa sobre la arena, que «cayó, y fué grande su ruina»</w:t>
      </w:r>
      <w:r>
        <w:t xml:space="preserve"> (Mt 7:27)</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r>
        <w:t>[palabras de Kiko, 6-oct-2026, por la noche, al parlamentar el capítulo 11 («tiene que quedar recogido como muy importante»); 04p, fila 38; 03b, A3; «nivel vibratorio» no entra; Mt 7:24-27 en la Reina-Valera 1909 de 06, leído hoy; Código Civil, art. 6.1, ya en 5.2; «no es consentimiento, es ignorancia» es lectura del autor: que quien no votó no consintió es la conclusión de 5.2 y 5.4]</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t>[00.2-22.1]</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t xml:space="preserve"> [original: «οἱ γὰρ νομοθέται τοὺς πολίτας ἐθίζοντες ποιοῦσιν ἀγαθούς, καὶ τὸ μὲν βούλημα παντὸς νομοθέτου τοῦτ᾽ ἐστίν, ὅσοι δὲ μὴ εὖ αὐτὸ ποιοῦσιν ἁμαρτάνουσιν, καὶ διαφέρει τούτῳ πολιτεία πολιτείας ἀγαθὴ φαύλης»]</w:t>
      </w:r>
      <w:r>
        <w:t xml:space="preserve"> (Aristóteles, Ética a Nicómaco II, 1, 1103b)</w:t>
      </w:r>
      <w:r>
        <w:t>. El verbo de «yerran» es el de errar el blanco (</w:t>
      </w:r>
      <w:r>
        <w:t>3.2</w:t>
      </w:r>
      <w:r>
        <w:t xml:space="preserve">). La costumbre que da la ley forma: para el bien, o para lo contrario. </w:t>
      </w:r>
      <w:r>
        <w:t>[Aristóteles leído en griego (Perseus); aprobado por Kiko el 5-oct]</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 </w:t>
      </w:r>
      <w:r>
        <w:t>[00.2-22.2]</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 </w:t>
      </w:r>
      <w:r>
        <w:t>[00.2-23.1 y 23.2]</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r>
        <w:t>[00.1-2.14]</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r>
        <w:t>[00.1-9.10]</w:t>
      </w:r>
    </w:p>
    <w:p>
      <w:pPr>
        <w:pStyle w:val="ListBullet"/>
      </w:pPr>
      <w:r>
        <w:rPr>
          <w:b/>
        </w:rPr>
        <w:t>Una sociedad necesita un Estado</w:t>
      </w:r>
      <w:r>
        <w:t xml:space="preserve"> que coordine lo que es de todos: cuestionarlo todo no es negarlo todo. </w:t>
      </w:r>
      <w:r>
        <w:t>[00.2-23.1]</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r>
        <w:t>[10.00-10.5]</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r>
        <w:t>[00.2-9.1]</w:t>
      </w:r>
    </w:p>
    <w:p>
      <w:pPr>
        <w:pStyle w:val="ListBullet"/>
      </w:pPr>
      <w:r>
        <w:rPr>
          <w:b/>
        </w:rPr>
        <w:t>Las pensiones prometidas no son deuda que venza hoy:</w:t>
      </w:r>
      <w:r>
        <w:t xml:space="preserve"> el propio INE advierte que son el valor presente de pagos futuros. </w:t>
      </w:r>
      <w:r>
        <w:t>[00.1-5.6]</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r>
        <w:t>[00.1-7.4]</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r>
        <w:t>[clasificación de las defensas, aprobada; glosario 8.13]</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r>
        <w:br w:type="page"/>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7 (borrador B16). Ninguna otra palabra cambia. Cambio del 12-oct-2026 (B13, punto 7 en otra forma; decisión de 08.18 sobre la frase que Kiko aprobó en el chat de 08.18, 06:3x: «si»; la vio 10.29): en 6.4, «Cinco tradiciones que no se leyeron entre sí» eran cinco pensadores, y varios se leían (Michels, Pareto y Mosca): «La idea» dice ahora «Cinco pensadores, de Ibn Jaldún en el siglo XIV a Tilly en el XX», y «aparece en tradiciones que no se leyeron entre sí» pasa a «lo describen pensadores de épocas y lugares distintos». Ninguna otra palabra cambia. Cambio del 12-oct-2026 (Kiko, chat de 08.18, 06:3x, pasado por 08.18 tal cual, a «¿das el sí a los nueve cambios de 07.6?»: «si»; borrador B13, el barrido de los cuantificadores vagos en las frases con dato): en la nota de cabecera de 12.00, «gobbledygook» pasa a «gobbledygook» (galimatías), con su traducción: la web enseña esta nota en el nivel completo. Ninguna otra palabra cambia. Cambio del 9-oct-2026 (Kiko: «Sí, manda el agente»; la regla de la obra, 00b §6, no admite la prensa como fuente; fuentes leídas en 07/fuentes/cierre_prensa_cap6): las cuatro afirmaciones que se apoyaban en prensa pasan a fuentes leídas. ETA en 1980: la cifra «95 asesinatos» no sale de ninguna fuente leída; se pone el total del terrorismo del Centro Memorial (132) y los 97 muertos de ETA de la Cronología de la Guardia Civil (Buesa, 2022). Hutt River: la sentencia del Tribunal Supremo de Australia Occidental ([2017] WASC 161), con la cantidad exacta, los condenados y la frase del juez literal. Sanciones electorales: los listados oficiales del Tribunal de Cuentas (2015 y 2019). Derechos ante Europa: el boletín n.º 56 del CGPJ y los cuadros del Tribunal Europeo. Quitados de las fuentes secundarias: El Independiente, Sydney Criminal Lawyers, SBS, Maldita.es y Legal Today. Cambio del 9-oct-2026 (Kiko: «Sí, manda el agente»; la regla de la obra, 00b §6, no admite Wikipedia como fuente): los dos hechos que se apoyaban en Wikipedia pasan a fuentes leídas. La Operación Galaxia, a Muñoz Bolaños (2012), Zugasti (2008) y el Real Decreto 2560/1978 (nivel B: el sumario de la causa no está leído); con los matices de las fuentes: según las declaraciones del sumario, el plan se descubrió el 15 y no se ejecutó, y en la vista oral negaron que se conspirara. La Isla de las Rosas, a Calabrese (2024, una sola fuente académica, nivel C); «demolida» se quita: la Marina intentó derribarla con explosivos y la hundió un temporal. ESTADO: APROBADO por Kiko el 5-oct-2026 («SI A TODO»: el capítulo, las correcciones en la Biblioteca y las novedades). Su material está marcado en el inventario (04 CAPITULOS/marcas/marcas del capitulo 6.txt).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localizaron y descargaron dos agentes (140 archivos en c6 y 60 en c6b); Claude leyó cada original y extrajo las citas. Leído hoy en su original: - Pensadores: Hobbes, Leviatán (1651, Gutenberg) y la portada de 1651; De Cive (latín, ed. Molesworth, 1839); Locke, Dos tratados (primera edición, 1690, y Segundo tratado, Gutenberg); Hume, «Of the Original Contract» (davidhume.org); Kant, Gemeinspruch (Academia, VIII, 297); Rousseau, Del contrato social I, 1; I, 7; II, 3 (1762) y Discurso sobre la desigualdad, segunda parte (1755); Malebranche, Aclaración (1681); Montesquieu, Del espíritu de las leyes XI, 3, 4 y 6 (ed. de Nourse); El Federalista, n.º 47; Bodino, Los seis libros de la república (1576 y 1577); Weber, Economía y sociedad (1922); Oppenheimer, Der Staat (1907); Michels (1911); Pareto (1916); Mosca (1923); Ibn Jaldún, Muqaddima (árabe); North, Wallis y Weingast (documento de trabajo NBER, 2006); Murphy (2023, resumen). - Documentos: Bill of Rights (1689); Declaración de Independencia y borrador de Jefferson (1776); Declaración de Virginia (1776); Declaración de 1789, arts. 2, 16 y 17; Constitución francesa de 1793, art. 33; Archives parlementaires, sesión de 29-5-1793; Condorcet, «Aux citoyens français» (Œuvres, t. XII, p. 654, en la imagen); Saint-Just, informes de 8-7-1793 y 10-10-1793 (ed. Vellay); Robespierre, discurso de 2-1-1792; Declaración Universal, preámbulo; Ley Fundamental alemana, art. 20.4; Convención de Montevideo (facsímil de la OEA), arts. 1, 3, 6 y 11; laudo germano-polaco de 1929 (ZaöRV, 1931); Carta de las Naciones Unidas, art. 2.4; Decreto de las Cortes de Cádiz de 6-8-1811 (Gazeta de la Regencia; el art. 14, en la imagen); Diario de Sesiones del Congreso, 31-10-1978. - BOE y tribunales: Constitución, arts. 1.1, 76.1, 113.1, 122.3, 159 y 161.1; LOPJ, art. 567.1; LO 2/1979, art. 16.1; LO 2/1982, arts. 30.1 y 33.2; LO 3/1984, arts. 2 y 3; LO 5/1985 (LOREG), arts. 64, 127 bis, 163.1, 169.3 y 175; LO 6/2002, arts. 10.2 y 11.1; LO 8/2007, arts. 3, 5, 16, 17 y 18; RDL 20/1977, preámbulo; resumen de resultados de 2023 (BOE-A-2023-18907); STC 108/1986, FJ 13; STC 105/2000, voto particular; STC 163/2011; STC 5/2004; TEDH, Soberanía de la Razón c. España (2015, traducción del Ministerio de Justicia); Consejo de Estado, informe de 24-2-2009; Tribunal de Cuentas, partidos, ejercicio 2017 (BOE-A-2024-13379). - Diccionarios: RAE, «contrato»; DPEJ, «legitimidad», «deslegitimación» y «señorío»; Lewis y Short, «auctor» y «augeo». - Biblia: Reina-Valera Antigua; Vulgata, Job 41:24. Corán 18:110 (traducción de Cortés). - Casos de la 00.00, sección 5: Breasted (1906 y 1909); Res Gestae 34; Suetonio, Domiciano 13; rescripto imperial japonés de 1-1-1946 (japonés y FRUS); Valla (Coleman, 1922); Dictatus Papae (Caspar, 1920); Jacobo VI (McIlwain, 1918); Marco Aurelio I, 7 (griego); Sófocles, Edipo rey 873 (griego); Ashoka, edicto XIII (Hultzsch, 1925); Ciro (Finkel); Nidānakathā (Rhys Davids, 1880); Dalai Lama (2011). - Fuente secundaria (se marca en el texto): Straehle (2023); Berlin (1958, borrador E); Cordero y Aldunate (2008); Pita Broncano (2003); Muñoz Bolaños (2012), Zugasti (2008) y Calabrese (2024) para la Operación Galaxia y la Isla de las Rosas; Centro Memorial de las Víctimas del Terrorismo (2020) y Buesa (2022), para las muertes de 1980; Transparencia Internacional España (IPC 2025); Banco Mundial (WGI, edición de 2026). Tilly, solo por el título. Hallado al escribir (corregido en la Biblioteca el 5-oct, libreta 72, punto 139): - 10.00: «bellum omnium contra omnes» y «homo homini lupus» no están en el Leviatán inglés, sino en De Cive, y del lobo Hobbes dice las dos cosas («homo homini deus, et homo homini lupus»), citando un dicho; Locke publicó en 1690, no en 1689; «el mismo delito de gobernar sin ley…» no es literal (lo más cercano, § 201); «appeal to heaven» está en § 242, y el capítulo cierra con § 243; el «buen salvaje» no está en El contrato social; Hume no llama «ficción» al contrato (dice que casi todos los gobiernos se fundaron en la usurpación o la conquista); la Declaración de Independencia dice «just powers» (justos), no «legítimos»; Straehle (2023) rebate que Robespierre sea una mera aplicación de Rousseau (la pieza lo cita como si lo confirmara); la frase de Furet no se ha localizado; Berlin cita una imagen de Heine, y lo decapitado es la vieja tradición metafísica (por la Crítica de Kant), no Luis XVI; «forzado a ser libre» no está en el borrador leído de Berlin; el encargo del 29-5-1793 fue un plan «reducido a los solos artículos que importa hacer irrevocables», no «para organizar los poderes públicos»; el arresto de los diputados se decretó el 2 de junio, no el 1; la Constitución de 1793 se adoptó el 24 de junio y «nunca estuvo en vigor» (nota del editor de Condorcet, 1847); la muerte de Condorcet no se ha leído en fuente; el blog de la UNED sobre el «trágala» no se ha localizado; la composición de la ponencia por partidos y las concesiones de cada bando no constan en la fuente leída (solo «siete diputados»); el Diario de Sesiones da 326 a favor y 13 abstenciones en el cuerpo, y 325 y 14 en el sumario; «48 años» son casi 48. - 12.00: «desde la Paz de Westfalia» no tiene pasaje en el tratado; Hutt River: la condena fue del Tribunal Supremo de Australia Occidental (2017), 2.770.177,63 dólares australianos, no «1,8 millones de libras», ni el Tribunal Superior de Australia, ni «gobbledygook» (galimatías); Isola delle Rose: la frase de «Rosa contro Repubblica Italiana» no se ha localizado. - 13.00: Der Staat es de Oppenheimer solo, 1907 (Gumplowicz solo se cita; Wundt y Wagner no aparecen); el «sindicato del crimen» no está en el texto leído de North, Wallis y Weingast, que fechan el acceso abierto «en los últimos 300 años» y en «unas dos docenas de países»; Kling y Vírgala, sin acceso al texto; LOREG, art. 64: son 10, 15, 30 y 45 minutos, no 10, 20 y 30; STC 163/2011: «excesiva fragmentación» es del Fiscal (antecedentes); el Tribunal habla de «excesiva proliferación de candidaturas»; Maldita.es no nombra a Vox, Babord, Compromís ni Elkarrekin; las «siete de siete» condenas y Pindo Mulla, sin fuente leída; el percentil 71,7 del Banco Mundial no se ha localizado (la edición de 2026 da una puntuación de 63,1 sobre 100 para 2023 y de 61,2 para 2025); la serie histórica de Transparencia Internacional (máximo, mínimo, media) no se ha leído; la LO 3/1984 excluye también las materias tributarias. - 23.00: la frase de Bodino no es literal: dice que el príncipe «no podrá tomar el bien ajeno sin causa justa y razonable» (ed. de 1577); el decreto de 1811 dice «quedan desde ahora en la clase de los demás derechos de propiedad particular» y «nadie podrá llamarse señor de vasallos, exercer jurisdicción, nombrar jueces»; la frase de Weber no es literal (dice que cada dominación procura «despertar y cultivar la creencia en su legitimidad»); el DPEJ SÍ tiene «legitimidad»; la frase de Cordero y Aldunate está en una nota; Castaño, no localizado. Nuevo, aprobado por Kiko el 5-oct (leído en su original): en 6.1, el consentimiento tácito de Locke (§ 119) y la réplica de Hume (el campesino y el barco); Saint-Just, uno de los cinco del 29-5-1793, y su informe de 8-7-1793 contra el «gobierno provisional»; en 6.2, Montevideo, art. 6 (el reconocimiento acepta «la personalidad del otro»), y la palabra japonesa «ficticio» del rescripto de 1946; en 6.3, el decreto de 1811 indemnizó (arts. 8 y 11); en 6.4, la exclusión de las materias tributarias de la iniciativa popular (LO 3/1984, art. 2) y las puntuaciones del Banco Mundial en lugar del percentil. No entra: 00.00-6.8 (Espinosa y Kant, La paz perpetua: va al cargo 22, 11.3); las tres condiciones de la rebelión legítima (10.00-7.3), sin un texto que las fije; Sealand, Liberland y Minerva (solo enciclopedia); los nombres de partidos multados y de personas. Remisiones: Código Civil, art. 1261 (5.1); Kant, la Ilustración (2.4); la ficción declarada, Montaigne y Pascal (5.3); Código Civil de 1889, art. 5, y Alcalá (1.7); Jubileos 11 (4.3); el vasallaje de 1811 (2.2); las cifras del freno (7.4); el 62,1 % (7.4); los mitos del movimiento soberano (2.6; anexo E). Conceptos que ancla: el contrato social (6.1; lo trae el lector); la autoproclamación y la auctoritas (6.2); imperium y dominium (6.3); los órdenes de acceso limitado y abierto (6.4); la separación de poderes y el derecho de resistencia (6.5).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t xml:space="preserve"> (Real Academia Española, Diccionario de la lengua española, «contrato»)</w:t>
      </w:r>
      <w:r>
        <w:t xml:space="preserve">. Y sin consentimiento, objeto y causa no hay contrato (Código Civil, art. 1261; </w:t>
      </w:r>
      <w:r>
        <w:t>5.1</w:t>
      </w:r>
      <w:r>
        <w:t xml:space="preserve">, n.º 13). </w:t>
      </w:r>
      <w:r>
        <w:t>[10.00-2.1, 2.2 y 2.4]</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 </w:t>
      </w:r>
      <w:r>
        <w:t>[10.00-2.3 y 3.1]</w:t>
      </w:r>
    </w:p>
    <w:p>
      <w:r>
        <w:t xml:space="preserve">Sirvió para dos cosas. Justificó el poder sin apelar al derecho divino de los reyes. Y dejó una consecuencia: si el poder nace de un pacto, se puede retirar cuando el pacto se rompe. </w:t>
      </w:r>
      <w:r>
        <w:t>[10.00-3.2]</w:t>
      </w:r>
    </w:p>
    <w:p>
      <w:pPr>
        <w:pStyle w:val="Heading3"/>
      </w:pPr>
      <w:r>
        <w:t>Tres maneras de rellenar la misma idea</w:t>
      </w:r>
    </w:p>
    <w:p>
      <w:r>
        <w:t xml:space="preserve">Los tres autores parten del mismo problema, por qué obedecer, y llegan a soluciones que no casan entre sí, según cómo imaginaron el punto de partida. </w:t>
      </w:r>
      <w:r>
        <w:t>[10.00-3.1 y 13.5]</w:t>
      </w:r>
    </w:p>
    <w:p>
      <w:r>
        <w:rPr>
          <w:b/>
        </w:rPr>
        <w:t>Hobbes (1651): el miedo.</w:t>
      </w:r>
      <w:r>
        <w:t xml:space="preserve"> Sin un poder común que los mantenga a raya, los hombres están en guerra, «una guerra de cada hombre contra cada hombre»</w:t>
      </w:r>
      <w:r>
        <w:t xml:space="preserve"> [original: «such a warre, as is of every man, against every man»]</w:t>
      </w:r>
      <w:r>
        <w:t>, y la vida del hombre es «solitaria, pobre, desagradable, brutal y corta»</w:t>
      </w:r>
      <w:r>
        <w:t xml:space="preserve"> [original: «solitary, poore, nasty, brutish, and short»]</w:t>
      </w:r>
      <w:r>
        <w:t xml:space="preserve"> (Hobbes, Leviatán, cap. XIII)</w:t>
      </w:r>
      <w:r>
        <w:t>.</w:t>
      </w:r>
    </w:p>
    <w:p>
      <w:pPr>
        <w:pStyle w:val="ListBullet"/>
      </w:pPr>
      <w:r>
        <w:rPr>
          <w:b/>
        </w:rPr>
        <w:t>El pacto.</w:t>
      </w:r>
      <w:r>
        <w:t xml:space="preserve"> Se hace «por pacto de cada hombre con cada hombre»</w:t>
      </w:r>
      <w:r>
        <w:t xml:space="preserve"> [original: «by Covenant of every man with every man»]</w:t>
      </w:r>
      <w:r>
        <w:t xml:space="preserve"> (cap. XVII)</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t xml:space="preserve"> [original: «by Covenant onely of one to another, and not of him to any of them; there can happen no breach of Covenant on the part of the Soveraigne»]</w:t>
      </w:r>
      <w:r>
        <w:t xml:space="preserve"> (cap. XVIII)</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t xml:space="preserve"> [original: «that great LEVIATHAN, or rather (to speake more reverently) of that Mortall God, to which wee owe under the Immortall God, our peace and defence»]</w:t>
      </w:r>
      <w:r>
        <w:t xml:space="preserve"> (cap. XVII)</w:t>
      </w:r>
      <w:r>
        <w:t>. Desde la primera página lo había definido como «un hombre artificial»</w:t>
      </w:r>
      <w:r>
        <w:t xml:space="preserve"> [original: «an Artificiall Man»]</w:t>
      </w:r>
      <w:r>
        <w:t xml:space="preserve"> (Introducción)</w:t>
      </w:r>
      <w:r>
        <w:t>.</w:t>
      </w:r>
    </w:p>
    <w:p>
      <w:pPr>
        <w:pStyle w:val="ListBullet"/>
      </w:pPr>
      <w:r>
        <w:rPr>
          <w:b/>
        </w:rPr>
        <w:t>El nombre.</w:t>
      </w:r>
      <w:r>
        <w:t xml:space="preserve"> Viene del monstruo del libro de Job. La portada de 1651 muestra un gigante coronado cuyo cuerpo está hecho con los cuerpos de sus súbditos, y encima, el versículo en latín: «no hay poder sobre la tierra que se le compare»</w:t>
      </w:r>
      <w:r>
        <w:t xml:space="preserve"> [original: «Non est potestas Super Terram quæ Comparetur ei. Iob. 41. 24»]</w:t>
      </w:r>
      <w:r>
        <w:t xml:space="preserve"> (portada de la primera edición, Londres, 1651)</w:t>
      </w:r>
      <w:r>
        <w:t>. La Vulgata lo dice con otro orden: «non est super terram potestas quae conparetur ei» (Job 41:24).</w:t>
      </w:r>
    </w:p>
    <w:p>
      <w:pPr>
        <w:pStyle w:val="ListBullet"/>
      </w:pPr>
      <w:r>
        <w:rPr>
          <w:b/>
        </w:rPr>
        <w:t>El lobo.</w:t>
      </w:r>
      <w:r>
        <w:t xml:space="preserve"> Las dos fórmulas latinas que se le atribuyen no están en el Leviatán inglés, sino en De Cive. Allí escribe que la condición de los hombres fuera de la sociedad civil no es otra que «la guerra de todos contra todos»</w:t>
      </w:r>
      <w:r>
        <w:t xml:space="preserve"> [original: «bellum omnium contra omnes»]</w:t>
      </w:r>
      <w:r>
        <w:t xml:space="preserve"> (Hobbes, De Cive, prefacio)</w:t>
      </w:r>
      <w:r>
        <w:t>. Y del lobo dice algo distinto de lo que se cuenta: «en verdad se han dicho las dos cosas: el hombre es un dios para el hombre, y el hombre es un lobo para el hombre. Lo primero, si se compara a los conciudadanos entre sí; lo segundo, si se compara a las ciudades»</w:t>
      </w:r>
      <w:r>
        <w:t xml:space="preserve"> [original: «Profecto utrumque vere dictum est, homo homini deus, et homo homini lupus. Illud, si concives inter se; hoc, si civitates comparemus»]</w:t>
      </w:r>
      <w:r>
        <w:t xml:space="preserve"> (De Cive, epístola dedicatoria)</w:t>
      </w:r>
      <w:r>
        <w:t>. No es una fórmula suya: cita un dicho, y lo empareja con su contrario.</w:t>
      </w:r>
    </w:p>
    <w:p>
      <w:r>
        <w:t>[10.00-4.1, 13.1 a 13.4 y 13.6; 04.00-4.2; Hobbes leído en inglés (Gutenberg) y en latín (ed. Molesworth, 1839); portada de 1651]</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 xml:space="preserve">. </w:t>
      </w:r>
      <w:r>
        <w:t>[10.00-4.2 y 9.1]</w:t>
      </w:r>
    </w:p>
    <w:p>
      <w:r>
        <w:t>La primera edición es de 1690, y su prefacio dice para qué se publica: para asentar «el trono de nuestro gran Restaurador, nuestro actual rey Guillermo; para hacer bueno su título en el consentimiento del pueblo»</w:t>
      </w:r>
      <w:r>
        <w:t xml:space="preserve"> [original: «to establish the Throne of our great Restorer, Our present King William; to make good his Title, in the Consent of the People»]</w:t>
      </w:r>
      <w:r>
        <w:t xml:space="preserve"> (Locke, Two Treatises of Government (Dos tratados sobre el gobierno), Londres, 1690, prefacio)</w:t>
      </w:r>
      <w:r>
        <w:t xml:space="preserve">. </w:t>
      </w:r>
      <w:r>
        <w:t>[10.00-4.4 y 6.1; primera edición leída en Internet Archive]</w:t>
      </w:r>
    </w:p>
    <w:p>
      <w:r>
        <w:rPr>
          <w:b/>
        </w:rPr>
        <w:t>Rousseau (1762): la voluntad general.</w:t>
      </w:r>
      <w:r>
        <w:t xml:space="preserve"> «El hombre ha nacido libre, y en todas partes está encadenado»</w:t>
      </w:r>
      <w:r>
        <w:t xml:space="preserve"> [original: «L'homme est né libre, &amp; par-tout il est dans les fers»]</w:t>
      </w:r>
      <w:r>
        <w:t xml:space="preserve"> (Rousseau, Del contrato social I, 1)</w:t>
      </w:r>
      <w:r>
        <w:t>. Siete años antes había puesto el origen del mal en la propiedad: «El primero que, habiendo cercado un terreno, se le ocurrió decir "esto es mío", y encontró gentes lo bastante simples para creerle, fue el verdadero fundador de la sociedad civil»</w:t>
      </w:r>
      <w:r>
        <w:t xml:space="preserve"> [original: «Le premier qui, ayant enclos un terrain, s'avisa de dire : Ceci est à moi, et trouva des gens assez simples pour le croire, fut le vrai fondateur de la société civile»]</w:t>
      </w:r>
      <w:r>
        <w:t xml:space="preserve"> (Discurso sobre el origen de la desigualdad, 1755, segunda parte)</w:t>
      </w:r>
      <w:r>
        <w:t xml:space="preserve">. En su pacto, nadie cede la libertad a un tercero: cada uno se somete a la voluntad general, y en ella recupera, según él, una libertad más alta. La expresión «buen salvaje», que suele atribuírsele, no está en El contrato social. </w:t>
      </w:r>
      <w:r>
        <w:t>[10.00-4.3; Rousseau leído en francés, Wikisource]</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t xml:space="preserve"> [original: «Il y a souvent bien de la différence entre la volonté de tous &amp; la volonté générale ; celle-ci ne regarde qu'à l'intérêt commun, l'autre regarde à l'intérêt privé, &amp; n'est qu'une somme de volontés particulieres ; mais ôtez de ces mêmes volontés les plus &amp; les moins qui s'entredétruisent, reste pour somme des différences la volonté générale.»]</w:t>
      </w:r>
      <w:r>
        <w:t xml:space="preserve"> (Del contrato social II, 3)</w:t>
      </w:r>
      <w:r>
        <w:t xml:space="preserve">. No es una votación cualquiera: es lo que queda cuando los intereses particulares se anulan entre sí. Es una condición exigente. </w:t>
      </w:r>
      <w:r>
        <w:t>[10.00-11.1 y 11.2]</w:t>
      </w:r>
    </w:p>
    <w:p>
      <w:r>
        <w:rPr>
          <w:b/>
        </w:rPr>
        <w:t>La frase peligrosa.</w:t>
      </w:r>
      <w:r>
        <w:t xml:space="preserve"> Para que el pacto no sea «un formulario vano»</w:t>
      </w:r>
      <w:r>
        <w:t xml:space="preserve"> [original: «un vain formulaire»]</w:t>
      </w:r>
      <w:r>
        <w:t>, encierra un compromiso: «quien se niegue a obedecer a la voluntad general será obligado a ello por todo el cuerpo, lo cual no significa otra cosa sino que se le forzará a ser libre»</w:t>
      </w:r>
      <w:r>
        <w:t xml:space="preserve"> [original: «quiconque refusera d'obéir à la volonté générale, y sera contraint par tout le corps : ce qui ne signifie autre chose sinon qu'on le forcera d'être libre»]</w:t>
      </w:r>
      <w:r>
        <w:t xml:space="preserve"> (Del contrato social I, 7)</w:t>
      </w:r>
      <w:r>
        <w:t xml:space="preserve">. Rousseau la escribió como garantía. Separada de la condición anterior, abre la puerta a que quien se declare portavoz de la voluntad general use la fuerza en su nombre. </w:t>
      </w:r>
      <w:r>
        <w:t>[10.00-11.3]</w:t>
      </w:r>
    </w:p>
    <w:p>
      <w:r>
        <w:rPr>
          <w:b/>
        </w:rPr>
        <w:t>De dónde viene la expresión.</w:t>
      </w:r>
      <w:r>
        <w:t xml:space="preserve"> «Voluntad general» nació en la teología. Malebranche escribió: «digo que Dios actúa por voluntades generales cuando actúa como consecuencia de las leyes generales que ha establecido»</w:t>
      </w:r>
      <w:r>
        <w:t xml:space="preserve"> [original: «Je dis que Dieu agit par des volontez generales, lorsqu'il agit en consequence des loix generales qu'il a établies»]</w:t>
      </w:r>
      <w:r>
        <w:t xml:space="preserve"> (Malebranche, Aclaración al Tratado de la naturaleza y de la gracia, 1681)</w:t>
      </w:r>
      <w:r>
        <w:t>. Montesquieu la llevó al gobierno de los hombres: el poder legislativo no es más que «la voluntad general del Estado», y el ejecutivo, «la ejecución de esa voluntad general»</w:t>
      </w:r>
      <w:r>
        <w:t xml:space="preserve"> [original: «l'un, que la volonté générale de l'état ; &amp; l'autre, que l'exécution de cette volonté générale»]</w:t>
      </w:r>
      <w:r>
        <w:t xml:space="preserve"> (Montesquieu, Del espíritu de las leyes XI, 6, 1748)</w:t>
      </w:r>
      <w:r>
        <w:t xml:space="preserve">. Rousseau la pasó de Dios al pueblo sin cambiarle la forma. </w:t>
      </w:r>
      <w:r>
        <w:t>[10.00-11.4 y 11.5; Malebranche y Montesquieu leídos en francés]</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xml:space="preserve"> [original: «ist keinesweges als ein Factum vorauszusetzen nöthig (ja als ein solches gar nicht möglich)»]</w:t>
      </w:r>
      <w:r>
        <w:t>. Es «una mera idea de la razón, que tiene, sin embargo, su indudable realidad (práctica)»</w:t>
      </w:r>
      <w:r>
        <w:t xml:space="preserve"> [original: «eine bloße Idee der Vernunft, die aber ihre unbezweifelte (praktische) Realität hat»]</w:t>
      </w:r>
      <w:r>
        <w:t>: obliga a cada legislador a dictar sus leyes como si hubieran podido nacer de la voluntad unida de todo un pueblo</w:t>
      </w:r>
      <w:r>
        <w:t xml:space="preserve"> (Kant, Sobre el dicho común: esto puede ser correcto en teoría, pero no sirve para la práctica, 1793, edición de la Academia, VIII, 297)</w:t>
      </w:r>
      <w:r>
        <w:t xml:space="preserve">. </w:t>
      </w:r>
      <w:r>
        <w:t>[10.00-8.1, 8.3 y 8.6; Kant leído en alemán]</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t xml:space="preserve"> [original: «Almost all the governments, which exist at present, or of which there remains any record in story, have been founded originally, either on usurpation or conquest, or both, without any pretence of a fair consent, or voluntary subjection of the people»]</w:t>
      </w:r>
      <w:r>
        <w:t xml:space="preserve"> (Hume, «Of the Original Contract» (Del contrato original), párr. 9)</w:t>
      </w:r>
      <w:r>
        <w:t xml:space="preserve">. La palabra «ficción» no está en su ensayo. </w:t>
      </w:r>
      <w:r>
        <w:t>[10.00-8.2 y 8.6; Hume leído en davidhume.org]</w:t>
      </w:r>
    </w:p>
    <w:p>
      <w:r>
        <w:rPr>
          <w:b/>
        </w:rPr>
        <w:t>El consentimiento tácito, y su réplica.</w:t>
      </w:r>
      <w:r>
        <w:t xml:space="preserve"> Locke resolvió así el caso de quien nunca firmó: «todo hombre que tiene alguna posesión o disfrute de cualquier parte de los dominios de un gobierno da con ello su consentimiento tácito»</w:t>
      </w:r>
      <w:r>
        <w:t xml:space="preserve"> [original: «every man, that hath any possessions, or enjoyment, of any part of the dominions of any government, doth thereby give his tacit consent»]</w:t>
      </w:r>
      <w:r>
        <w:t>, aunque lo que posea sea solo «un alojamiento por una semana»</w:t>
      </w:r>
      <w:r>
        <w:t xml:space="preserve"> [original: «a lodging only for a week»]</w:t>
      </w:r>
      <w:r>
        <w:t xml:space="preserve"> (Locke, Segundo tratado, § 119)</w:t>
      </w:r>
      <w:r>
        <w:t>. Hume le contestó: «¿Podemos decir en serio que un pobre campesino o artesano tiene libertad para elegir dejar su país, cuando no conoce lenguas ni costumbres extranjeras y vive al día del pequeño jornal que gana? Lo mismo podríamos afirmar que un hombre, por quedarse en un barco, consiente libremente en el dominio del capitán, aunque lo subieron a bordo dormido, y tendría que saltar al océano y perecer en cuanto lo dejara»</w:t>
      </w:r>
      <w:r>
        <w:t xml:space="preserve"> [original: «Can we seriously say, that a poor peasant or artizan has a free choice to leave his country, when he knows no foreign language or manners, and lives from day to day, by the small wages which he acquires? We may as well assert, that a man, by remaining in a vessel, freely consents to the dominion of the master; though he was carried on board while asleep, and must leap into the ocean, and perish, the moment he leaves her.»]</w:t>
      </w:r>
      <w:r>
        <w:t xml:space="preserve"> (Hume, «Of the Original Contract», párr. 24)</w:t>
      </w:r>
      <w:r>
        <w:t xml:space="preserve">. </w:t>
      </w:r>
      <w:r>
        <w:t>[nuevo, aprobado por Kiko el 5-oct; Locke y Hume leídos en inglés]</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xml:space="preserve">, n.º 13). </w:t>
      </w:r>
      <w:r>
        <w:t>[10.00-8.4 y 8.5]</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xml:space="preserve"> [original: «That the pretended Power of Suspending of Laws or the Execution of Laws by Regall Authority without Consent of Parlyament is illegall»]</w:t>
      </w:r>
      <w:r>
        <w:t>, y también recaudar dinero para la Corona «sin concesión del Parlamento»</w:t>
      </w:r>
      <w:r>
        <w:t xml:space="preserve"> [original: «without Grant of Parlyament»]</w:t>
      </w:r>
      <w:r>
        <w:t xml:space="preserve"> (Bill of Rights (Declaración de Derechos), 1689)</w:t>
      </w:r>
      <w:r>
        <w:t xml:space="preserve">. Al año siguiente, Locke publicó su tratado con el prefacio ya visto. </w:t>
      </w:r>
      <w:r>
        <w:t>[10.00-6.1 y 6.4]</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xml:space="preserve"> [original: «deriving their just powers from the consent of the governed, --That whenever any Form of Government becomes destructive of these ends, it is the Right of the People to alter or to abolish it, and to institute new Government»]</w:t>
      </w:r>
      <w:r>
        <w:t>. Entre los agravios contra el rey, «imponernos impuestos sin nuestro consentimiento»</w:t>
      </w:r>
      <w:r>
        <w:t xml:space="preserve"> [original: «For imposing Taxes on us without our Consent»]</w:t>
      </w:r>
      <w:r>
        <w:t xml:space="preserve"> (Declaración de Independencia, 4 de julio de 1776, transcripción de los Archivos Nacionales de Estados Unidos)</w:t>
      </w:r>
      <w:r>
        <w:t xml:space="preserve">. </w:t>
      </w:r>
      <w:r>
        <w:t>[10.00-6.3 y 6.4]</w:t>
      </w:r>
    </w:p>
    <w:p>
      <w:pPr>
        <w:pStyle w:val="ListBullet"/>
      </w:pPr>
      <w:r>
        <w:rPr>
          <w:b/>
        </w:rPr>
        <w:t>Francia, 1789.</w:t>
      </w:r>
      <w:r>
        <w:t xml:space="preserve"> «Toda sociedad en la que la garantía de los derechos no está asegurada, ni la separación de poderes determinada, no tiene Constitución»</w:t>
      </w:r>
      <w:r>
        <w:t xml:space="preserve"> [original: «Toute société dans laquelle la garantie des droits n'est pas assurée, ni la séparation des pouvoirs déterminée, n'a point de Constitution»]</w:t>
      </w:r>
      <w:r>
        <w:t xml:space="preserve"> (Declaración de los Derechos del Hombre y del Ciudadano, 26 de agosto de 1789, art. 16)</w:t>
      </w:r>
      <w:r>
        <w:t xml:space="preserve">. </w:t>
      </w:r>
      <w:r>
        <w:t>[10.00-6.2 y 6.4]</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t xml:space="preserve"> [original: «Personne ne nous a donné une plus juste idée du peuple que Rousseau, parce que personne ne l'a plus aimé»]</w:t>
      </w:r>
      <w:r>
        <w:t xml:space="preserve"> (Robespierre, discurso sobre la guerra, 2 de enero de 1792)</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t xml:space="preserve"> (Straehle, «Rousseau y Robespierre», Anales del Seminario de Historia de la Filosofía, 40 (</w:t>
      </w:r>
      <w:r>
        <w:t>3</w:t>
      </w:r>
      <w:r>
        <w:t>), 2023; fuente secundaria)</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t xml:space="preserve"> [original: «the bloodstained weapon which, in the hands of Robespierre, had destroyed the old regime»]</w:t>
      </w:r>
      <w:r>
        <w:t xml:space="preserve"> (Berlin, «Two Concepts of Liberty» (Dos conceptos de libertad), 1958, borrador E, Isaiah Berlin Virtual Library; fuente secundaria)</w:t>
      </w:r>
      <w:r>
        <w:t>.</w:t>
      </w:r>
    </w:p>
    <w:p>
      <w:r>
        <w:t>[10.00-12.3, 12.4 y 12.8; Robespierre leído en Wikisource]</w:t>
      </w:r>
    </w:p>
    <w:p>
      <w:r>
        <w:rPr>
          <w:b/>
        </w:rPr>
        <w:t>Dos constituciones, y ninguna en vigor.</w:t>
      </w:r>
    </w:p>
    <w:p>
      <w:pPr>
        <w:pStyle w:val="ListBullet"/>
      </w:pPr>
      <w:r>
        <w:rPr>
          <w:b/>
        </w:rPr>
        <w:t>El plan de Condorcet.</w:t>
      </w:r>
      <w:r>
        <w:t xml:space="preserve"> El 15 y el 16 de febrero de 1793, Condorcet presentó a la Convención un plan completo de Constitución, con una declaración de derechos naturales, civiles y políticos</w:t>
      </w:r>
      <w:r>
        <w:t xml:space="preserve"> (Plan de Constitution présenté à la Convention nationale les 15 et 16 février 1793 (Plan de Constitución presentado a la Convención nacional el 15 y 16 de febrero de 1793), Imprimerie nationale)</w:t>
      </w:r>
      <w:r>
        <w:t>.</w:t>
      </w:r>
    </w:p>
    <w:p>
      <w:pPr>
        <w:pStyle w:val="ListBullet"/>
      </w:pPr>
      <w:r>
        <w:rPr>
          <w:b/>
        </w:rPr>
        <w:t>El encargo del 29 de mayo.</w:t>
      </w:r>
      <w:r>
        <w:t xml:space="preserve"> La Convención autorizó al Comité de Salvación Pública a sumarse cinco miembros para presentar «un plan de Constitución reducido a los solos artículos que importa hacer irrevocables»</w:t>
      </w:r>
      <w:r>
        <w:t xml:space="preserve"> [original: «un plan de Constitution réduit aux seuls articles qu'il importe de rendre irrévocables»]</w:t>
      </w:r>
      <w:r>
        <w:t xml:space="preserve"> (Archives parlementaires (Archivos parlamentarios), t. 65, sesión del 29 de mayo de 1793)</w:t>
      </w:r>
      <w:r>
        <w:t>. Uno de los cinco fue Saint-Just</w:t>
      </w:r>
      <w:r>
        <w:t xml:space="preserve"> (Œuvres complètes de Saint-Just (Obras completas), ed. Vellay, 1908, t. II, nota del editor)</w:t>
      </w:r>
      <w:r>
        <w:t>.</w:t>
      </w:r>
    </w:p>
    <w:p>
      <w:pPr>
        <w:pStyle w:val="ListBullet"/>
      </w:pPr>
      <w:r>
        <w:rPr>
          <w:b/>
        </w:rPr>
        <w:t>La denuncia de Condorcet.</w:t>
      </w:r>
      <w:r>
        <w:t xml:space="preserve"> La nueva Constitución se preparó, escribió, cuando los diputados, rodeados de soldados, habían sido obligados a «ordenar el arresto de 27 de sus colegas, y desde entonces la integridad de la representación nacional ya no subsistía»</w:t>
      </w:r>
      <w:r>
        <w:t xml:space="preserve"> [original: «d'ordonner l'arrestation de 27 de leurs collègues, et où dès lors l'intégrité de la représentation nationale ne subsistait plus»]</w:t>
      </w:r>
      <w:r>
        <w:t xml:space="preserve"> (Condorcet, «Aux citoyens français» (A los ciudadanos franceses), 1793, Œuvres, t. XII, 1847, p. 654)</w:t>
      </w:r>
      <w:r>
        <w:t>. El editor anota que esa Constitución se presentó el 10 de junio, se adoptó el 24 y «nunca estuvo en vigor»</w:t>
      </w:r>
      <w:r>
        <w:t xml:space="preserve"> [original: «ne fut jamais en vigueur»]</w:t>
      </w:r>
      <w:r>
        <w:t>.</w:t>
      </w:r>
    </w:p>
    <w:p>
      <w:pPr>
        <w:pStyle w:val="ListBullet"/>
      </w:pPr>
      <w:r>
        <w:rPr>
          <w:b/>
        </w:rPr>
        <w:t>Las palabras de Saint-Just.</w:t>
      </w:r>
      <w:r>
        <w:t xml:space="preserve"> El 8 de julio acusó a los diputados detenidos: «los que en las revoluciones quieren fijar un gobierno provisional y anárquico, esos preparan sordamente el regreso de la tiranía»</w:t>
      </w:r>
      <w:r>
        <w:t xml:space="preserve"> [original: «Ceux donc qui, dans les révolutions, veulent fixer un gouvernement provisoire et anarchique, ceux-là préparent sourdement le retour de la tyrannie»]</w:t>
      </w:r>
      <w:r>
        <w:t xml:space="preserve"> (Saint-Just, informe sobre los treinta y dos diputados detenidos, 8 de julio de 1793)</w:t>
      </w:r>
      <w:r>
        <w:t>. El 10 de octubre propuso él mismo: «El gobierno provisional de Francia es revolucionario hasta la paz»</w:t>
      </w:r>
      <w:r>
        <w:t xml:space="preserve"> [original: «Le gouvernement provisoire de la France est révolutionnaire jusqu'à la paix»]</w:t>
      </w:r>
      <w:r>
        <w:t xml:space="preserve"> (Saint-Just, informe y decreto del 19 de vendimiario del año II (10 de octubre de 1793), art. 1)</w:t>
      </w:r>
      <w:r>
        <w:t>.</w:t>
      </w:r>
    </w:p>
    <w:p>
      <w:r>
        <w:t>[10.00-12.6 y 12.7; Condorcet, Archives parlementaires y Saint-Just leídos en francés (Internet Archive); nuevo, aprobado por Kiko el 5-oct: Saint-Just entre los cinco y su informe de julio]</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 </w:t>
      </w:r>
      <w:r>
        <w:t>[10.00-12.5]</w:t>
      </w:r>
    </w:p>
    <w:p>
      <w:r>
        <w:rPr>
          <w:b/>
        </w:rPr>
        <w:t>Lectura del autor:</w:t>
      </w:r>
      <w:r>
        <w:t xml:space="preserve"> el patrón de 1793, tomar la parte de una idea que legitima y dejar la que limita, no es solo de entonces. Es la forma de la maniobra camuflada (</w:t>
      </w:r>
      <w:r>
        <w:t>5.1</w:t>
      </w:r>
      <w:r>
        <w:t xml:space="preserve">): el nombre dice «voluntad del pueblo», y el hecho dice otra cosa. </w:t>
      </w:r>
      <w:r>
        <w:t>[10.00-12.5]</w:t>
      </w:r>
    </w:p>
    <w:p>
      <w:r>
        <w:rPr>
          <w:b/>
        </w:rPr>
        <w:t>Un pacto que sí se negoció: España, 1978.</w:t>
      </w:r>
    </w:p>
    <w:p>
      <w:pPr>
        <w:pStyle w:val="ListBullet"/>
      </w:pPr>
      <w:r>
        <w:rPr>
          <w:b/>
        </w:rPr>
        <w:t>La ponencia.</w:t>
      </w:r>
      <w:r>
        <w:t xml:space="preserve"> El Congreso «eligió una ponencia de siete diputados» y le encargó redactar el proyecto</w:t>
      </w:r>
      <w:r>
        <w:t xml:space="preserve"> (Pita Broncano, «La Constitución española de 1978: el consenso», Anuario de la Facultad de Derecho, Universidad de Extremadura, 2003; fuente secundaria)</w:t>
      </w:r>
      <w:r>
        <w:t>.</w:t>
      </w:r>
    </w:p>
    <w:p>
      <w:pPr>
        <w:pStyle w:val="ListBullet"/>
      </w:pPr>
      <w:r>
        <w:rPr>
          <w:b/>
        </w:rPr>
        <w:t>La votación.</w:t>
      </w:r>
      <w:r>
        <w:t xml:space="preserve"> El 31 de octubre de 1978, el Congreso aprobó el texto con 326 votos a favor, 6 en contra y 13 abstenciones; el Senado, con 226 a favor, 5 en contra y 8 abstenciones</w:t>
      </w:r>
      <w:r>
        <w:t xml:space="preserve"> (Diario de Sesiones del Congreso de los Diputados, n.º 130, 31 de octubre de 1978; el sumario da 325 a favor y 14 abstenciones)</w:t>
      </w:r>
      <w:r>
        <w:t>. En la misma sesión se lamentó «la abstención de un gran partido democrático vasco», el PNV</w:t>
      </w:r>
      <w:r>
        <w:t xml:space="preserve"> (ídem)</w:t>
      </w:r>
      <w:r>
        <w:t>.</w:t>
      </w:r>
    </w:p>
    <w:p>
      <w:pPr>
        <w:pStyle w:val="ListBullet"/>
      </w:pPr>
      <w:r>
        <w:rPr>
          <w:b/>
        </w:rPr>
        <w:t>La amenaza.</w:t>
      </w:r>
      <w:r>
        <w:t xml:space="preserve"> No se hizo en calma. La Operación Galaxia fue un plan golpista que, según las declaraciones del sumario, el teniente coronel Tejero expuso a otros oficiales en la cafetería Galaxia de Madrid el 11 de noviembre de 1978</w:t>
      </w:r>
      <w:r>
        <w:t xml:space="preserve"> (Roberto Muñoz Bolaños, «Operación Galaxia. La primera intentona golpista de la Transición», Historia del presente, 20, 2012; fuente secundaria)</w:t>
      </w:r>
      <w:r>
        <w:t>: fijaba el golpe para el viernes 17</w:t>
      </w:r>
      <w:r>
        <w:t xml:space="preserve"> (ídem)</w:t>
      </w:r>
      <w:r>
        <w:t>, cuando el rey emprendía su viaje oficial a México, del 17 al 22 de noviembre</w:t>
      </w:r>
      <w:r>
        <w:t xml:space="preserve"> (Ricardo Zugasti, «El viaje de la reconciliación», Espacios Públicos, 21, 2008; fuente secundaria)</w:t>
      </w:r>
      <w:r>
        <w:t>, antes del referéndum del 6 de diciembre</w:t>
      </w:r>
      <w:r>
        <w:t xml:space="preserve"> (Real Decreto 2560/1978, art. 2)</w:t>
      </w:r>
      <w:r>
        <w:t>. El plan se descubrió el 15 y no llegó a ejecutarse; en la vista oral, los asistentes a la reunión negaron que se hubiera conspirado</w:t>
      </w:r>
      <w:r>
        <w:t xml:space="preserve"> (ídem, Muñoz Bolaños)</w:t>
      </w:r>
      <w:r>
        <w:t>. Y en 1980 el terrorismo mató en España a 132 personas</w:t>
      </w:r>
      <w:r>
        <w:t xml:space="preserve"> (Centro Memorial de las Víctimas del Terrorismo, 1980. El terrorismo contra la Transición, 2020, prólogo, p. 14; fuente secundaria)</w:t>
      </w:r>
      <w:r>
        <w:t>; la Cronología de la Guardia Civil cuenta 97 muertos de ETA ese año, y «Vidas rotas» una víctima más</w:t>
      </w:r>
      <w:r>
        <w:t xml:space="preserve"> (Mikel Buesa, ETA: medio siglo de terrorismo. Un recuento estadístico, Documento de Trabajo n.º 1, Universidad Complutense de Madrid, diciembre de 2022, cuadro 3 y recuento de víctimas; fuente secundaria)</w:t>
      </w:r>
      <w:r>
        <w:t>.</w:t>
      </w:r>
    </w:p>
    <w:p>
      <w:pPr>
        <w:pStyle w:val="ListBullet"/>
      </w:pPr>
      <w:r>
        <w:rPr>
          <w:b/>
        </w:rPr>
        <w:t>Lo que permite decir.</w:t>
      </w:r>
      <w:r>
        <w:t xml:space="preserve"> Es un caso real de pacto negociado que ha durado casi cuarenta y ocho años sin ruptura violenta. Lo que no prueba: que lo consintieran quienes no votaron entonces, ni los nacidos después (la defensa y su réplica, en </w:t>
      </w:r>
      <w:r>
        <w:t>11.3</w:t>
      </w:r>
      <w:r>
        <w:t xml:space="preserve">, </w:t>
      </w:r>
      <w:r>
        <w:t>cargo 11</w:t>
      </w:r>
      <w:r>
        <w:t>).</w:t>
      </w:r>
    </w:p>
    <w:p>
      <w:r>
        <w:t>[10.00-17.1 a 17.6; Diario de Sesiones leído en el Congreso]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t xml:space="preserve"> [original: «to increase»]</w:t>
      </w:r>
      <w:r>
        <w:t xml:space="preserve"> (Lewis y Short, A Latin Dictionary (Diccionario latino), s. v. «augeo»)</w:t>
      </w:r>
      <w:r>
        <w:t xml:space="preserve">. El </w:t>
      </w:r>
      <w:r>
        <w:rPr>
          <w:i/>
        </w:rPr>
        <w:t>auctor</w:t>
      </w:r>
      <w:r>
        <w:t xml:space="preserve"> era «el que da existencia a algo, o promueve su aumento o su prosperidad»</w:t>
      </w:r>
      <w:r>
        <w:t xml:space="preserve"> [original: «he that brings about the existence of any object, or promotes the increase or prosperity of it»]</w:t>
      </w:r>
      <w:r>
        <w:t xml:space="preserve"> (s. v. «auctor»)</w:t>
      </w:r>
      <w:r>
        <w:t xml:space="preserve">. Desde aquí, la edición llama </w:t>
      </w:r>
      <w:r>
        <w:rPr>
          <w:i/>
        </w:rPr>
        <w:t>auctoritas</w:t>
      </w:r>
      <w:r>
        <w:t xml:space="preserve"> a la autoridad que se gana haciendo crecer a quienes la sostienen (</w:t>
      </w:r>
      <w:r>
        <w:t>H.7</w:t>
      </w:r>
      <w:r>
        <w:t xml:space="preserve">). Los registros son una herramienta real del poder; pero la palabra no nació para eso, sino para nombrar a quien hace prosperar. </w:t>
      </w:r>
      <w:r>
        <w:t>[12.00-1.1 a 1.3; glosario 7.3; Lewis y Short leído en Perseus]</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t xml:space="preserve"> (Convención sobre Derechos y Deberes de los Estados, Montevideo, 26-12-1933, art. 1)</w:t>
      </w:r>
      <w:r>
        <w:t>.</w:t>
      </w:r>
    </w:p>
    <w:p>
      <w:pPr>
        <w:pStyle w:val="ListBullet"/>
      </w:pPr>
      <w:r>
        <w:rPr>
          <w:b/>
        </w:rPr>
        <w:t>El reconocimiento.</w:t>
      </w:r>
      <w:r>
        <w:t xml:space="preserve"> «La existencia política del Estado es independiente de su reconocimiento por los demás Estados»</w:t>
      </w:r>
      <w:r>
        <w:t xml:space="preserve"> (art. 3)</w:t>
      </w:r>
      <w:r>
        <w:t>. Reconocer a un Estado solo significa que quien lo reconoce «acepta la personalidad del otro»</w:t>
      </w:r>
      <w:r>
        <w:t xml:space="preserve"> (art. 6)</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t xml:space="preserve"> [original: «la reconnaissance d'un Etat est non pas constitutive, mais simplement déclarative. L'Etat existe de par lui-même et la reconnaissance n'est que la constatation de cette existence»]</w:t>
      </w:r>
      <w:r>
        <w:t xml:space="preserve"> (Tribunal Arbitral Mixto germano-polaco, Deutsche Continental-Gas-Gesellschaft contra el Estado polaco, 1929, publicado en la Zeitschrift für ausländisches öffentliches Recht und Völkerrecht, 1931)</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xml:space="preserve">, ahora entre Estados. </w:t>
      </w:r>
      <w:r>
        <w:t>[12.00-2.1 a 2.4; Montevideo leído en el facsímil de la OEA; el laudo de 1929, en francés]</w:t>
      </w:r>
    </w:p>
    <w:p>
      <w:r>
        <w:rPr>
          <w:b/>
        </w:rPr>
        <w:t>Lo que la conquista dejó escrito.</w:t>
      </w:r>
      <w:r>
        <w:t xml:space="preserve"> En 1933, los Estados firmantes se obligaron a «no reconocer las adquisiciones territoriales o de ventajas especiales que se realicen por la fuerza»</w:t>
      </w:r>
      <w:r>
        <w:t xml:space="preserve"> (Montevideo, art. 11)</w:t>
      </w:r>
      <w:r>
        <w:t>. En 1945, la Carta de las Naciones Unidas obligó a sus miembros a abstenerse «de recurrir a la amenaza o al uso de la fuerza contra la integridad territorial o la independencia política de cualquier Estado»</w:t>
      </w:r>
      <w:r>
        <w:t xml:space="preserve"> (Carta de las Naciones Unidas, art. 2.4)</w:t>
      </w:r>
      <w:r>
        <w:t>. Que hiciera falta prohibirlo indica que antes era práctica habitual, como había escrito Hume (</w:t>
      </w:r>
      <w:r>
        <w:t>6.1</w:t>
      </w:r>
      <w:r>
        <w:t xml:space="preserve">). </w:t>
      </w:r>
      <w:r>
        <w:t>[12.00-5.1, 5.2 y 5.6]</w:t>
      </w:r>
    </w:p>
    <w:p>
      <w:r>
        <w:rPr>
          <w:b/>
        </w:rPr>
        <w:t>Lo mismo, dentro del orden de las leyes.</w:t>
      </w:r>
      <w:r>
        <w:t xml:space="preserve"> La norma que se declara superior a la costumbre también se da validez a sí misma. Se vio en 1.7: el Código Civil de 1889, art. 5, y el Ordenamiento de Alcalá, de 1348. </w:t>
      </w:r>
      <w:r>
        <w:t>[12.00-5.4]</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t xml:space="preserve"> [original: «Anyone can declare themselves a sovereign in their own home but they cannot ignore the laws of Australia or not pay tax»]</w:t>
      </w:r>
      <w:r>
        <w:t xml:space="preserve"> (Deputy Commissioner of Taxation v Casley [2017] WASC 161, 16-6-2017, párrs. 3, 5, 12, 20 y 22; Casley v Deputy Commissioner of Taxation [2017] WASCA 196, 20-10-2017 (recurso desestimado))</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t xml:space="preserve"> (Martina Calabrese, La Repubblica Esperantista dell'Isola delle Rose. Storia di una micronazione, CRIO Papers 74, Universidad de Catania, 2024; fuente secundaria)</w:t>
      </w:r>
      <w:r>
        <w:t>. Es una sola fuente académica, hecha sobre prensa y libros divulgativos, y otra versión da el 24 de junio para la declaración de independencia. La obra no propone ese camino: lo descartó (</w:t>
      </w:r>
      <w:r>
        <w:t>2.6</w:t>
      </w:r>
      <w:r>
        <w:t xml:space="preserve">; </w:t>
      </w:r>
      <w:r>
        <w:t>anexo E</w:t>
      </w:r>
      <w:r>
        <w:t xml:space="preserve">). </w:t>
      </w:r>
      <w:r>
        <w:t>[12.00-0.2, 0.3, 3.1 a 3.4, 4.1 a 4.3 y 5.5]</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xml:space="preserve">) para colocarse en la de ser superior. El patrón está documentado, con fecha, en civilizaciones sin relación entre sí. </w:t>
      </w:r>
      <w:r>
        <w:t>[00.00-5.1; glosario 9.2]</w:t>
      </w:r>
    </w:p>
    <w:p>
      <w:pPr>
        <w:pStyle w:val="ListBullet"/>
      </w:pPr>
      <w:r>
        <w:rPr>
          <w:b/>
        </w:rPr>
        <w:t>Egipto.</w:t>
      </w:r>
      <w:r>
        <w:t xml:space="preserve"> Desde el día de su coronación, el faraón llevaba entre sus títulos el de «Hijo de Ra»</w:t>
      </w:r>
      <w:r>
        <w:t xml:space="preserve"> [original: «Son of Re»]</w:t>
      </w:r>
      <w:r>
        <w:t>: así lo fija el decreto de coronación de Tutmosis I</w:t>
      </w:r>
      <w:r>
        <w:t xml:space="preserve"> (J. H. Breasted, Ancient Records of Egypt (Documentos antiguos de Egipto), vol. II, 1906, §§ 54-60)</w:t>
      </w:r>
      <w:r>
        <w:t>. Su título más antiguo, «Horus», lo presentaba como sucesor del dios que había gobernado el reino</w:t>
      </w:r>
      <w:r>
        <w:t xml:space="preserve"> (Breasted, A History of Egypt (Historia de Egipto), 1909, p. 38)</w:t>
      </w:r>
      <w:r>
        <w:t>.</w:t>
      </w:r>
    </w:p>
    <w:p>
      <w:pPr>
        <w:pStyle w:val="ListBullet"/>
      </w:pPr>
      <w:r>
        <w:rPr>
          <w:b/>
        </w:rPr>
        <w:t>Roma.</w:t>
      </w:r>
      <w:r>
        <w:t xml:space="preserve"> Augusto escribió que, desde entonces, superó a todos «en dignidad», pero que no tuvo «más poder que los que fueron también mis colegas en cada magistratura»</w:t>
      </w:r>
      <w:r>
        <w:t xml:space="preserve"> [original: «Post id tempus praestiti omnibus dignitate, potestatis autem nihilo amplius habui quam qui fuerunt mihi quoque in magistratu conlegae»]</w:t>
      </w:r>
      <w:r>
        <w:t xml:space="preserve"> (Res Gestae divi Augusti (Hechos del divino Augusto), 34)</w:t>
      </w:r>
      <w:r>
        <w:t>. Menos de un siglo después, Domiciano dictaba cartas que empezaban así: «Nuestro señor y dios ordena que se haga esto»</w:t>
      </w:r>
      <w:r>
        <w:t xml:space="preserve"> [original: «Dominus et deus noster hoc fieri iubet»]</w:t>
      </w:r>
      <w:r>
        <w:t xml:space="preserve"> (Suetonio, Domiciano 13)</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t xml:space="preserve"> [original: «天皇ヲ以テ現御神トシ…架空ナル觀念ニ基クモノニモ非ズ»]</w:t>
      </w:r>
      <w:r>
        <w:t xml:space="preserve"> (rescripto imperial de 1 de enero de 1946; traducción inglesa en Foreign Relations of the United States, 1946, vol. VIII, doc. 138)</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t xml:space="preserve"> (C. B. Coleman, The Treatise of Lorenzo Valla on the Donation of Constantine (El tratado de Lorenzo Valla sobre la Donación de Constantino), 1922)</w:t>
      </w:r>
      <w:r>
        <w:t>. Y un documento auténtico, el Dictatus Papae de 1075, reclamó para el papa «que le es lícito deponer a los emperadores»</w:t>
      </w:r>
      <w:r>
        <w:t xml:space="preserve"> [original: «Quod illi liceat imperatores deponere»]</w:t>
      </w:r>
      <w:r>
        <w:t xml:space="preserve"> (Dictatus Papae, XII, ed. Caspar, 1920)</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t xml:space="preserve"> [original: «to be iudged onely by God, whom to onely hee must giue count»]</w:t>
      </w:r>
      <w:r>
        <w:t xml:space="preserve"> (Jacobo VI, The True Law of Free Monarchies (La verdadera ley de las monarquías libres), 1598, ed. McIlwain, 1918)</w:t>
      </w:r>
      <w:r>
        <w:t>.</w:t>
      </w:r>
    </w:p>
    <w:p>
      <w:pPr>
        <w:pStyle w:val="ListBullet"/>
      </w:pPr>
      <w:r>
        <w:rPr>
          <w:b/>
        </w:rPr>
        <w:t>El Estado moderno.</w:t>
      </w:r>
      <w:r>
        <w:t xml:space="preserve"> Su teórico fundacional lo llamó «Dios mortal» (</w:t>
      </w:r>
      <w:r>
        <w:t>6.1</w:t>
      </w:r>
      <w:r>
        <w:t>).</w:t>
      </w:r>
    </w:p>
    <w:p>
      <w:r>
        <w:t>[00.00-5.2 a 5.7; leídos en su original: Breasted, Res Gestae y Suetonio (latín), el rescripto japonés, Coleman, Caspar y McIlwain]</w:t>
      </w:r>
    </w:p>
    <w:p>
      <w:r>
        <w:rPr>
          <w:b/>
        </w:rPr>
        <w:t>El freno, dentro de las mismas tradiciones.</w:t>
      </w:r>
    </w:p>
    <w:p>
      <w:pPr>
        <w:pStyle w:val="ListBullet"/>
      </w:pPr>
      <w:r>
        <w:t>«Di: "Yo soy sólo un mortal como vosotros, a quien se ha revelado…"»</w:t>
      </w:r>
      <w:r>
        <w:t xml:space="preserve"> (Corán 18:110, traducción de Julio Cortés)</w:t>
      </w:r>
      <w:r>
        <w:t>.</w:t>
      </w:r>
    </w:p>
    <w:p>
      <w:pPr>
        <w:pStyle w:val="ListBullet"/>
      </w:pPr>
      <w:r>
        <w:t>«Mi reino no es de este mundo»</w:t>
      </w:r>
      <w:r>
        <w:t xml:space="preserve"> (Jn 18:36)</w:t>
      </w:r>
      <w:r>
        <w:t>.</w:t>
      </w:r>
    </w:p>
    <w:p>
      <w:pPr>
        <w:pStyle w:val="ListBullet"/>
      </w:pPr>
      <w:r>
        <w:t>Y el príncipe Siddhattha, el futuro Buda, dejó el palacio la noche que el texto llama «la Gran Renuncia»</w:t>
      </w:r>
      <w:r>
        <w:t xml:space="preserve"> [original: «the Great Renunciation»]</w:t>
      </w:r>
      <w:r>
        <w:t xml:space="preserve"> (Nidānakathā, traducción de T. W. Rhys Davids, 1880)</w:t>
      </w:r>
      <w:r>
        <w:t>.</w:t>
      </w:r>
    </w:p>
    <w:p>
      <w:r>
        <w:t>[00.00-5.8]</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t xml:space="preserve"> [original: «Παρὰ Ῥουστίκου τὸ λαβεῖν φαντασίαν τοῦ χρῄζειν διορθώσεως καὶ θεραπείας τοῦ ἤθους»]</w:t>
      </w:r>
      <w:r>
        <w:t xml:space="preserve"> (Marco Aurelio, Meditaciones I, 7)</w:t>
      </w:r>
      <w:r>
        <w:t>.</w:t>
      </w:r>
    </w:p>
    <w:p>
      <w:pPr>
        <w:pStyle w:val="ListBullet"/>
      </w:pPr>
      <w:r>
        <w:rPr>
          <w:b/>
        </w:rPr>
        <w:t>Ciro</w:t>
      </w:r>
      <w:r>
        <w:t>, en su cilindro: «mis numerosas tropas marchaban en paz por Babilonia, y todo [Sumer] y Acad no tuvo nada que temer»</w:t>
      </w:r>
      <w:r>
        <w:t xml:space="preserve"> [original: «My vast troops were marching peaceably in Babylon, and the whole of [Sumer] and Akkad had nothing to fear»]</w:t>
      </w:r>
      <w:r>
        <w:t xml:space="preserve"> (Cilindro de Ciro, traducción de I. Finkel, Museo Británico)</w:t>
      </w:r>
      <w:r>
        <w:t>. Es su propia versión: la de un conquistador.</w:t>
      </w:r>
    </w:p>
    <w:p>
      <w:pPr>
        <w:pStyle w:val="ListBullet"/>
      </w:pPr>
      <w:r>
        <w:rPr>
          <w:b/>
        </w:rPr>
        <w:t>Ashoka</w:t>
      </w:r>
      <w:r>
        <w:t xml:space="preserve"> describió su propia guerra: «cien mil fueron los que murieron allí, y muchas veces más los que perecieron»</w:t>
      </w:r>
      <w:r>
        <w:t xml:space="preserve"> [original: «one hundred thousand in number were those who were slain there, (and) many times as many those who died»]</w:t>
      </w:r>
      <w:r>
        <w:t>. Después, dice, vino «un estudio celoso de la moral»</w:t>
      </w:r>
      <w:r>
        <w:t xml:space="preserve"> [original: «a zealous study of morality»]</w:t>
      </w:r>
      <w:r>
        <w:t xml:space="preserve"> (Ashoka, edicto de roca XIII, traducción de E. Hultzsch, 1925)</w:t>
      </w:r>
      <w:r>
        <w:t>.</w:t>
      </w:r>
    </w:p>
    <w:p>
      <w:pPr>
        <w:pStyle w:val="ListBullet"/>
      </w:pPr>
      <w:r>
        <w:rPr>
          <w:b/>
        </w:rPr>
        <w:t>El Dalai Lama</w:t>
      </w:r>
      <w:r>
        <w:t>, en 2011, puso fin a la doble autoridad, espiritual y política, de su institución, «por propia iniciativa»</w:t>
      </w:r>
      <w:r>
        <w:t xml:space="preserve"> [original: «on own initiative»]</w:t>
      </w:r>
      <w:r>
        <w:t xml:space="preserve"> (palabras del 19 de marzo de 2011)</w:t>
      </w:r>
      <w:r>
        <w:t>. Su biografía oficial dice que «se describe a sí mismo como un simple monje budista»</w:t>
      </w:r>
      <w:r>
        <w:t xml:space="preserve"> [original: «describes himself as a simple Buddhist monk»]</w:t>
      </w:r>
      <w:r>
        <w:t xml:space="preserve"> (dalailama.com, biografía breve)</w:t>
      </w:r>
      <w:r>
        <w:t>.</w:t>
      </w:r>
    </w:p>
    <w:p>
      <w:r>
        <w:t>[00.00-5.9; leídos en su original]</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[original: «ὕβρις φυτεύει τύραννον»]</w:t>
      </w:r>
      <w:r>
        <w:t xml:space="preserve"> (Sófocles, Edipo rey, 873)</w:t>
      </w:r>
      <w:r>
        <w:t xml:space="preserve">. Lo que no prueba: siete casos no hacen una ley; son casos con fecha y fuente, con sus límites. </w:t>
      </w:r>
      <w:r>
        <w:t>[00.00-5.10 y 5.12; Sófocles leído en griego (Perseus)]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 </w:t>
      </w:r>
      <w:r>
        <w:t>[00.00-5.11]</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t xml:space="preserve"> (Cordero Quinzacara y Aldunate Lizana, «Evolución histórica del concepto de propiedad», Revista de Estudios Histórico-Jurídicos, XXX, 2008, nota 50; fuente secundaria)</w:t>
      </w:r>
      <w:r>
        <w:t xml:space="preserve">. </w:t>
      </w:r>
      <w:r>
        <w:t>[23.00-0.1, 1.1 y 1.2]</w:t>
      </w:r>
    </w:p>
    <w:p>
      <w:r>
        <w:rPr>
          <w:b/>
        </w:rPr>
        <w:t>Locke: la propiedad nace del trabajo.</w:t>
      </w:r>
      <w:r>
        <w:t xml:space="preserve"> «Todo hombre tiene una propiedad en su propia persona: a ella nadie tiene derecho sino él mismo»</w:t>
      </w:r>
      <w:r>
        <w:t xml:space="preserve"> [original: «every man has a property in his own person: this no body has any right to but himself»]</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t xml:space="preserve"> [original: «at least where there is enough, and as good, left in common for others»]</w:t>
      </w:r>
      <w:r>
        <w:t xml:space="preserve"> (Locke, Segundo tratado, § 27)</w:t>
      </w:r>
      <w:r>
        <w:t xml:space="preserve">. Esa condición se conoce como «cláusula lockeana». Si la propiedad existe antes del gobierno, y por una razón propia, el gobierno no la crea: la protege, o la viola. </w:t>
      </w:r>
      <w:r>
        <w:t>[10.00-9.2 a 9.5]</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t xml:space="preserve"> [original: «the enjoyment of life and liberty, with the means of acquiring and possessing property»]</w:t>
      </w:r>
      <w:r>
        <w:t xml:space="preserve"> (Declaración de Derechos de Virginia, art. I)</w:t>
      </w:r>
      <w:r>
        <w:t>.</w:t>
      </w:r>
    </w:p>
    <w:p>
      <w:pPr>
        <w:pStyle w:val="ListBullet"/>
      </w:pPr>
      <w:r>
        <w:rPr>
          <w:b/>
        </w:rPr>
        <w:t>El borrador de Jefferson.</w:t>
      </w:r>
      <w:r>
        <w:t xml:space="preserve"> «La preservación de la vida, y la libertad, y la búsqueda de la felicidad»</w:t>
      </w:r>
      <w:r>
        <w:t xml:space="preserve"> [original: «the preservation of life, &amp; liberty, &amp; the pursuit of happiness»]</w:t>
      </w:r>
      <w:r>
        <w:t xml:space="preserve"> (borrador de la Declaración de Independencia, 1776, Biblioteca del Congreso)</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t xml:space="preserve"> [original: «La propriété étant un droit inviolable et sacré, nul ne peut en être privé, si ce n'est lorsque la nécessité publique, légalement constatée, l'exige évidemment, et sous la condition d'une juste et préalable indemnité»]</w:t>
      </w:r>
      <w:r>
        <w:t xml:space="preserve"> (Declaración de 1789, art. 17)</w:t>
      </w:r>
      <w:r>
        <w:t>.</w:t>
      </w:r>
    </w:p>
    <w:p>
      <w:r>
        <w:t>[10.00-9.4 y 9.5]</w:t>
      </w:r>
    </w:p>
    <w:p>
      <w:r>
        <w:rPr>
          <w:b/>
        </w:rPr>
        <w:t>Bodino: el límite del poder absoluto.</w:t>
      </w:r>
      <w:r>
        <w:t xml:space="preserve"> El mismo autor que definió la soberanía moderna como «el poder absoluto y perpetuo de una república»</w:t>
      </w:r>
      <w:r>
        <w:t xml:space="preserve"> [original: «la puissance absoluë &amp; perpetuelle d'une Republique»]</w:t>
      </w:r>
      <w:r>
        <w:t xml:space="preserve"> (Bodino, Los seis libros de la república I, «De la soberanía», 1576)</w:t>
      </w:r>
      <w:r>
        <w:t xml:space="preserve"> escribió en ese mismo capítulo: «si el príncipe soberano no tiene poder para traspasar los límites de las leyes de la naturaleza, que Dios, de quien es imagen, ha puesto, tampoco podrá tomar el bien ajeno sin causa justa y razonable»</w:t>
      </w:r>
      <w:r>
        <w:t xml:space="preserve"> [original: «Si donc le Prince souuerain n'a pas puissance de franchir les bornes des loix de nature, que Dieu, duquel il est l'image, a posees, il ne pourra aussi prendre le bien d'autruy, sans cause qui soit iuste &amp; raisonnable»]</w:t>
      </w:r>
      <w:r>
        <w:t xml:space="preserve"> (edición de 1577)</w:t>
      </w:r>
      <w:r>
        <w:t>. Para su propio teórico, el poder más absoluto tenía encima la ley natural, y con ella, el bien ajeno: es el orden de las leyes (</w:t>
      </w:r>
      <w:r>
        <w:t>1.1</w:t>
      </w:r>
      <w:r>
        <w:t xml:space="preserve">). </w:t>
      </w:r>
      <w:r>
        <w:t>[23.00-2.1 y 2.2; Bodino leído en francés, ediciones de 1576 y 1577]</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t xml:space="preserve"> (Decreto de las Cortes de Cádiz de 6 de agosto de 1811, art. 1, Gazeta de la Regencia de 12-9-1811)</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t xml:space="preserve"> (art. 5)</w:t>
      </w:r>
      <w:r>
        <w:t>.</w:t>
      </w:r>
    </w:p>
    <w:p>
      <w:pPr>
        <w:pStyle w:val="ListBullet"/>
      </w:pPr>
      <w:r>
        <w:rPr>
          <w:b/>
        </w:rPr>
        <w:t>El juez, a nadie en particular.</w:t>
      </w:r>
      <w:r>
        <w:t xml:space="preserve"> «En adelante nadie podrá llamarse señor de vasallos, exercer jurisdiccion, nombrar jueces…»</w:t>
      </w:r>
      <w:r>
        <w:t xml:space="preserve"> (art. 14)</w:t>
      </w:r>
      <w:r>
        <w:t>. La abolición del vasallaje (art. 4) ya se vio en 2.2.</w:t>
      </w:r>
    </w:p>
    <w:p>
      <w:pPr>
        <w:pStyle w:val="ListBullet"/>
      </w:pPr>
      <w:r>
        <w:rPr>
          <w:b/>
        </w:rPr>
        <w:t>Quién pagó.</w:t>
      </w:r>
      <w:r>
        <w:t xml:space="preserve"> A quienes tenían esos privilegios por título oneroso, la nación les reintegraba el capital, con un 3 % de interés hasta su redención</w:t>
      </w:r>
      <w:r>
        <w:t xml:space="preserve"> (arts. 8 y 11)</w:t>
      </w:r>
      <w:r>
        <w:t xml:space="preserve">. </w:t>
      </w:r>
      <w:r>
        <w:t>[nuevo, aprobado por Kiko el 5-oct]</w:t>
      </w:r>
    </w:p>
    <w:p>
      <w:pPr>
        <w:pStyle w:val="ListBullet"/>
      </w:pPr>
      <w:r>
        <w:rPr>
          <w:b/>
        </w:rPr>
        <w:t>No fue de una vez.</w:t>
      </w:r>
      <w:r>
        <w:t xml:space="preserve"> El régimen señorial se abolió poco a poco: el Diccionario panhispánico del español jurídico enumera los decretos de 1808, 1811, 1820, 1823 y 1837</w:t>
      </w:r>
      <w:r>
        <w:t xml:space="preserve"> (DPEJ, s. v. «señorío»)</w:t>
      </w:r>
      <w:r>
        <w:t>.</w:t>
      </w:r>
    </w:p>
    <w:p>
      <w:r>
        <w:t>[23.00-3.1 y 3.2; el decreto, leído en la Gazeta de la Regencia]</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t xml:space="preserve"> (DPEJ, s. v. «legitimidad» y «deslegitimación»)</w:t>
      </w:r>
      <w:r>
        <w:t>. Weber distinguió «tres tipos puros de dominación legítima»</w:t>
      </w:r>
      <w:r>
        <w:t xml:space="preserve"> [original: «drei reine Typen legitimer Herrschaft»]</w:t>
      </w:r>
      <w:r>
        <w:t>: la legal, la tradicional y la carismática. Y observó que ninguna dominación se conforma con motivos materiales o afectivos para durar: «cada una procura más bien despertar y cultivar la creencia en su "legitimidad"»</w:t>
      </w:r>
      <w:r>
        <w:t xml:space="preserve"> [original: «Jede sucht vielmehr den Glauben an ihre „Legitimität" zu erwecken und zu pflegen»]</w:t>
      </w:r>
      <w:r>
        <w:t xml:space="preserve"> (Weber, Economía y sociedad, 1922, cap. III, §§ 1 y 2)</w:t>
      </w:r>
      <w:r>
        <w:t xml:space="preserve">. La frase que circula, «es la creencia la que constituye la legitimidad», no está así en su texto. </w:t>
      </w:r>
      <w:r>
        <w:t>[23.00-4.1 y 4.2; Weber leído en alemán]</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 </w:t>
      </w:r>
      <w:r>
        <w:t>[23.00-5.1]</w:t>
      </w:r>
    </w:p>
    <w:p>
      <w:r>
        <w:rPr>
          <w:b/>
        </w:rPr>
        <w:t>Lectura del autor:</w:t>
      </w:r>
      <w:r>
        <w:t xml:space="preserve"> si el poder procura que se crea en él, lo que se sostiene solo en la creencia se disuelve cuando se pide la prueba (</w:t>
      </w:r>
      <w:r>
        <w:t>5.5</w:t>
      </w:r>
      <w:r>
        <w:t xml:space="preserve">). </w:t>
      </w:r>
      <w:r>
        <w:t>[23.00-5.1]</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t xml:space="preserve"> [original: «إلّا أنّ الدّولة في الغالب لا تعدو أعمار ثلاثة أجيال»]</w:t>
      </w:r>
      <w:r>
        <w:t xml:space="preserve"> (Ibn Jaldún, Muqaddima, libro I, cap. 2, secciones 17 y 18, y cap. 3, sección 14)</w:t>
      </w:r>
      <w:r>
        <w:t>.</w:t>
      </w:r>
    </w:p>
    <w:p>
      <w:pPr>
        <w:pStyle w:val="ListBullet"/>
      </w:pPr>
      <w:r>
        <w:rPr>
          <w:b/>
        </w:rPr>
        <w:t>Oppenheimer</w:t>
      </w:r>
      <w:r>
        <w:t xml:space="preserve"> (1907). Llamó «medio económico» al trabajo propio y al intercambio de lo equivalente, y «medio político» a «la apropiación no retribuida del trabajo ajeno»</w:t>
      </w:r>
      <w:r>
        <w:t xml:space="preserve"> [original: «die unentgoltene Aneignung fremder Arbeit das „politische Mittel"»]</w:t>
      </w:r>
      <w:r>
        <w:t>. Y escribió que el Estado, en su origen, es una institución «impuesta por un grupo humano vencedor a un grupo humano vencido»</w:t>
      </w:r>
      <w:r>
        <w:t xml:space="preserve"> [original: «von einer siegreichen Menschengruppe einer besiegten Menschengruppe aufgezwungen»]</w:t>
      </w:r>
      <w:r>
        <w:t xml:space="preserve"> (Franz Oppenheimer, Der Staat (El Estado), 1907)</w:t>
      </w:r>
      <w:r>
        <w:t>.</w:t>
      </w:r>
    </w:p>
    <w:p>
      <w:pPr>
        <w:pStyle w:val="ListBullet"/>
      </w:pPr>
      <w:r>
        <w:rPr>
          <w:b/>
        </w:rPr>
        <w:t>Michels</w:t>
      </w:r>
      <w:r>
        <w:t xml:space="preserve"> (1911). Estudiando los partidos socialistas, escribió: «quien dice organización dice, de todos modos, tendencia a la oligarquía»</w:t>
      </w:r>
      <w:r>
        <w:t xml:space="preserve"> [original: «Wer Organisation sagt, sagt ohnehin Tendenz zur Oligarchie»]</w:t>
      </w:r>
      <w:r>
        <w:t>. Es lo que llamó «la ley de hierro de la oligarquía»</w:t>
      </w:r>
      <w:r>
        <w:t xml:space="preserve"> [original: «das eherne Gesetz der Oligarchie»]</w:t>
      </w:r>
      <w:r>
        <w:t xml:space="preserve"> (Robert Michels, Zur Soziologie des Parteiwesens (Sociología del partido político), 1911)</w:t>
      </w:r>
      <w:r>
        <w:t>.</w:t>
      </w:r>
    </w:p>
    <w:p>
      <w:pPr>
        <w:pStyle w:val="ListBullet"/>
      </w:pPr>
      <w:r>
        <w:rPr>
          <w:b/>
        </w:rPr>
        <w:t>Pareto y Mosca.</w:t>
      </w:r>
      <w:r>
        <w:t xml:space="preserve"> Pareto habló de la «circulación de las clases selectas»</w:t>
      </w:r>
      <w:r>
        <w:t xml:space="preserve"> [original: «circolazione delle classi scelte»]</w:t>
      </w:r>
      <w:r>
        <w:t xml:space="preserve"> (Vilfredo Pareto, Trattato di sociologia generale (Tratado de sociología general), 1916)</w:t>
      </w:r>
      <w:r>
        <w:t>; Mosca, del predominio de «las minorías organizadas sobre las mayorías»</w:t>
      </w:r>
      <w:r>
        <w:t xml:space="preserve"> [original: «Prevalenza delle minoranze organizzate sulle maggioranze»]</w:t>
      </w:r>
      <w:r>
        <w:t xml:space="preserve"> (Gaetano Mosca, Elementi di scienza politica (Elementos de ciencia política), 2.ª ed., 1923, cap. II)</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t>[13.00-1.1 a 1.7; leídos en árabe, alemán e italiano]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xml:space="preserve"> [original: «Limited access orders provide order by using the political system to limit economic entry to create rents»]</w:t>
      </w:r>
      <w:r>
        <w:t>; los de acceso abierto se sostienen con la competencia política y económica, y en los últimos trescientos años se han desarrollado en «unas dos docenas de países»</w:t>
      </w:r>
      <w:r>
        <w:t xml:space="preserve"> [original: «about two dozen countries»]</w:t>
      </w:r>
      <w:r>
        <w:t xml:space="preserve"> (North, Wallis y Weingast, A Conceptual Framework for Interpreting Recorded Human History (Un marco conceptual para interpretar la historia humana registrada), documento de trabajo NBER 12795, 2006)</w:t>
      </w:r>
      <w:r>
        <w:t>. Un estudio de 2023 lo midió: «treinta y cinco países de 161 fueron calificados en 2020 como órdenes de acceso abierto»</w:t>
      </w:r>
      <w:r>
        <w:t xml:space="preserve"> [original: «Thirty-five countries out of 161 in 2020 were assessed to be open access orders»]</w:t>
      </w:r>
      <w:r>
        <w:t>, con Suiza en cabeza</w:t>
      </w:r>
      <w:r>
        <w:t xml:space="preserve"> (Murphy, «Measuring open access orders» (Medir los órdenes de acceso abierto), Journal of Institutional Economics, 2023, resumen)</w:t>
      </w:r>
      <w:r>
        <w:t xml:space="preserve">. </w:t>
      </w:r>
      <w:r>
        <w:t>[13.00-2.1, 2.2 y 2.4]</w:t>
      </w:r>
    </w:p>
    <w:p>
      <w:r>
        <w:t xml:space="preserve">El patrón de extracción es real y lo describen pensadores de épocas y lugares distintos. Pero no es universal ni inevitable: la pregunta útil no es si todo es igual, sino en qué punto de la escala está cada país, y con qué datos se comprueba. </w:t>
      </w:r>
      <w:r>
        <w:t>[13.00-0.1 a 0.3 y 3.1 a 3.3]</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t xml:space="preserve"> (Constitución, art. 122.3)</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t xml:space="preserve"> (Ley Orgánica del Poder Judicial, art. 567.1)</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t xml:space="preserve"> (STC 108/1986, FJ 13)</w:t>
      </w:r>
      <w:r>
        <w:t>.</w:t>
      </w:r>
    </w:p>
    <w:p>
      <w:pPr>
        <w:pStyle w:val="ListBullet"/>
      </w:pPr>
      <w:r>
        <w:rPr>
          <w:b/>
        </w:rPr>
        <w:t>Catorce años después.</w:t>
      </w:r>
      <w:r>
        <w:t xml:space="preserve"> Un voto particular de dos magistrados del propio Tribunal la llamó «el primer embate, y muy fuerte, a ese modelo»</w:t>
      </w:r>
      <w:r>
        <w:t xml:space="preserve"> (STC 105/2000, voto particular)</w:t>
      </w:r>
      <w:r>
        <w:t>.</w:t>
      </w:r>
    </w:p>
    <w:p>
      <w:r>
        <w:t>[13.00-4.1 a 4.4]</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t xml:space="preserve"> (Ley Orgánica 8/2007, art. 3)</w:t>
      </w:r>
      <w:r>
        <w:t>. Las donaciones privadas no pueden superar 50.000 euros al año por persona, ni venir de personas jurídicas</w:t>
      </w:r>
      <w:r>
        <w:t xml:space="preserve"> (art. 5)</w:t>
      </w:r>
      <w:r>
        <w:t>.</w:t>
      </w:r>
    </w:p>
    <w:p>
      <w:pPr>
        <w:pStyle w:val="ListBullet"/>
      </w:pPr>
      <w:r>
        <w:rPr>
          <w:b/>
        </w:rPr>
        <w:t>Quién controla.</w:t>
      </w:r>
      <w:r>
        <w:t xml:space="preserve"> El Tribunal de Cuentas puede sancionar a un partido</w:t>
      </w:r>
      <w:r>
        <w:t xml:space="preserve"> (art. 17)</w:t>
      </w:r>
      <w:r>
        <w:t>, con la redacción de las Leyes Orgánicas 5/2012 y 3/2015. Pero si el partido recurre ante el Supremo, «la interposición del recurso suspenderá automáticamente la ejecución»</w:t>
      </w:r>
      <w:r>
        <w:t xml:space="preserve"> (art. 18)</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t xml:space="preserve"> (Tribunal de Cuentas, fiscalización de los partidos políticos, ejercicio 2017, BOE de 2-7-2024)</w:t>
      </w:r>
      <w:r>
        <w:t>. Es la media de los porcentajes de cada formación, no el reparto del dinero total.</w:t>
      </w:r>
    </w:p>
    <w:p>
      <w:pPr>
        <w:pStyle w:val="ListBullet"/>
      </w:pPr>
      <w:r>
        <w:rPr>
          <w:b/>
        </w:rPr>
        <w:t>Los plazos.</w:t>
      </w:r>
      <w:r>
        <w:t xml:space="preserve"> La ley da al Tribunal seis meses desde que recibe las cuentas</w:t>
      </w:r>
      <w:r>
        <w:t xml:space="preserve"> (art. 16)</w:t>
      </w:r>
      <w:r>
        <w:t>. El informe de 2017 se aprobó el 24 de febrero de 2022, la Comisión Mixta lo resolvió el 11 de abril de 2024 y el BOE lo publicó el 2 de julio de 2024. El informe no explica el retraso, y aquí no se atribuye a nadie.</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t xml:space="preserve"> (Tribunal de Cuentas, listados de procedimientos sancionadores de contabilidad electoral, elecciones locales de 2015 (noviembre de 2022) y de 2019 (diciembre de 2022); recuento de la obra)</w:t>
      </w:r>
      <w:r>
        <w:t>.</w:t>
      </w:r>
    </w:p>
    <w:p>
      <w:r>
        <w:t>[13.00-5.1 a 5.7]</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t xml:space="preserve"> (Ley Orgánica 2/1982, art. 30.1)</w:t>
      </w:r>
      <w:r>
        <w:t>. Es el mismo mecanismo que el del Consejo General del Poder Judicial: no son tres diseños distintos, sino uno, repetido. A su favor: si el nombramiento recae en un diputado o senador, «antes de tomar posesión, habrá de renunciar a su escaño»</w:t>
      </w:r>
      <w:r>
        <w:t xml:space="preserve"> (art. 33.2)</w:t>
      </w:r>
      <w:r>
        <w:t xml:space="preserve">. </w:t>
      </w:r>
      <w:r>
        <w:t>[13.00-6.1 a 6.4]</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t xml:space="preserve"> (Ley Orgánica del Régimen Electoral General, art. 169.3, en la redacción de la Ley Orgánica 2/2011)</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t xml:space="preserve"> (STC 163/2011)</w:t>
      </w:r>
      <w:r>
        <w:t>. El Tribunal Europeo de Derechos Humanos, que el 0,1 % es «considerablemente más bajo que el máximo del 1%» que indica la Comisión de Venecia</w:t>
      </w:r>
      <w:r>
        <w:t xml:space="preserve"> (Soberanía de la Razón y otros contra España, decisión de 26-5-2015, traducción del Ministerio de Justicia)</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t xml:space="preserve"> (art. 175)</w:t>
      </w:r>
      <w:r>
        <w:t>; los adelantos, solo a quien ya las obtuvo en las últimas elecciones</w:t>
      </w:r>
      <w:r>
        <w:t xml:space="preserve"> (art. 127 bis)</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t xml:space="preserve"> (art. 64)</w:t>
      </w:r>
      <w:r>
        <w:t>.</w:t>
      </w:r>
    </w:p>
    <w:p>
      <w:pPr>
        <w:pStyle w:val="ListBullet"/>
      </w:pPr>
      <w:r>
        <w:rPr>
          <w:b/>
        </w:rPr>
        <w:t>El reparto de escaños.</w:t>
      </w:r>
      <w:r>
        <w:t xml:space="preserve"> No cuentan las candidaturas que no lleguen al «3 por 100 de los votos válidos emitidos en la circunscripción»</w:t>
      </w:r>
      <w:r>
        <w:t xml:space="preserve"> (art. 163.1)</w:t>
      </w:r>
      <w:r>
        <w:t>. El legislador de 1977 declaró su fin: la regla d'Hondt «ya supone un poderoso corrector del excesivo fraccionamiento de las representaciones parlamentarias», y «a esta misma finalidad» responde el umbral</w:t>
      </w:r>
      <w:r>
        <w:t xml:space="preserve"> (Real Decreto-ley 20/1977, preámbulo)</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t xml:space="preserve"> (Consejo de Estado, informe sobre las propuestas de modificación del régimen electoral general, 24-2-2009)</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t>[13.00-7.1 a 7.7]</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t xml:space="preserve"> (Constitución, art. 159.1)</w:t>
      </w:r>
      <w:r>
        <w:t>. Los del Senado, «entre las candidaturas presentadas por las Asambleas Legislativas de las comunidades autónomas»</w:t>
      </w:r>
      <w:r>
        <w:t xml:space="preserve"> (Ley Orgánica 2/1979, del Tribunal Constitucional, art. 16.1)</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t xml:space="preserve"> (STC 5/2004)</w:t>
      </w:r>
      <w:r>
        <w:t>. También cabe cuando un partido «vulnere de forma continuada, reiterada y grave la exigencia de una estructura interna y un funcionamiento democráticos»</w:t>
      </w:r>
      <w:r>
        <w:t xml:space="preserve"> (Ley Orgánica 6/2002, art. 10.2.b)</w:t>
      </w:r>
      <w:r>
        <w:t>. Pero solo pueden pedirlo «el Gobierno y el Ministerio Fiscal»; el Congreso o el Senado pueden instar al Gobierno a pedirlo, y solo por las causas del art. 9</w:t>
      </w:r>
      <w:r>
        <w:t xml:space="preserve"> (art. 11.1)</w:t>
      </w:r>
      <w:r>
        <w:t>. Ni los afiliados ni los ciudadanos. No se ha localizado ninguna sentencia por falta de democracia interna; la búsqueda no prueba que no exista.</w:t>
      </w:r>
    </w:p>
    <w:p>
      <w:r>
        <w:t>[13.00-8.1 a 8.3 y 8.5]</w:t>
      </w:r>
    </w:p>
    <w:p>
      <w:r>
        <w:rPr>
          <w:b/>
        </w:rPr>
        <w:t>6. La iniciativa legislativa popular.</w:t>
      </w:r>
      <w:r>
        <w:t xml:space="preserve"> Hacen falta «al menos, 500.000 electores»</w:t>
      </w:r>
      <w:r>
        <w:t xml:space="preserve"> (Ley Orgánica 3/1984, art. 3.1)</w:t>
      </w:r>
      <w:r>
        <w:t>. Pero están excluidas, entre otras, las materias que «según la Constitución, son propias de Leyes Orgánicas» y «las de naturaleza tributaria»</w:t>
      </w:r>
      <w:r>
        <w:t xml:space="preserve"> (art. 2)</w:t>
      </w:r>
      <w:r>
        <w:t xml:space="preserve">. La ley electoral y la del poder judicial son orgánicas: ningún ciudadano puede proponer por esta vía cambiar cómo se elige a sus representantes ni cómo se elige al Consejo General del Poder Judicial. Tampoco un impuesto. </w:t>
      </w:r>
      <w:r>
        <w:t>[13.00-9.1 a 9.4; la exclusión de lo tributario, nueva, del mismo artículo]</w:t>
      </w:r>
    </w:p>
    <w:p>
      <w:r>
        <w:rPr>
          <w:b/>
        </w:rPr>
        <w:t>7. Lo público tratado como propio, medido de lejos.</w:t>
      </w:r>
    </w:p>
    <w:p>
      <w:pPr>
        <w:pStyle w:val="ListBullet"/>
      </w:pPr>
      <w:r>
        <w:rPr>
          <w:b/>
        </w:rPr>
        <w:t>El concepto.</w:t>
      </w:r>
      <w:r>
        <w:t xml:space="preserve"> Weber llamó patrimonialismo a una de las formas de la dominación tradicional</w:t>
      </w:r>
      <w:r>
        <w:t xml:space="preserve"> (Weber, Economía y sociedad, 1922, cap. III, § 7a)</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t xml:space="preserve"> (Banco Mundial, Worldwide Governance Indicators (Indicadores mundiales de gobernanza), «Control of Corruption», puntuación de 0 a 100, edición de 2026)</w:t>
      </w:r>
      <w:r>
        <w:t>. Transparencia Internacional, 55 sobre 100 en 2025, «un punto menos que en el IPC 2024 y cinco menos que en el IPC 2023», en el puesto 49 de 182</w:t>
      </w:r>
      <w:r>
        <w:t xml:space="preserve"> (Transparencia Internacional España, Índice de Percepción de la Corrupción 2025)</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t xml:space="preserve"> (CGPJ, Boletín de información estadística n.º 56, junio de 2018; Tribunal Europeo de Derechos Humanos, Violations by Article and by State 1959-2017 (Violaciones por artículo y por Estado) y Analysis of Statistics 2017 (Análisis de las estadísticas de 2017))</w:t>
      </w:r>
      <w:r>
        <w:t>.</w:t>
      </w:r>
    </w:p>
    <w:p>
      <w:r>
        <w:t>[13.00-10.3, 10.5 y 11.1 a 11.7]</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 </w:t>
      </w:r>
      <w:r>
        <w:t>[13.00-10.1, 10.2, 10.4, 12.1 y 12.2]</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 </w:t>
      </w:r>
      <w:r>
        <w:t>[13.00-12.1 y 12.2; 13.00-13.7]</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t xml:space="preserve"> [original: «Pour qu'on ne puisse abuser du pouvoir, il faut que, par la disposition des choses, le pouvoir arrête le pouvoir»]</w:t>
      </w:r>
      <w:r>
        <w:t xml:space="preserve"> (Montesquieu, Del espíritu de las leyes XI, 4, ed. de Nourse)</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xml:space="preserve"> [original: «Il y a, dans chaque état, trois sortes de pouvoirs ; la puissance législative, la puissance exécutrice des choses qui dépendent du droit des gens, &amp; la puissance exécutrice de celles qui dépendent du droit civil»]</w:t>
      </w:r>
      <w:r>
        <w:t>. A este último lo llamará, enseguida, «el poder de juzgar»</w:t>
      </w:r>
      <w:r>
        <w:t xml:space="preserve"> [original: «la puissance de juger»]</w:t>
      </w:r>
      <w:r>
        <w:t xml:space="preserve"> (XI, 6)</w:t>
      </w:r>
      <w:r>
        <w:t>.</w:t>
      </w:r>
    </w:p>
    <w:p>
      <w:pPr>
        <w:pStyle w:val="ListBullet"/>
      </w:pPr>
      <w:r>
        <w:rPr>
          <w:b/>
        </w:rPr>
        <w:t>Por qué separados.</w:t>
      </w:r>
      <w:r>
        <w:t xml:space="preserve"> Si el legislativo y el ejecutivo se reúnen en la misma persona o en el mismo cuerpo, «no hay libertad»</w:t>
      </w:r>
      <w:r>
        <w:t xml:space="preserve"> [original: «il n'y a point de liberté»]</w:t>
      </w:r>
      <w:r>
        <w:t>; si el de juzgar se une al legislativo, «el poder sobre la vida y la libertad de los ciudadanos sería arbitrario, porque el juez sería legislador»</w:t>
      </w:r>
      <w:r>
        <w:t xml:space="preserve"> [original: «le pouvoir sur la vie &amp; la liberté des citoyens seroit arbitraire ; car le juge seroit législateur»]</w:t>
      </w:r>
      <w:r>
        <w:t>; si se une al ejecutivo, «el juez podría tener la fuerza de un opresor»</w:t>
      </w:r>
      <w:r>
        <w:t xml:space="preserve"> [original: «le juge pourroit avoir la force d'un oppresseur»]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t xml:space="preserve"> [original: «Tout seroit perdu, si le même homme, ou le même corps des principaux, ou des nobles, ou du peuple, exerçoient ces trois pouvoirs ; celui de faire des loix, celui d'exécuter les résolutions publiques, &amp; celui de juger les crimes ou les différends des particuliers»]</w:t>
      </w:r>
      <w:r>
        <w:t xml:space="preserve"> (XI, 6)</w:t>
      </w:r>
      <w:r>
        <w:t>.</w:t>
      </w:r>
    </w:p>
    <w:p>
      <w:pPr>
        <w:pStyle w:val="ListBullet"/>
      </w:pPr>
      <w:r>
        <w:rPr>
          <w:b/>
        </w:rPr>
        <w:t>Qué es la libertad política.</w:t>
      </w:r>
      <w:r>
        <w:t xml:space="preserve"> No la ausencia de poder: «la libertad es el derecho de hacer todo lo que las leyes permiten»</w:t>
      </w:r>
      <w:r>
        <w:t xml:space="preserve"> [original: «La liberté est le droit de faire tout ce que les loix permettent»]</w:t>
      </w:r>
      <w:r>
        <w:t xml:space="preserve"> (XI, 3)</w:t>
      </w:r>
      <w:r>
        <w:t>.</w:t>
      </w:r>
    </w:p>
    <w:p>
      <w:r>
        <w:t>[10.00-15.1 a 15.4 y 15.6; Montesquieu leído en francés]</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t xml:space="preserve"> [original: «The oracle who is always consulted and cited on this subject is the celebrated Montesquieu»]</w:t>
      </w:r>
      <w:r>
        <w:t xml:space="preserve"> (El Federalista, n.º 47, 1788)</w:t>
      </w:r>
      <w:r>
        <w:t>. Y la Declaración francesa de 1789 hizo de la separación de poderes una condición para que haya Constitución (</w:t>
      </w:r>
      <w:r>
        <w:t>6.1</w:t>
      </w:r>
      <w:r>
        <w:t xml:space="preserve">). Cuántas veces ha frenado de verdad en España, en los artículos auditados, se mide en </w:t>
      </w:r>
      <w:r>
        <w:t>7.4</w:t>
      </w:r>
      <w:r>
        <w:t xml:space="preserve">. </w:t>
      </w:r>
      <w:r>
        <w:t>[10.00-15.5; 10.00-16.1 a 16.6, cuyas cifras van a 7.4]</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t>[10.00-5.1 a 5.6; Constitución leída en el BOE]</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xml:space="preserve"> [original: «AS usurpation is the exercise of power, which another hath a right to; so tyranny is the exercise of power beyond right, which no body can have a right to»]</w:t>
      </w:r>
      <w:r>
        <w:t>: usar el poder no para el bien de los gobernados, sino «para su propia ventaja privada y separada»</w:t>
      </w:r>
      <w:r>
        <w:t xml:space="preserve"> [original: «for his own private separate advantage»]</w:t>
      </w:r>
      <w:r>
        <w:t xml:space="preserve"> (Locke, Segundo tratado, § 199)</w:t>
      </w:r>
      <w:r>
        <w:t>.</w:t>
      </w:r>
    </w:p>
    <w:p>
      <w:pPr>
        <w:pStyle w:val="ListBullet"/>
      </w:pPr>
      <w:r>
        <w:rPr>
          <w:b/>
        </w:rPr>
        <w:t>No es vicio solo de reyes.</w:t>
      </w:r>
      <w:r>
        <w:t xml:space="preserve"> «Es un error pensar que esta falta es propia solo de las monarquías; otras formas de gobierno están expuestas a ella igual que esa»</w:t>
      </w:r>
      <w:r>
        <w:t xml:space="preserve"> [original: «a mistake, to think this fault is proper only to monarchies; other forms of government are liable to it, as well as that»]</w:t>
      </w:r>
      <w:r>
        <w:t xml:space="preserve"> (§ 201)</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t xml:space="preserve"> [original: «distinguish between the dissolution of the society and the dissolution of the government»]</w:t>
      </w:r>
      <w:r>
        <w:t xml:space="preserve"> (§ 211)</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t xml:space="preserve"> [original: «whenever the legislators endeavour to take away, and destroy the property of the people, or to reduce them to slavery under arbitrary power, they put themselves into a state of war with the people, who are thereupon absolved from any farther obedience»]</w:t>
      </w:r>
      <w:r>
        <w:t xml:space="preserve"> (§ 222)</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t xml:space="preserve"> [original: «do rebellare, that is, bring back again the state of war, and are properly rebels»]</w:t>
      </w:r>
      <w:r>
        <w:t xml:space="preserve"> (§ 226)</w:t>
      </w:r>
      <w:r>
        <w:t>.</w:t>
      </w:r>
    </w:p>
    <w:p>
      <w:pPr>
        <w:pStyle w:val="ListBullet"/>
      </w:pPr>
      <w:r>
        <w:rPr>
          <w:b/>
        </w:rPr>
        <w:t>Cuando no queda juez en la tierra.</w:t>
      </w:r>
      <w:r>
        <w:t xml:space="preserve"> «La apelación no está entonces en ninguna parte sino en el cielo»</w:t>
      </w:r>
      <w:r>
        <w:t xml:space="preserve"> [original: «the appeal then lies no where but to heaven»]</w:t>
      </w:r>
      <w:r>
        <w:t xml:space="preserve"> (§ 242)</w:t>
      </w:r>
      <w:r>
        <w:t>. Lo escribe casi al cerrar su tratado; el último párrafo (§ 243) recuerda que el poder que cada uno dio a la sociedad no vuelve a los individuos mientras la sociedad dure.</w:t>
      </w:r>
    </w:p>
    <w:p>
      <w:r>
        <w:t>[10.00-14.1 a 14.6; Locke leído en inglés]</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 xml:space="preserve">). </w:t>
      </w:r>
      <w:r>
        <w:t>[10.00-7.1]</w:t>
      </w:r>
    </w:p>
    <w:p>
      <w:pPr>
        <w:pStyle w:val="ListBullet"/>
      </w:pPr>
      <w:r>
        <w:rPr>
          <w:b/>
        </w:rPr>
        <w:t>Las declaraciones francesas.</w:t>
      </w:r>
      <w:r>
        <w:t xml:space="preserve"> La de 1789 lo puso entre los derechos naturales: «la libertad, la propiedad, la seguridad y la resistencia a la opresión»</w:t>
      </w:r>
      <w:r>
        <w:t xml:space="preserve"> [original: «la liberté, la propriété, la sûreté, et la résistance à l'oppression»]</w:t>
      </w:r>
      <w:r>
        <w:t xml:space="preserve"> (art. 2)</w:t>
      </w:r>
      <w:r>
        <w:t>. La de 1793: «la resistencia a la opresión es la consecuencia de los demás derechos del hombre»</w:t>
      </w:r>
      <w:r>
        <w:t xml:space="preserve"> [original: «La résistance à l'oppression est la conséquence des autres Droits de l'homme»]</w:t>
      </w:r>
      <w:r>
        <w:t xml:space="preserve"> (Constitución francesa de 24 de junio de 1793, declaración, art. 33)</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t xml:space="preserve"> (Declaración Universal de Derechos Humanos, 1948, preámbulo)</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t xml:space="preserve"> [original: «Gegen jeden, der es unternimmt, diese Ordnung zu beseitigen, haben alle Deutschen das Recht zum Widerstand, wenn andere Abhilfe nicht möglich ist»]</w:t>
      </w:r>
      <w:r>
        <w:t xml:space="preserve"> (Ley Fundamental de la República Federal de Alemania, art. 20.4)</w:t>
      </w:r>
      <w:r>
        <w:t>. La Constitución española no lo recoge.</w:t>
      </w:r>
    </w:p>
    <w:p>
      <w:r>
        <w:t>[10.00-7.2 y 7.4; 10.00-18.x, contrapunto de la defensa]</w:t>
      </w:r>
    </w:p>
    <w:p>
      <w:r>
        <w:rPr>
          <w:b/>
        </w:rPr>
        <w:t>Lo que la obra hace con esto.</w:t>
      </w:r>
      <w:r>
        <w:t xml:space="preserve"> La obra no propone la rebelión ni la desobediencia, y no exime de ninguna obligación vigente (</w:t>
      </w:r>
      <w:r>
        <w:t>0.2</w:t>
      </w:r>
      <w:r>
        <w:t xml:space="preserve">). Su vía está antes de cualquier último recurso: la constancia escrita, la petición documentada y el juicio de opinión (capítulos 10 y 11). Lo que toma de Montesquieu y de Locke es la medida: un gobierno se juzga por si se deja frenar y por si cumple su encargo. </w:t>
      </w:r>
      <w:r>
        <w:t>[10.00-7.1]</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 </w:t>
      </w:r>
      <w:r>
        <w:t>[10.00-14.5 y 15.5]</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xml:space="preserve">. «Por sus frutos los conoceréis» (Mt 7:16). </w:t>
      </w:r>
      <w:r>
        <w:t>[10.00-16.3 y 16.5]</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r>
        <w:t>[10.00-8.4]</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r>
        <w:t>[10.00-12.5]</w:t>
      </w:r>
    </w:p>
    <w:p>
      <w:pPr>
        <w:pStyle w:val="ListBullet"/>
      </w:pPr>
      <w:r>
        <w:rPr>
          <w:b/>
        </w:rPr>
        <w:t>Los casos de autoproclamación son siete</w:t>
      </w:r>
      <w:r>
        <w:t xml:space="preserve">, con fecha y fuente. No prueban que todo poder acabe así, ni que todo el que se sabe aprendiz gobierne bien: Salomón. </w:t>
      </w:r>
      <w:r>
        <w:t>[00.00-5.12]</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r>
        <w:t>[10.00-17.4 y 17.5]</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r>
        <w:t>[13.00-7.5 y 7.6]</w:t>
      </w:r>
    </w:p>
    <w:p>
      <w:pPr>
        <w:pStyle w:val="ListBullet"/>
      </w:pPr>
      <w:r>
        <w:rPr>
          <w:b/>
        </w:rPr>
        <w:t>Los índices miden percepción y gobernanza,</w:t>
      </w:r>
      <w:r>
        <w:t xml:space="preserve"> no patrimonialismo: ningún organismo da un porcentaje de eso. </w:t>
      </w:r>
      <w:r>
        <w:t>[13.00-11.2]</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r>
        <w:t>[10.00-7.3, 12.3 y 12.6; 12.00-2.3 y 3.2; 13.00-2.3, 8.4 y 10.3]</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r>
        <w:t>[clasificación de las defensas, aprobada; 10.00-18.4 y 18.5; 12.00-6.2, 6.3, 6.8 y 6.9; 13.00-13.6 a 13.9; 23.00-6.2 a 6.5]</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r>
        <w:br w:type="page"/>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(a) «De clementia», con mayúscula solo en la primera palabra, en la línea «Leído hoy» y en la marca de 7.5 (07/herramientas/aplicar_cinco_de_forma.py). Ninguna otra palabra cambia. 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8 (borrador B16). Ninguna otra palabra cambia. Cambio del 9-oct-2026 (Kiko: «Sí a todo el B3 y el B4, aplícalos» y «SÍ A TODO, LO PARLAMENTADO EN ESTE CONSENSO»; fila 14 de 04p; borrador B4 de la carpeta 07): en 7.4, una frase al final de la «Lectura del autor» que remite al anexo J: hacia dónde apunta cada cosa, con lo recibido como centro. Cambio del 9-oct-2026 (cierre de los avisos de las patas del Arca, tras el informe del agente de fuentes; Kiko: «sigue con el agente y cierra lo pendiente»): en la ficha de los iroqueses (7.5),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la ficha de los iroqueses (7.5), un aviso corto: la fecha de la Gran Ley de la Paz se discute y su texto escrito es del siglo XIX. Las fechas y los parecidos entre textos son de enciclopedia (fuente secundaria, nivel B); no se ha cambiado ninguna cita ni ningún texto original. ESTADO: APROBADO por Kiko el 5-oct-2026 («SI A TODO»: el capítulo, la reclasificación del art. 21 en el anexo A y las correcciones en la Biblioteca). Su material está marcado en el inventario (04 CAPITULOS/marcas/marcas del capitulo 7.txt).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tres agentes localizaron y descargaron las fuentes (c7a: leyes y sentencias; c7b: informes y datos; c7c: historia y filosofía; unos 190 archivos); Claude leyó cada original y extrajo las citas. Leído hoy en su original: - BOE: Constitución (arts. 3.1, 20.1, 21, 23.1, 25.2, 31.1, 32.1, 39.1, 47, 48, 53.2, 53.3, 54, 55.1, 56.3, 57.1, 69.3, 71.4, 103.1, 122.3, 128.1, 135.3, 138.2, 161.1, 167 y 168; reformas de 1992, 2011, 2024 y 2026); Ley 39/2015 (arts. 39, 53.2.b, 98, 99 y 100); LGT (arts. 26, 28, 31.2, 107, 108 y 144); LEC (art. 517); LECrim (art. 544 ter); Código Penal (arts. 80, 456 y 458); LOPJ (art. 89.9, redacción de la LO 1/2025); LO 4/2015 (arts. 36, 37 y 39); LO 3/1981 (art. 30); LO 3/2020 y LO 8/2013 (lengua vehicular); LO 12/2022 (preámbulo); LO 3/2024 (disposición adicional); Ley 5/2018; Ley 22/2009 (art. 1); RD 297/2022; RD 241/2026; Informe del Tribunal de Cuentas n.º 1.513 (rescate bancario, BOE de 15-7-2025). - Tribunales: SSTC 18/1981, 76/1990, 150/1990, 172/2020, 148/2021, 183/2021, 169/2021, 198/2012, 49/2023, 31/2015, 51/2017, 114/2017, 137/2025 y 164/2025; ATS de 24-4-2025 (querella inadmitida); TEDH, Stern Taulats y Roura Capellera c. España (traducción del Ministerio de Justicia); TEDH, Kafkaris c. Chipre (texto francés); providencia del TS de 18-11-2021; notas del CGPJ sobre el TSJ de Cataluña (2020) y el TSJ de Madrid (ZBE, 2024); asunto C-504/26 (EUR-Lex). - Organismos: GRECO (2009, 2011, 2016 y 2024); Tribunal Constitucional, Memoria 2025; IGAE, indicadores del Estado, diciembre de 2025; Tribunal de Cuentas, Informe n.º 1.670 y Declaración sobre la Cuenta General de 2024 (n.º 1.677); Banco de España, nota de ayudas de 2019; nota de la Fiscalía de 2-3-2022; Consejo de Estado, informe de 16-2-2006; CGPJ (lanzamientos 2025 y 1T 2026; violencia sobre la mujer 2024 y 2T 2025); Fiscalía, Memorias 2017, 2025 y 2026; Consejo de la Juventud, Observatorio de Emancipación; La Moncloa (2024 y 2026); INE, ECV (AROPE); Fondo de Reserva; Congreso (régimen económico); Parliamentary Standards Act 2009 (IPSA); INTOSAI, ISSAI 300 (versión española); Reglamento (UE, Euratom) 2024/2509, art. 33; Revista Española de Control Externo, n.º 53 (2016); Tribunal de Cuentas Europeo, guía de metodología. - Núremberg: Jackson, informe al presidente (6-6-1945) y discurso de apertura (21-11-1945); testimonio de Whitney Harris (2003). - Autores y tradiciones: Aristóteles, Metafísica VII, 3 (griego); Confucio, Analectas XIII, 3 (chino y Legge); Séneca, De clementia I, 12 (latín); 2 Tim 3:5 (griego y Reina-Valera Antigua); Breasted (1912) y Erman (1923), textos del Imperio Medio; Rattray (1929) y Claridge (1915), ashanti; Garcilaso, Comentarios reales II, 14; Regla de la Comunidad (1QS VI, 24-25, hebreo). - Fuente secundaria (se marca en el texto): USHMM (Núremberg); prensa ghanesa (2024-2026); Britannica (esenios); Gómez Garrido (2023, por el título); Idealista News (2025); Scheppele (2013), por el título y la descripción del término en fuentes abiertas. Hallado al escribir (aprobado el 5-oct y corregido en la Biblioteca el 6-oct, libreta 72, punto 141): - 14.00: el Constitucional no «amplió» el matrimonio: avaló la ley que lo amplió (recurso desestimado). - 15.00: «unas 3.000 toneladas» es una cifra de divulgación (USHMM en español); el informe de Jackson habla de más de 100.000 documentos revisados y unos 4.000 usados; la frase de Jackson sobre las futuras generaciones es una paráfrasis (la suya: 6-6-1945); Storey no era «jefe de la fiscalía», sino «executive trial counsel»; IPSA fija los sueldos desde 2011; art. 122.3: «doce entre Jueces y Magistrados», no «a propuesta de»; GRECO 2024: «a matter of critical concern» (no «problema crítico»), y las otras dos frases no son literales; TC: 59 de 9.089 es el 0,65 % (el 0,61 % es sobre 9.656 decisiones); intereses e inversión: 34.918 frente a 8.763 M€ (unos 4 € por cada euro, no 4,5; los 7.684 M€ son «ayuda a la inversión y otras transferencias de capital»); rescate: 71.833 M€ «a 31 de diciembre de 2021», con 50.621 M€ de recursos «ciertamente empleados»; los 40 M€ son lo recuperado por sentencias y costas en 2019-2021, no lo recuperado en total (el Banco de España daba 5.225 M€ en 2019); el «como mucho el 21 %» no está en la nota de 2019; rey emérito: no hay archivo del 5-3-2025 (hubo un auto del Supremo de 24-4-2025 que inadmitió una querella), y la inviolabilidad cubrió hasta el 19-6-2014; la frase atribuida a la Revista Española de la Transparencia no es literal; STC 148/2021: la cita no es literal, y es el art. 55.1, no el 55.2; la STC 183/2021 es del segundo estado de alarma; Tribunal de Cuentas: 106.138,7 y 4.090,3 M€ son de la Declaración sobre la Cuenta General de 2024, no de la Memoria; BOE-A-1992-14245 no es la reforma de 1992 (es BOE-A-1992-20403); la Constitución se ha reformado cuatro veces, no tres (la cuarta, el 19-5-2026, art. 69.3); la STC 164/2025 resuelve una cuestión de inconstitucionalidad; el Observatorio da 30,2 años como edad media de emancipación. - 16.00: LO 4/2015, art. 36.2: sanciona la «perturbación grave» ante las Cámaras, no la protesta pacífica no comunicada (eso es el 37.1, leve, de 100 a 600 €), y la STC 172/2020 lo declaró constitucional (solo anuló el inciso «no autorizado» del 36.23); las SSTS de 23 y 28 de abril son de 2015; «5 de 184 centros» es la prueba de la sentencia, anterior al fallo (6-oct); STC 198/2012: la frase «no es la legalidad ordinaria, sino la propia Constitución la que opta…» es de los recurrentes y termina en «la configuración heterosexual del matrimonio»; el Tribunal dice que es «una opción no excluida por el constituyente» (FJ 9); STC 169/2021: un voto particular de tres magistrados, y la «expectativa o esperanza realista» es formulación del propio Tribunal; STC 51/2017: estimó íntegramente el recurso; GRECO: de las 15 recomendaciones, 6 eran de financiación de partidos (0 de 6 cumplidas en 2011; 5 de 6 en 2016), y la frase omite «fraudulent»; lanzamientos 2025: 24.540, no 25.540; el texto del Consejo de Estado es un informe, no un dictamen. - 17.00 (anexo A): art. 21, la ficha se apoya en la lectura equivocada del art. 36.2; por el propio criterio de la obra (un recurso desestimado cuenta como cumplimiento limpio) pasaría a CUMPLE; art. 32.1, la frase de la STC 198/2012; art. 6, las cifras del GRECO; art. 47, 24.540; defensa del Título X, «tres veces». Aprobado: el art. 21 pasa a CUMPLE. - 19.00: «hilemorfismo» es un término del siglo XIX; el ejemplo de Metafísica V, 2 está en 1013a; «si a un usurpador se le llama rey…» sale de Wikipedia, no de una fuente antigua; ningún texto egipcio dice «colapso de Maat»; Karikari fue depuesto por profanar las tumbas reales (Claridge); Rattray describe el taburete retirado; la frase sobre la «manipulación faccional» no se ha localizado; el tucuyricuy solo «daba cuenta» a los superiores (Garcilaso); Martin y Grube, sin leer; 1QS dice «la pureza de los Muchos», no «baño de purificación»; lo de los sumos sacerdotes asmoneos no está en la Británica; ISSAI 300: la traducción oficial dice «revisión independiente, objetiva y confiable… y sobre si existen áreas de mejora»; el art. 33 del Reglamento financiero dice «óptima relación» y «actividades acometidas», y el Reglamento 2018/1046 está derogado por el 2024/2509; la frase del manual del Tribunal de Cuentas Europeo no se ha localizado; la STC 18/1981 habla de «ciertos matices», no de presunción de inocencia. - 22.00: el apremio está en el art. 100 de la Ley 39/2015; la lista del art. 517 LEC no es cerrada; el art. 169 LGT es el embargo; la «justificación oficial» no está en ninguna ley; el recargo del 5 % es anterior a la providencia, y solo el del 20 % se suma a los intereses; STC 150/1990: «la dificultad», no «importantes dificultades»; el pasaje de las actas es de la STC 76/1990 («opiniones»); UGT: los 58 años son de un ejemplo de hostelería; 65.486 son compraventas de vivienda nueva; los 40.000 M€ de intereses se superaron en 2025. - 28.00: la audiencia del 544 ter, en 72 horas como máximo; la prohibición de mediación está hoy en el art. 89.9 LOPJ; 2T 2025, no acordadas el 32,3 %; Memoria 2017, «sentencias condenatorias», y el 0,0082 % es un promedio (2026: 0,007 %); STS 901/2016 no es un caso de violencia de género; art. 456, la pena de prisión solo si se imputó un delito grave; art. 80, «no superiores a dos años»; Torrejón: el piso del hijo fallecido, alquilado. Hallado al corregir la Biblioteca (6-oct, libreta 72, punto 141): la Memoria de la Fiscalía de 2017 escribe «un 0,18 %», pero 194 de 1.055.912 es el 0,018 % (corregido en 7.7); la nota de prensa del CGPJ da 25.540 lanzamientos en un titular y calcula sobre esa cifra el 26,6 % de Cataluña, pero sus propios datos y la suma por causas dan 24.540; el ejemplo de UGT es el de un trabajador de la hostelería de Madrid (15.675,70 € netos al año, el 40 % del sueldo, una vivienda de 364.860 €); el GRECO de 2024 llama «asunto de preocupación crítica» al bloqueo del CGPJ, no a la politización. Resuelto el 6-oct (Kiko: «SI A TODO»): el «5 de 184 centros» es la prueba de la propia sentencia del TSJ de Cataluña, anterior al fallo; la ejecución está en suspenso desde julio de 2022 (7.3, n.º 3); el art. 3.1 sigue como incumple. Torrejón: entrevista de ABC de 20-8-2025; los hechos, el 13 de agosto. Nuevo, aprobado por Kiko el 5-oct: la cuarta reforma (art. 69.3, 2026); la cita de Jackson de 1945 y su discurso de apertura; el procedimiento de destitución ashanti según Rattray y los casos de 2024-2026; 1QS en hebreo; Neferti y Jajeperreseneb. No entra: los diez casos de deslegitimación por el pueblo (19.00, 13 a 23) y el veredicto de la convergencia (19.00, 11 y 12): van a 9.2, según el índice; Maya (Martin y Grube, sin leer); la sentencia de la AP de Málaga (solo un blog); la frase de Scheppele en sus palabras (de pago); los 42.059 M€ (solo prensa). Remisiones: Núremberg (1.4); el contrato social y Montesquieu (6.1 y 6.5); el amparo, el recargo y el art. 53.3 (5.1, n.º 15, 16 y 19); la amnistía fiscal y la plusvalía (5.1, n.º 9); la Gran Ley de la Paz y Mencio (3.2, P1); Maat (4.2); la costumbre y el desuso (1.7); el Fondo de Reserva (5.1, n.º 2; 8.6); la vivienda (8.7 y 8.8). Conceptos que ancla: el método de Núremberg (7.2); la corrupción de la forma (7.5); el intento frenado (7.4). Corregido el 7-oct-2026 (capítulo 11, parte 6): Mt 11:15 en 7.5, con las palabras de la Reina-Valera Antigua, «para oir» (c9g); decía «para oír», de la de 1960.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xml:space="preserve">), la pregunta se descompone: «¿se cumple este mandato concreto, en los hechos, con fuente?». Y así, artículo por artículo, los 169. </w:t>
      </w:r>
      <w:r>
        <w:t>[14.00-1.1, 2.1 y 3.1]</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t>[14.00-4.1 y 5.2; 18.00-2.4]</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 </w:t>
      </w:r>
      <w:r>
        <w:t>[14.00-4.1; anexo A; cifras con el art. 21 reclasificado (7.3) y los arts. 7, 110 y 111 pasados a pendiente]</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t>[14.00-4.2; anexo A]</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xml:space="preserve">, arts. 124 y 103.3). Ninguno de los 69 incumplimientos equivale a un rey que disuelve el Parlamento. </w:t>
      </w:r>
      <w:r>
        <w:t>[14.00-4.3]</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 xml:space="preserve">. </w:t>
      </w:r>
      <w:r>
        <w:t>[14.00-5.1, 5.2 y 7.1]</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 </w:t>
      </w:r>
      <w:r>
        <w:t>[14.00-4.4]</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t xml:space="preserve"> [original: «Unless we write the record of this movement with clarity and precision, we cannot blame the future if in days of peace it finds incredible the accusatory generalities uttered during the war. We must establish incredible events by credible evidence.»]</w:t>
      </w:r>
      <w:r>
        <w:t xml:space="preserve"> (Jackson, informe al presidente, 6-6-1945, Avalon Project)</w:t>
      </w:r>
      <w:r>
        <w:t>. Y en su discurso de apertura dijo al tribunal: «No les pediremos que condenen a estos hombres por el testimonio de sus enemigos. No hay cargo de la acusación que no pueda probarse con libros y registros»</w:t>
      </w:r>
      <w:r>
        <w:t xml:space="preserve"> [original: «We will not ask you to convict these men on the testimony of their foes. There is no count in the Indictment that cannot be proved by books and records.»]</w:t>
      </w:r>
      <w:r>
        <w:t xml:space="preserve"> (Jackson, discurso de apertura, 21-11-1945, Trial of the Major War Criminals, vol. II)</w:t>
      </w:r>
      <w:r>
        <w:t>. Uno de los fiscales lo contó después: Jackson pensaba llevar el juicio con testigos completados con documentos, y al ver la colección de documentos lo llevó «sobre todo con documentos completados con testigos»</w:t>
      </w:r>
      <w:r>
        <w:t xml:space="preserve"> [original: «primarily through documents supplemented by witnesses»]</w:t>
      </w:r>
      <w:r>
        <w:t xml:space="preserve"> (Whitney Harris, audiencia de la Fiscalía de la Corte Penal Internacional, 2003)</w:t>
      </w:r>
      <w:r>
        <w:t xml:space="preserve">. </w:t>
      </w:r>
      <w:r>
        <w:t>[15.00-1.1; Jackson leído en el Avalon Project; nuevo, aprobado por Kiko el 5-oct]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 xml:space="preserve">. </w:t>
      </w:r>
      <w:r>
        <w:t>[15.00-1.2]</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t xml:space="preserve"> (Constitución, art. 71.4)</w:t>
      </w:r>
      <w:r>
        <w:t>. En 2026, la asignación «idéntica para todos los Diputados» es de 3.366,99 euros al mes, más complementos</w:t>
      </w:r>
      <w:r>
        <w:t xml:space="preserve"> (Congreso de los Diputados, régimen económico)</w:t>
      </w:r>
      <w:r>
        <w:t>. El Reino Unido creó en 2009 un organismo independiente, la IPSA</w:t>
      </w:r>
      <w:r>
        <w:t xml:space="preserve"> (Parliamentary Standards Act 2009, art. 3)</w:t>
      </w:r>
      <w:r>
        <w:t xml:space="preserve">, que fija los sueldos de los diputados desde 2011. </w:t>
      </w:r>
      <w:r>
        <w:t>[15.00-2.1 a 2.3]</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t xml:space="preserve"> (Constitución, art. 122.3)</w:t>
      </w:r>
      <w:r>
        <w:t>; hoy los veinte los eligen las Cortes (</w:t>
      </w:r>
      <w:r>
        <w:t>6.4</w:t>
      </w:r>
      <w:r>
        <w:t>). Su mandato caducó en diciembre de 2018 y no se renovó hasta junio de 2024 (</w:t>
      </w:r>
      <w:r>
        <w:t>anexo A</w:t>
      </w:r>
      <w:r>
        <w:t>, art. 122). El GRECO llamó a ese bloqueo «un asunto de preocupación crítica»</w:t>
      </w:r>
      <w:r>
        <w:t xml:space="preserve"> [original: «a matter of critical concern»]</w:t>
      </w:r>
      <w:r>
        <w:t xml:space="preserve"> (GRECO, Cuarta Ronda, segunda adenda al segundo informe de cumplimiento, 2024)</w:t>
      </w:r>
      <w:r>
        <w:t>. La reforma de 2024 encargó al nuevo Consejo una propuesta de reforma del sistema de elección en seis meses</w:t>
      </w:r>
      <w:r>
        <w:t xml:space="preserve"> (Ley Orgánica 3/2024, disposición adicional única)</w:t>
      </w:r>
      <w:r>
        <w:t xml:space="preserve">. </w:t>
      </w:r>
      <w:r>
        <w:t>[15.00-3.1 a 3.3]</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t xml:space="preserve"> (Tribunal Constitucional, Memoria 2025)</w:t>
      </w:r>
      <w:r>
        <w:t xml:space="preserve">: un filtro que no está en el art. 53.2 de la Constitución. </w:t>
      </w:r>
      <w:r>
        <w:t>[15.00-4.1 a 4.3]</w:t>
      </w:r>
    </w:p>
    <w:p>
      <w:pPr>
        <w:spacing w:after="60"/>
        <w:ind w:left="510" w:hanging="397"/>
      </w:pPr>
      <w:r>
        <w:rPr>
          <w:b w:val="0"/>
        </w:rPr>
        <w:t xml:space="preserve">4. </w:t>
      </w:r>
      <w:r>
        <w:rPr>
          <w:b/>
        </w:rPr>
        <w:t>La deuda, primero.</w:t>
      </w:r>
      <w:r>
        <w:t xml:space="preserve"> El pago de la deuda pública «gozará de prioridad absoluta»</w:t>
      </w:r>
      <w:r>
        <w:t xml:space="preserve"> (Constitución, art. 135.3)</w:t>
      </w:r>
      <w:r>
        <w:t>, por la reforma de 2011, hecha sin referéndum. En 2025, las administraciones pagaron 40.314 millones en intereses e invirtieron 49.632</w:t>
      </w:r>
      <w:r>
        <w:t xml:space="preserve"> (Eurostat, cuentas de las administraciones públicas)</w:t>
      </w:r>
      <w:r>
        <w:t xml:space="preserve">: por cada 5 euros que se invierten, se pagan unos 4 en intereses, el 81 % (cálculo de la obra; </w:t>
      </w:r>
      <w:r>
        <w:t>8.6</w:t>
      </w:r>
      <w:r>
        <w:t xml:space="preserve">). </w:t>
      </w:r>
      <w:r>
        <w:t>[15.00-5.1 a 5.3]</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t xml:space="preserve"> (Constitución, art. 128.1)</w:t>
      </w:r>
      <w:r>
        <w:t>. El rescate bancario costó, «a 31 de diciembre de 2021», 71.833 millones; los recursos públicos «ciertamente empleados» fueron 50.621 millones</w:t>
      </w:r>
      <w:r>
        <w:t xml:space="preserve"> (Tribunal de Cuentas, Informe n.º 1.513, BOE de 15-7-2025)</w:t>
      </w:r>
      <w:r>
        <w:t>. En 2019, el Banco de España daba 5.225 millones recuperados</w:t>
      </w:r>
      <w:r>
        <w:t xml:space="preserve"> (Banco de España, nota de ayudas financieras, 2019)</w:t>
      </w:r>
      <w:r>
        <w:t xml:space="preserve">. </w:t>
      </w:r>
      <w:r>
        <w:t>[15.00-6.1 a 6.3]</w:t>
      </w:r>
    </w:p>
    <w:p>
      <w:pPr>
        <w:spacing w:after="60"/>
        <w:ind w:left="510" w:hanging="397"/>
      </w:pPr>
      <w:r>
        <w:rPr>
          <w:b w:val="0"/>
        </w:rPr>
        <w:t xml:space="preserve">6. </w:t>
      </w:r>
      <w:r>
        <w:rPr>
          <w:b/>
        </w:rPr>
        <w:t>La inviolabilidad.</w:t>
      </w:r>
      <w:r>
        <w:t xml:space="preserve"> «La persona del Rey es inviolable y no está sujeta a responsabilidad»</w:t>
      </w:r>
      <w:r>
        <w:t xml:space="preserve"> (Constitución, art. 56.3)</w:t>
      </w:r>
      <w:r>
        <w:t>. La Fiscalía del Supremo archivó en 2022 sus diligencias sobre el anterior Jefe del Estado: unas por prescripción, y lo anterior al 19 de junio de 2014 porque estaba «protegido por la inviolabilidad»</w:t>
      </w:r>
      <w:r>
        <w:t xml:space="preserve"> (Fiscalía General del Estado, nota de 2-3-2022)</w:t>
      </w:r>
      <w:r>
        <w:t>; en 2025, el Supremo inadmitió una querella con el mismo límite</w:t>
      </w:r>
      <w:r>
        <w:t xml:space="preserve"> (auto del Tribunal Supremo de 24-4-2025)</w:t>
      </w:r>
      <w:r>
        <w:t xml:space="preserve">. Ningún tribunal ha examinado nada anterior a esa fecha. </w:t>
      </w:r>
      <w:r>
        <w:t>[15.00-7.1 a 7.3]</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t xml:space="preserve"> (Real Decreto 297/2022)</w:t>
      </w:r>
      <w:r>
        <w:t xml:space="preserve">. No una ley. </w:t>
      </w:r>
      <w:r>
        <w:t>[15.00-8.1 a 8.3]</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t xml:space="preserve"> (TEDH, Stern Taulats y Roura Capellera c. España, 13-3-2018, traducción del Ministerio de Justicia)</w:t>
      </w:r>
      <w:r>
        <w:t xml:space="preserve">. </w:t>
      </w:r>
      <w:r>
        <w:t>[15.00-9.1 a 9.3]</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t xml:space="preserve"> (STC 148/2021)</w:t>
      </w:r>
      <w:r>
        <w:t>. Del segundo estado de alarma anuló, entre otros, la delegación en las autoridades autonómicas</w:t>
      </w:r>
      <w:r>
        <w:t xml:space="preserve"> (STC 183/2021)</w:t>
      </w:r>
      <w:r>
        <w:t xml:space="preserve">. </w:t>
      </w:r>
      <w:r>
        <w:t>[15.00-10.1 a 10.3]</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t xml:space="preserve"> (STC 182/2021, FJ 6)</w:t>
      </w:r>
      <w:r>
        <w:t xml:space="preserve">. </w:t>
      </w:r>
      <w:r>
        <w:t>[15.00-11.1 a 11.3]</w:t>
      </w:r>
    </w:p>
    <w:p>
      <w:pPr>
        <w:spacing w:after="60"/>
        <w:ind w:left="510" w:hanging="397"/>
      </w:pPr>
      <w:r>
        <w:rPr>
          <w:b w:val="0"/>
        </w:rPr>
        <w:t xml:space="preserve">11. </w:t>
      </w:r>
      <w:r>
        <w:rPr>
          <w:b/>
        </w:rPr>
        <w:t>La Administración.</w:t>
      </w:r>
      <w:r>
        <w:t xml:space="preserve"> La Administración «sirve con objetividad los intereses generales»</w:t>
      </w:r>
      <w:r>
        <w:t xml:space="preserve"> (Constitución, art. 103.1)</w:t>
      </w:r>
      <w:r>
        <w:t>. El Tribunal de Cuentas fiscalizó la contratación menor en 2026</w:t>
      </w:r>
      <w:r>
        <w:t xml:space="preserve"> (Informe n.º 1.670, aprobado el 26-2-2026)</w:t>
      </w:r>
      <w:r>
        <w:t>, y sobre la Cuenta General de 2024 advirtió que la Seguridad Social tiene un patrimonio neto negativo de 106.138,7 millones y que el resultado presupuestario consolidado está «sobrevalorado en 4.090,3 millones»</w:t>
      </w:r>
      <w:r>
        <w:t xml:space="preserve"> (Tribunal de Cuentas, Declaración sobre la Cuenta General del Estado de 2024)</w:t>
      </w:r>
      <w:r>
        <w:t xml:space="preserve">. </w:t>
      </w:r>
      <w:r>
        <w:t>[15.00-12.1 a 12.3]</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t xml:space="preserve"> (Constitución, art. 138.2)</w:t>
      </w:r>
      <w:r>
        <w:t>. La ley de financiación regula solo las comunidades «de régimen común»</w:t>
      </w:r>
      <w:r>
        <w:t xml:space="preserve"> (Ley 22/2009, art. 1)</w:t>
      </w:r>
      <w:r>
        <w:t xml:space="preserve">; el País Vasco y Navarra tienen su Concierto y su Convenio (Leyes 12/2002 y 28/1990). </w:t>
      </w:r>
      <w:r>
        <w:t>[15.00-13.1 a 13.3]</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t xml:space="preserve"> (Consejo de la Juventud de España, Observatorio de Emancipación, 2025)</w:t>
      </w:r>
      <w:r>
        <w:t xml:space="preserve">. </w:t>
      </w:r>
      <w:r>
        <w:t>[15.00-14.1 a 14.3]</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t xml:space="preserve"> (BOE, reformas de 27-8-1992, 27-9-2011, 15-2-2024 y 19-5-2026)</w:t>
      </w:r>
      <w:r>
        <w:t>. De la de 2024 dijo el Gobierno que era «la tercera desde la entrada en vigor de la Constitución, pero la primera de contenido social»</w:t>
      </w:r>
      <w:r>
        <w:t xml:space="preserve"> (La Moncloa, nota de 18-1-2024)</w:t>
      </w:r>
      <w:r>
        <w:t xml:space="preserve">. </w:t>
      </w:r>
      <w:r>
        <w:t>[15.00-15.1 a 15.3]</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t xml:space="preserve"> (STC 137/2025)</w:t>
      </w:r>
      <w:r>
        <w:t>; y estimó en parte la cuestión del Supremo «en los términos ya establecidos» en esa sentencia</w:t>
      </w:r>
      <w:r>
        <w:t xml:space="preserve"> (STC 164/2025)</w:t>
      </w:r>
      <w:r>
        <w:t xml:space="preserve">. Aquí, el contrapeso funcionó. </w:t>
      </w:r>
      <w:r>
        <w:t>[15.00-16.1 a 16.3]</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 </w:t>
      </w:r>
      <w:r>
        <w:t>[15.00-18.1 y 18.2]</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t xml:space="preserve"> (Scheppele, «The Rule of Law and the Frankenstate» (El Estado de derecho y el Estado de Frankenstein), Governance, 2013; la descripción, por fuente secundaria)</w:t>
      </w:r>
      <w:r>
        <w:t xml:space="preserve">. No hace falta un monstruo diseñado en la sombra: basta con que cada pieza, una a una, parezca razonable, y con que nadie, en ninguna sala, se siente a mirarlas todas juntas. </w:t>
      </w:r>
      <w:r>
        <w:t>[15.00-18.3 y 18.4]</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t xml:space="preserve"> (Constitución, art. 21.1)</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t xml:space="preserve"> (Ley Orgánica 4/2015, arts. 36.2 y 39.1)</w:t>
      </w:r>
      <w:r>
        <w:t>. Reunirse sin comunicarlo es una infracción leve, de 100 a 600 euros</w:t>
      </w:r>
      <w:r>
        <w:t xml:space="preserve"> (art. 37.1)</w:t>
      </w:r>
      <w:r>
        <w:t>. El Constitucional anuló solo el inciso «no autorizado» del art. 36.23 y desestimó el resto del recurso</w:t>
      </w:r>
      <w:r>
        <w:t xml:space="preserve"> (STC 172/2020)</w:t>
      </w:r>
      <w:r>
        <w:t xml:space="preserve">. Leído en el original, este caso no muestra un incumplimiento: castiga la perturbación grave, no la protesta pacífica. </w:t>
      </w:r>
      <w:r>
        <w:t>[16.00-2.1 a 2.3; corregido al leer la ley]</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t xml:space="preserve"> (Ley Orgánica 8/2013)</w:t>
      </w:r>
      <w:r>
        <w:t>; la de 2020 suprimió esa frase</w:t>
      </w:r>
      <w:r>
        <w:t xml:space="preserve"> (Ley Orgánica 3/2020)</w:t>
      </w:r>
      <w:r>
        <w:t>, y el Constitucional desestimó el recurso contra ella</w:t>
      </w:r>
      <w:r>
        <w:t xml:space="preserve"> (STC 49/2023)</w:t>
      </w:r>
      <w:r>
        <w:t xml:space="preserve">. </w:t>
      </w:r>
      <w:r>
        <w:t>[16.00-3.1 a 3.3]</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t xml:space="preserve"> (nota del CGPJ, diciembre de 2020; providencia del Tribunal Supremo de 18-11-2021)</w:t>
      </w:r>
      <w:r>
        <w:t>. El Supremo ya había considerado razonable ese 25 % en 2015, en casos de familias concretas</w:t>
      </w:r>
      <w:r>
        <w:t xml:space="preserve"> (sentencias del Tribunal Supremo de 23 y 28 de abril de 2015)</w:t>
      </w:r>
      <w:r>
        <w:t>. La prueba del pleito fue una muestra: solo 5 de 184 centros impartían en castellano el 25 % de las materias</w:t>
      </w:r>
      <w:r>
        <w:t xml:space="preserve"> (sentencia del TSJ de Cataluña de 16-12-2020, fundamento tercero)</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t xml:space="preserve"> (auto del TSJ de Cataluña de 28-7-2022)</w:t>
      </w:r>
      <w:r>
        <w:t xml:space="preserve">. A 6 de octubre de 2026, el Constitucional no la ha resuelto. </w:t>
      </w:r>
      <w:r>
        <w:t>[16.00-4.1 a 4.3; la sentencia y el auto, leídos en su original el 6-oct]</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t xml:space="preserve"> (STC 198/2012, FJ 9)</w:t>
      </w:r>
      <w:r>
        <w:t xml:space="preserve">. Pasaron siete años entre el recurso y la sentencia. </w:t>
      </w:r>
      <w:r>
        <w:t>[16.00-5.1 a 5.3]</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t xml:space="preserve"> (STC 169/2021, FJ 4)</w:t>
      </w:r>
      <w:r>
        <w:t>, adaptando la doctrina europea de la pena «reducible de derecho y de hecho»</w:t>
      </w:r>
      <w:r>
        <w:t xml:space="preserve"> [original: «de jure et de facto compressible»]</w:t>
      </w:r>
      <w:r>
        <w:t xml:space="preserve"> (TEDH, Kafkaris c. Chipre, 2008)</w:t>
      </w:r>
      <w:r>
        <w:t>. Un estudio de 2023 se tituló «constitucionalidad declarada, inconstitucionalidad manifiesta»</w:t>
      </w:r>
      <w:r>
        <w:t xml:space="preserve"> (Gómez Garrido, Revista Jurídica de la Universidad Autónoma de Madrid, n.º 48, 2023; por el título)</w:t>
      </w:r>
      <w:r>
        <w:t xml:space="preserve">. </w:t>
      </w:r>
      <w:r>
        <w:t>[16.00-6.1 a 6.3]</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t xml:space="preserve"> (Ley Orgánica 12/2022, preámbulo)</w:t>
      </w:r>
      <w:r>
        <w:t xml:space="preserve">. </w:t>
      </w:r>
      <w:r>
        <w:t>[16.00-7.1 a 7.3]</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t xml:space="preserve"> (SSTC 31/2015 y 114/2017)</w:t>
      </w:r>
      <w:r>
        <w:t>, y estimó íntegramente el recurso contra la ley catalana de consultas de 2010</w:t>
      </w:r>
      <w:r>
        <w:t xml:space="preserve"> (STC 51/2017)</w:t>
      </w:r>
      <w:r>
        <w:t>. Son intentos frenados (</w:t>
      </w:r>
      <w:r>
        <w:t>7.4</w:t>
      </w:r>
      <w:r>
        <w:t xml:space="preserve">). </w:t>
      </w:r>
      <w:r>
        <w:t>[16.00-8.1 a 8.3]</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t xml:space="preserve"> (GRECO, Tercera Ronda, informe de cumplimiento de 2011 y segunda adenda de 2016)</w:t>
      </w:r>
      <w:r>
        <w:t>. Y pidió que las fundaciones vinculadas no se usen «como una vía paralela de financiación fraudulenta»</w:t>
      </w:r>
      <w:r>
        <w:t xml:space="preserve"> [original: «as a parallel avenue for fraudulent funding»]</w:t>
      </w:r>
      <w:r>
        <w:t xml:space="preserve"> (segunda adenda, 2016)</w:t>
      </w:r>
      <w:r>
        <w:t xml:space="preserve">. </w:t>
      </w:r>
      <w:r>
        <w:t>[16.00-9.1 a 9.3]</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t xml:space="preserve"> (Ley Orgánica 3/1981, art. 30)</w:t>
      </w:r>
      <w:r>
        <w:t xml:space="preserve">. No tiene otra sanción. </w:t>
      </w:r>
      <w:r>
        <w:t>[16.00-10.1 a 10.3]</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t xml:space="preserve"> (CGPJ, efectos de la crisis en los órganos judiciales, 2025)</w:t>
      </w:r>
      <w:r>
        <w:t>. En el primer trimestre de 2026, 4.005 lanzamientos</w:t>
      </w:r>
      <w:r>
        <w:t xml:space="preserve"> (CGPJ, primer trimestre de 2026)</w:t>
      </w:r>
      <w:r>
        <w:t xml:space="preserve">. </w:t>
      </w:r>
      <w:r>
        <w:t>[16.00-11.1 a 11.3]</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t xml:space="preserve"> (Consejo de Estado, informe sobre modificaciones de la Constitución, 16-2-2006)</w:t>
      </w:r>
      <w:r>
        <w:t xml:space="preserve">. No se ha reformado. </w:t>
      </w:r>
      <w:r>
        <w:t>[16.00-12.1 a 12.3]</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 </w:t>
      </w:r>
      <w:r>
        <w:t>[16.00-14.2]</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 </w:t>
      </w:r>
      <w:r>
        <w:t>[16.00-14.1 y 14.3]</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 xml:space="preserve">Cada artículo cuenta una vez: 66 + 103 = 169. </w:t>
      </w:r>
      <w:r>
        <w:t>[18.00-1.1 a 2.4]</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 </w:t>
      </w:r>
      <w:r>
        <w:t>[18.00-2.5]</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t>[18.00-3.1, 4.1 y 5.1 a 5.2; anexo A; con el art. 21 reclasificado y los arts. 7, 110 y 111 pasados a pendiente]</w:t>
      </w:r>
    </w:p>
    <w:p>
      <w:r>
        <w:rPr>
          <w:b/>
        </w:rPr>
        <w:t>El freno.</w:t>
      </w:r>
      <w:r>
        <w:t xml:space="preserve"> Montesquieu propuso un mecanismo, «que el poder frene al poder» (</w:t>
      </w:r>
      <w:r>
        <w:t>6.5</w:t>
      </w:r>
      <w:r>
        <w:t xml:space="preserve">),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 </w:t>
      </w:r>
      <w:r>
        <w:t>[10.00-16.1 a 16.3 y 16.6; 18.00-8.4]</w:t>
      </w:r>
    </w:p>
    <w:p>
      <w:r>
        <w:rPr>
          <w:b/>
        </w:rPr>
        <w:t>La amenaza acumulada.</w:t>
      </w:r>
      <w:r>
        <w:t xml:space="preserve"> Sumando lo incumplido y lo frenado, el 65,2 % de los artículos del bien común ha estado alguna vez bajo una amenaza real, frente al 36,9 % de los del organigrama. Mide la fragilidad, no el desenlace: el intento frenado es, a la vez, prueba de amenaza y prueba de que los tribunales respondieron. </w:t>
      </w:r>
      <w:r>
        <w:t>[18.00-6.1 y 6.2]</w:t>
      </w:r>
    </w:p>
    <w:p>
      <w:r>
        <w:rPr>
          <w:b/>
        </w:rPr>
        <w:t>Los intentos frenados.</w:t>
      </w:r>
      <w:r>
        <w:t xml:space="preserve"> En el bien común: las leyes catalanas de consultas y de autodeterminación (art. 1) y disposiciones de la reforma local de 2013 (art. 140). En el organigrama, entre otros: las leyes catalanas de 2017 (art. 2); tres reglamentos y una ordenanza anulados en poco más de dos años (art. 97); el Gobierno en funciones de 2016, que sostuvo no estar sujeto al control de las Cortes, corregido por el Constitucional (art. 101); un convenio entre Cataluña y Murcia anulado por falta de autorización de las Cortes (art. 145.2); los catorce artículos del Estatut anulados total o parcialmente (art. 147). Las resoluciones, con su órgano y su fecha, en el </w:t>
      </w:r>
      <w:r>
        <w:t>anexo A</w:t>
      </w:r>
      <w:r>
        <w:t xml:space="preserve">. </w:t>
      </w:r>
      <w:r>
        <w:t>[18.00-3.4 y 4.5]</w:t>
      </w:r>
    </w:p>
    <w:p>
      <w:r>
        <w:rPr>
          <w:b/>
        </w:rPr>
        <w:t>Algunos ejemplos.</w:t>
      </w:r>
      <w:r>
        <w:t xml:space="preserve"> Del bien común, sin corrección: las condenas del Tribunal Europeo por no investigar torturas (art. 15); el confinamiento con el instrumento más débil (arts. 19 y 55); la condena por perseguir la crítica al Jefe del Estado (art. 20); la temporalidad en el empleo público (art. 103.3); los asuntos pendientes en la Justicia (art. 120.3). Del organigrama, sin corrección: los cinco años y medio sin renovar el Consejo General del Poder Judicial (art. 122) y el Fondo de Compensación Interterritorial en su mínimo (art. 158.2). Y cumplimiento limpio: la mayoría de edad (art. 12), el matrimonio (art. 32), las seis mociones de censura con el diseño constructivo (art. 113). </w:t>
      </w:r>
      <w:r>
        <w:t>[18.00-3.5, 3.6, 4.6 y 4.7]</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xml:space="preserve">) sea un plan: doce correcciones reales lo contradicen. Y no mide la retórica: si el poder invocó la voluntad del pueblo mientras dejaba fuera la condición que la hacía general, eso exigiría leer discursos y debates caso por caso. </w:t>
      </w:r>
      <w:r>
        <w:t>[18.00-5.3; 10.00-16.4 y 16.5]</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 </w:t>
      </w:r>
      <w:r>
        <w:t>[18.00-5.1; 10.00-16.5]</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 xml:space="preserve">. </w:t>
      </w:r>
      <w:r>
        <w:t>[10.00-16.5]</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t xml:space="preserve"> [original: «λέγω δὲ τὴν μὲν ὕλην οἷον τὸν χαλκόν, τὴν δὲ μορφὴν τὸ σχῆμα τῆς ἰδέας, τὸ δʼ ἐκ τούτων τὸν ἀνδριάντα τὸ σύνολον»]</w:t>
      </w:r>
      <w:r>
        <w:t xml:space="preserve"> (Aristóteles, Metafísica VII, 3, 1029a)</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xml:space="preserve">, forma. </w:t>
      </w:r>
      <w:r>
        <w:t>[19.00-1.1 y 1.2; Aristóteles leído en griego]</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 </w:t>
      </w:r>
      <w:r>
        <w:t>[19.00-0.1 y 24.1]</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xml:space="preserve"> [original: «名不正，則言不順；言不順，則事不成»]</w:t>
      </w:r>
      <w:r>
        <w:t>; y la cadena sigue hasta que el pueblo «no sabe dónde poner las manos ni los pies»</w:t>
      </w:r>
      <w:r>
        <w:t xml:space="preserve"> [original: «民無所措手足»]</w:t>
      </w:r>
      <w:r>
        <w:t xml:space="preserve"> (Confucio, Analectas XIII, 3; traducción de Legge)</w:t>
      </w:r>
      <w:r>
        <w:t>. Es la rectificación de los nombres. Mencio llevó la idea al gobernante: el que daña la benevolencia y la justicia ya no es un soberano, sino «un simple individuo» (</w:t>
      </w:r>
      <w:r>
        <w:t>3.2</w:t>
      </w:r>
      <w:r>
        <w:t xml:space="preserve">, P1). </w:t>
      </w:r>
      <w:r>
        <w:t>[19.00-2.1 y 2.2]</w:t>
      </w:r>
    </w:p>
    <w:p>
      <w:pPr>
        <w:pStyle w:val="ListBullet"/>
      </w:pPr>
      <w:r>
        <w:rPr>
          <w:b/>
        </w:rPr>
        <w:t>Roma.</w:t>
      </w:r>
      <w:r>
        <w:t xml:space="preserve"> Séneca, a Nerón: «el tirano se distingue del rey por los hechos, no por el nombre»</w:t>
      </w:r>
      <w:r>
        <w:t xml:space="preserve"> [original: «Tyrannus autem a rege factis distat, non nomine»]</w:t>
      </w:r>
      <w:r>
        <w:t xml:space="preserve"> (Séneca, De clementia I, 12, 1)</w:t>
      </w:r>
      <w:r>
        <w:t xml:space="preserve">. No es una pata independiente: viene de la tradición griega. </w:t>
      </w:r>
      <w:r>
        <w:t>[19.00-4.1 y 4.2]</w:t>
      </w:r>
    </w:p>
    <w:p>
      <w:pPr>
        <w:pStyle w:val="ListBullet"/>
      </w:pPr>
      <w:r>
        <w:rPr>
          <w:b/>
        </w:rPr>
        <w:t>El Nuevo Testamento.</w:t>
      </w:r>
      <w:r>
        <w:t xml:space="preserve"> «Teniendo apariencia de piedad, mas habiendo negado la eficacia de ella»</w:t>
      </w:r>
      <w:r>
        <w:t xml:space="preserve"> [original: «ἔχοντες μόρφωσιν εὐσεβείας τὴν δὲ δύναμιν αὐτῆς ἠρνημένοι»]</w:t>
      </w:r>
      <w:r>
        <w:t xml:space="preserve"> (2 Tim 3:5)</w:t>
      </w:r>
      <w:r>
        <w:t xml:space="preserve">. La palabra griega, </w:t>
      </w:r>
      <w:r>
        <w:rPr>
          <w:i/>
        </w:rPr>
        <w:t>mórphosis</w:t>
      </w:r>
      <w:r>
        <w:t xml:space="preserve">, es de la misma familia que la de Aristóteles. </w:t>
      </w:r>
      <w:r>
        <w:t>[19.00-5.1 y 5.2]</w:t>
      </w:r>
    </w:p>
    <w:p>
      <w:pPr>
        <w:pStyle w:val="ListBullet"/>
      </w:pPr>
      <w:r>
        <w:rPr>
          <w:b/>
        </w:rPr>
        <w:t>Egipto.</w:t>
      </w:r>
      <w:r>
        <w:t xml:space="preserve"> Ya se vio Maat (</w:t>
      </w:r>
      <w:r>
        <w:t>4.2</w:t>
      </w:r>
      <w:r>
        <w:t>). Textos del Imperio Medio describen la época de desorden con esa palabra: «la justicia ha sido expulsada, la iniquidad está en medio de la sala del consejo»</w:t>
      </w:r>
      <w:r>
        <w:t xml:space="preserve"> [original: «Righteousness is cast out, iniquity is in the midst of the council-hall»]</w:t>
      </w:r>
      <w:r>
        <w:t xml:space="preserve"> (Lamento de Jajeperreseneb, traducción de Breasted, 1912)</w:t>
      </w:r>
      <w:r>
        <w:t>; y la Profecía de Neferti anuncia un rey con el que «la justicia volverá a su lugar, y la injusticia será expulsada»</w:t>
      </w:r>
      <w:r>
        <w:t xml:space="preserve"> [original: «Das Recht wird wieder an seine Stelle kommen und das Unrecht, das ist herausgejagt»]</w:t>
      </w:r>
      <w:r>
        <w:t xml:space="preserve"> (Erman, Die Literatur der Aegypter, 1923)</w:t>
      </w:r>
      <w:r>
        <w:t xml:space="preserve">. Son textos posteriores al colapso, que miran atrás, no de la época misma. Y no consta ningún faraón depuesto en vida por fallar a Maat. </w:t>
      </w:r>
      <w:r>
        <w:t>[19.00-3.1; nuevo, aprobado por Kiko el 5-oct]</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t xml:space="preserve"> (Rattray, Ashanti Law and Constitution, 1929, pp. 145-146)</w:t>
      </w:r>
      <w:r>
        <w:t>. Alcanzaba a la cúspide: el rey Kofi Karikari fue depuesto en 1874, cuando se descubrió que había profanado las tumbas de sus antepasados</w:t>
      </w:r>
      <w:r>
        <w:t xml:space="preserve"> (Claridge, A History of the Gold Coast and Ashanti, 1915)</w:t>
      </w:r>
      <w:r>
        <w:t>. Y sigue vivo: en 2024, el Asantehene destituyó a tres jefes por su implicación en la minería ilegal; en 2025, a otro, con estas palabras: «Juraste con el Gran Juramento ser veraz, y fuiste contra él. No mereces seguir en el taburete»</w:t>
      </w:r>
      <w:r>
        <w:t xml:space="preserve"> [original: «You vowed with the Great Oath to be truthful but you went against it. You don't deserve to stay on the stool»]</w:t>
      </w:r>
      <w:r>
        <w:t>; y en julio de 2026, a un jefe que llevaba ochenta y nueve años en el cargo</w:t>
      </w:r>
      <w:r>
        <w:t xml:space="preserve"> (Graphic Online, 28-8-2024 y 1-3-2025; MyJoyOnline, 28-7-2026; fuente secundaria: prensa)</w:t>
      </w:r>
      <w:r>
        <w:t xml:space="preserve">. </w:t>
      </w:r>
      <w:r>
        <w:t>[19.00-6.1; Rattray y Claridge leídos en Internet Archive]</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r>
        <w:t>[19.00-7.1]</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t xml:space="preserve"> (Garcilaso de la Vega, Comentarios reales II, 14)</w:t>
      </w:r>
      <w:r>
        <w:t xml:space="preserve">. Vigilaban el poder delegado, no al Inca. </w:t>
      </w:r>
      <w:r>
        <w:t>[19.00-8.1]</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t xml:space="preserve"> [original: «אם ימצא בם איש אשר ישקר בהון והואה יודע ויבדילהו מתוך טהרת רבים שנה אחת ונענשו את רביעית לחמו»]</w:t>
      </w:r>
      <w:r>
        <w:t xml:space="preserve"> (Regla de la Comunidad, 1QS VI, 24-25)</w:t>
      </w:r>
      <w:r>
        <w:t>. No es un mecanismo para deponer a un jefe, sino un código escrito para que la comunidad se corrija por dentro. La mayoría de los estudiosos la identifica con los esenios, aunque no es unánime</w:t>
      </w:r>
      <w:r>
        <w:t xml:space="preserve"> (Encyclopaedia Britannica, «Essene»; fuente secundaria)</w:t>
      </w:r>
      <w:r>
        <w:t xml:space="preserve">. </w:t>
      </w:r>
      <w:r>
        <w:t>[19.00-10.1 y 10.2; 1QS leído en hebreo]</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xml:space="preserve"> (INTOSAI, ISSAI 300, 2019, p. 8)</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t xml:space="preserve"> (Reglamento (UE, Euratom) 2024/2509, art. 33)</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t xml:space="preserve"> (Tribunal de Cuentas, Manual de fiscalización operativa o de gestión, citado en la Revista Española de Control Externo, n.º 53, 2016)</w:t>
      </w:r>
      <w:r>
        <w:t>.</w:t>
      </w:r>
    </w:p>
    <w:p>
      <w:r>
        <w:t xml:space="preserve">Es decir: no por sus procedimientos, sino por sus frutos. </w:t>
      </w:r>
      <w:r>
        <w:t>[19.00-25.1 a 25.4]</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 </w:t>
      </w:r>
      <w:r>
        <w:t>[19.00-24.1]</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t xml:space="preserve"> (asunto C-504/26, Diario Oficial de la UE)</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t xml:space="preserve"> (nota del CGPJ, 17-9-2024)</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t xml:space="preserve"> (Ley 39/2015, art. 53.2.b)</w:t>
      </w:r>
      <w:r>
        <w:t>, y el Constitucional extendió «con ciertos matices» los principios del orden penal al derecho administrativo sancionador</w:t>
      </w:r>
      <w:r>
        <w:t xml:space="preserve"> (STC 18/1981)</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t xml:space="preserve"> (Fondo de Reserva, informe a las Cortes, 2025; La Moncloa, 13-4-2026)</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t xml:space="preserve"> (INE, Encuesta de Condiciones de Vida 2025)</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t xml:space="preserve"> (fuente secundaria; no se ha podido leer la sentencia)</w:t>
      </w:r>
      <w:r>
        <w:t>. Si es así, el defecto no está en el acto, sino en una ley de setenta y dos años: forma envejecida.</w:t>
      </w:r>
    </w:p>
    <w:p>
      <w:r>
        <w:t>[19.00-26.1 a 32.1; Ley 39/2015 y STC 18/1981 leídas en el original]</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 xml:space="preserve">. </w:t>
      </w:r>
      <w:r>
        <w:t>[19.00-33.1 y 34.1]</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 </w:t>
      </w:r>
      <w:r>
        <w:t>[19.00-0.1 y 33.1]</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 xml:space="preserve">. </w:t>
      </w:r>
      <w:r>
        <w:t>[19.00-0.2 y 0.3]</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 </w:t>
      </w:r>
      <w:r>
        <w:t>[22.00-0.1]</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t xml:space="preserve"> (Ley 39/2015, art. 39.1)</w:t>
      </w:r>
      <w:r>
        <w:t>, «serán inmediatamente ejecutivos»</w:t>
      </w:r>
      <w:r>
        <w:t xml:space="preserve"> (art. 98.1)</w:t>
      </w:r>
      <w:r>
        <w:t>, y puede ejecutarlos ella misma, incluido el «apremio sobre el patrimonio»</w:t>
      </w:r>
      <w:r>
        <w:t xml:space="preserve"> (arts. 99 y 100.1.a)</w:t>
      </w:r>
      <w:r>
        <w:t>. Es un poder real, con un fin declarado, el interés general, y sujeto a recurso: contra la providencia de apremio caben los motivos de oposición tasados de la ley</w:t>
      </w:r>
      <w:r>
        <w:t xml:space="preserve"> (Ley General Tributaria, art. 167.3)</w:t>
      </w:r>
      <w:r>
        <w:t xml:space="preserve">. </w:t>
      </w:r>
      <w:r>
        <w:t>[22.00-1.1 a 1.3]</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t xml:space="preserve"> (Ley General Tributaria, art. 28)</w:t>
      </w:r>
      <w:r>
        <w:t>. Cuando es Hacienda la que devuelve tarde, «ésta abonará el interés de demora regulado en el artículo 26»</w:t>
      </w:r>
      <w:r>
        <w:t xml:space="preserve"> (art. 31.2)</w:t>
      </w:r>
      <w:r>
        <w:t xml:space="preserve">: el mismo interés, pero ningún recargo. La asimetría está en el recargo, no en el interés. </w:t>
      </w:r>
      <w:r>
        <w:t>[22.00-2.1 a 2.3]</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t xml:space="preserve"> (STC 150/1990, FJ 9)</w:t>
      </w:r>
      <w:r>
        <w:t>. Y una vez funcionó: la plusvalía municipal era inconstitucional cuando «la cuota a satisfacer es superior al incremento patrimonial realmente obtenido por el contribuyente»</w:t>
      </w:r>
      <w:r>
        <w:t xml:space="preserve"> (STC 126/2019, FJ 5)</w:t>
      </w:r>
      <w:r>
        <w:t xml:space="preserve">. </w:t>
      </w:r>
      <w:r>
        <w:t>[22.00-3.1 a 3.3]</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 xml:space="preserve">. </w:t>
      </w:r>
      <w:r>
        <w:t>[22.00-4.1 y 4.2]</w:t>
      </w:r>
    </w:p>
    <w:p>
      <w:r>
        <w:rPr>
          <w:b/>
        </w:rPr>
        <w:t>La palabra del inspector.</w:t>
      </w:r>
      <w:r>
        <w:t xml:space="preserve"> Las diligencias de la inspección «tienen naturaleza de documentos públicos y hacen prueba de los hechos que motiven su formalización, salvo que se acredite lo contrario»</w:t>
      </w:r>
      <w:r>
        <w:t xml:space="preserve"> (Ley General Tributaria, art. 107.1)</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t xml:space="preserve"> (STC 76/1990, FJ 8)</w:t>
      </w:r>
      <w:r>
        <w:t xml:space="preserve">. </w:t>
      </w:r>
      <w:r>
        <w:t>[22.00-5.1 a 5.3]</w:t>
      </w:r>
    </w:p>
    <w:p>
      <w:r>
        <w:rPr>
          <w:b/>
        </w:rPr>
        <w:t>Lo que queda para invertir.</w:t>
      </w:r>
      <w:r>
        <w:t xml:space="preserve"> En 2025, las administraciones pagaron 40.314 millones en intereses e invirtieron 49.632 (</w:t>
      </w:r>
      <w:r>
        <w:t>7.2</w:t>
      </w:r>
      <w:r>
        <w:t>, n.º 4). Además, el Estado aportó 13.347 millones a la Unión Europea</w:t>
      </w:r>
      <w:r>
        <w:t xml:space="preserve"> (IGAE, indicadores del Estado, diciembre de 2025)</w:t>
      </w:r>
      <w:r>
        <w:t>. Para 2026, la Autoridad Fiscal estima que el gasto en intereses del conjunto de las administraciones «alcanzará los 43.300 millones, el 2,5 % del PIB»</w:t>
      </w:r>
      <w:r>
        <w:t xml:space="preserve"> (AIReF, informe sobre los presupuestos iniciales de 2026)</w:t>
      </w:r>
      <w:r>
        <w:t xml:space="preserve">. El dato no prueba una intención: prueba que la capacidad de invertir está condicionada por el peso de la deuda. </w:t>
      </w:r>
      <w:r>
        <w:t>[22.00-6.1 a 6.3]</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t xml:space="preserve"> (Constitución, art. 53.3)</w:t>
      </w:r>
      <w:r>
        <w:t>. Ya se vio con la vivienda (</w:t>
      </w:r>
      <w:r>
        <w:t>5.1</w:t>
      </w:r>
      <w:r>
        <w:t xml:space="preserve">, n.º 16). Esa diferencia de fuerza es el primer dato. </w:t>
      </w:r>
      <w:r>
        <w:t>[22.00-9.1 y 9.2]</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t xml:space="preserve"> (Ley 17/1999, disposición adicional decimotercera)</w:t>
      </w:r>
      <w:r>
        <w:t>, y un real decreto la adelantó: «Se adelanta al 31 de diciembre de 2001»</w:t>
      </w:r>
      <w:r>
        <w:t xml:space="preserve"> (Real Decreto 247/2001, art. 1)</w:t>
      </w:r>
      <w:r>
        <w:t xml:space="preserve">. </w:t>
      </w:r>
      <w:r>
        <w:t>[22.00-10.1 y 10.2]</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t xml:space="preserve"> (Ministerio de Vivienda, Observatorio de Vivienda y Suelo, boletín anual 2024)</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t xml:space="preserve"> (Real Decreto 241/2026, arts. 21.1 y 3.1)</w:t>
      </w:r>
      <w:r>
        <w:t>. Quien ha presidido el Gobierno tiene, además, una pensión indemnizatoria, una dotación de oficina «en la cuantía que se consigne» en los Presupuestos y dos puestos de trabajo (</w:t>
      </w:r>
      <w:r>
        <w:t>C.4</w:t>
      </w:r>
      <w:r>
        <w:t>)</w:t>
      </w:r>
      <w:r>
        <w:t xml:space="preserve"> (Real Decreto 405/1992, arts. 3.1, 3.2 y 4.1, que remite al art. 10, número 5, norma primera, de la Ley 74/1980)</w:t>
      </w:r>
      <w:r>
        <w:t>.</w:t>
      </w:r>
    </w:p>
    <w:p>
      <w:r>
        <w:t>[22.00-11.1 a 11.4]</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 </w:t>
      </w:r>
      <w:r>
        <w:t>[22.00-8.1, 12.1 y 14.1]</w:t>
      </w:r>
    </w:p>
    <w:p>
      <w:r>
        <w:rPr>
          <w:b/>
        </w:rPr>
        <w:t>Lectura del autor:</w:t>
      </w:r>
      <w:r>
        <w:t xml:space="preserve"> el Estado cobra con la ley de los hechos consumados y paga con la ley de los hechos aplazados. Lo que para uno es inmediato, para el otro es un principio. «Por sus frutos los conoceréis» (Mt 7:16). </w:t>
      </w:r>
      <w:r>
        <w:t>[22.00-7.1 y 12.1]</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xml:space="preserve">);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 </w:t>
      </w:r>
      <w:r>
        <w:t>[28.00-0.1 y 0.2]</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t xml:space="preserve"> (ABC, 20-8-2025, entrevista a la familia; Idealista News, 12-9-2025; fuente secundaria: prensa)</w:t>
      </w:r>
      <w:r>
        <w:t>. Ninguna ley ordena tratar al propietario como intruso; y la ley le da una vía rápida: pueden pedir «la inmediata recuperación de la plena posesión» de una vivienda «la persona física que sea propietaria o poseedora legítima por otro título»</w:t>
      </w:r>
      <w:r>
        <w:t xml:space="preserve"> (Ley de Enjuiciamiento Civil, art. 250.1.4.º, en la redacción de la Ley 5/2018)</w:t>
      </w:r>
      <w:r>
        <w:t xml:space="preserve">. El fallo está antes: en el primer contacto policial, hay que distinguir en minutos lo que un juzgado tarda meses en aclarar. </w:t>
      </w:r>
      <w:r>
        <w:t>[28.00-1.1 a 1.3]</w:t>
      </w:r>
    </w:p>
    <w:p>
      <w:r>
        <w:rPr>
          <w:b/>
        </w:rPr>
        <w:t>2. La denuncia y la orden de protección.</w:t>
      </w:r>
      <w:r>
        <w:t xml:space="preserve"> No basta una denuncia, sin más. La ley convoca «una audiencia urgente» a la víctima y al presunto agresor, que «habrá de celebrarse en un plazo máximo de setenta y dos horas»</w:t>
      </w:r>
      <w:r>
        <w:t xml:space="preserve"> (Ley de Enjuiciamiento Criminal, art. 544 ter.4)</w:t>
      </w:r>
      <w:r>
        <w:t>. Y el juez deniega con frecuencia: en 2024 se solicitaron 49.268 órdenes de protección, «fueron acordadas 33.247 y se denegaron otras 15.827»</w:t>
      </w:r>
      <w:r>
        <w:t xml:space="preserve"> (CGPJ, datos de 2024)</w:t>
      </w:r>
      <w:r>
        <w:t>; en el segundo trimestre de 2025 no se acordaron el 32,3 %</w:t>
      </w:r>
      <w:r>
        <w:t xml:space="preserve"> (CGPJ, segundo trimestre de 2025)</w:t>
      </w:r>
      <w:r>
        <w:t xml:space="preserve">. </w:t>
      </w:r>
      <w:r>
        <w:t>[28.00-2.1 a 2.3]</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t xml:space="preserve"> (Fiscalía General del Estado, Memoria 2017)</w:t>
      </w:r>
      <w:r>
        <w:t>. El promedio de 2009 a 2025 es del 0,007 %</w:t>
      </w:r>
      <w:r>
        <w:t xml:space="preserve"> (Memoria 2026)</w:t>
      </w:r>
      <w:r>
        <w:t xml:space="preserve">. Hay una objeción metodológica legítima: la cifra mide también cuánto se persigue la denuncia falsa, y no solo cuántas hay. Pero es una hipótesis sobre lo que no se mide, no un dato alternativo. </w:t>
      </w:r>
      <w:r>
        <w:t>[28.00-3.1 a 3.3]</w:t>
      </w:r>
    </w:p>
    <w:p>
      <w:r>
        <w:rPr>
          <w:b/>
        </w:rPr>
        <w:t>4. La pena por denunciar en falso.</w:t>
      </w:r>
      <w:r>
        <w:t xml:space="preserve"> La denuncia falsa probada se castiga con prisión de seis meses a dos años y multa, si lo imputado era un delito grave, y con multa en los demás casos</w:t>
      </w:r>
      <w:r>
        <w:t xml:space="preserve"> (Código Penal, art. 456.1)</w:t>
      </w:r>
      <w:r>
        <w:t>. Pero las penas de prisión «no superiores a dos años» se pueden suspender</w:t>
      </w:r>
      <w:r>
        <w:t xml:space="preserve"> (art. 80.1)</w:t>
      </w:r>
      <w:r>
        <w:t xml:space="preserve">. Y una absolución no equivale a una denuncia falsa: condenar exige probar que quien denunció sabía que mentía. </w:t>
      </w:r>
      <w:r>
        <w:t>[28.00-4.1 a 4.3]</w:t>
      </w:r>
    </w:p>
    <w:p>
      <w:r>
        <w:rPr>
          <w:b/>
        </w:rPr>
        <w:t>5. Sin mediación.</w:t>
      </w:r>
      <w:r>
        <w:t xml:space="preserve"> En los asuntos de violencia sobre la mujer «está vedada la utilización de los medios adecuados de solución de controversias»</w:t>
      </w:r>
      <w:r>
        <w:t xml:space="preserve"> (Ley Orgánica del Poder Judicial, art. 89.9)</w:t>
      </w:r>
      <w:r>
        <w:t xml:space="preserve">. Todo va por la vía judicial contenciosa, también en los conflictos de baja intensidad. Es una decisión de diseño. </w:t>
      </w:r>
      <w:r>
        <w:t>[28.00-5.1 y 5.2]</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t xml:space="preserve"> (Ley de Enjuiciamiento Criminal, art. 544 ter.7)</w:t>
      </w:r>
      <w:r>
        <w:t>. En 2024 se dictaron 4.155 suspensiones del régimen de visitas y 2.369 de la guarda y custodia</w:t>
      </w:r>
      <w:r>
        <w:t xml:space="preserve"> (CGPJ, datos de 2024)</w:t>
      </w:r>
      <w:r>
        <w:t xml:space="preserve">. La regla protege al menor, y la letra no distingue por sexo: se aplica a quien resulte investigado. Lo que la crítica señala es el momento: se decide al inicio, cuando la prueba suele limitarse a las declaraciones de las partes. </w:t>
      </w:r>
      <w:r>
        <w:t>[28.00-6.1 a 7.2]</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 </w:t>
      </w:r>
      <w:r>
        <w:t>[28.00-8.1]</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 xml:space="preserve">). </w:t>
      </w:r>
      <w:r>
        <w:t>[28.00-8.1; 28.00-9.9]</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r>
        <w:t>[18.00-5.3]</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r>
        <w:t>[14.00-4.3; 18.00-6.2]</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r>
        <w:t>[19.00-24.1 y 33.1]</w:t>
      </w:r>
    </w:p>
    <w:p>
      <w:pPr>
        <w:pStyle w:val="ListBullet"/>
      </w:pPr>
      <w:r>
        <w:rPr>
          <w:b/>
        </w:rPr>
        <w:t>Solo dos de los doce principios rectores</w:t>
      </w:r>
      <w:r>
        <w:t xml:space="preserve"> tienen dato propio en esta auditoría. </w:t>
      </w:r>
      <w:r>
        <w:t>[22.00-14.1]</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r>
        <w:t>[clasificación de las defensas, aprobada; 14.00-8.10 y 8.11; 15.00-17.30 y 17.31; 16.00-13.8 y 13.9; 18.00-7.12 y 7.13; 19.00-35.10 a 35.15; 28.00-9.2 a 9.9]</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r>
        <w:br w:type="page"/>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keepNext/>
      </w:pPr>
      <w:r>
        <w:rPr>
          <w:rFonts w:ascii="Segoe UI" w:hAnsi="Segoe UI" w:eastAsia="Segoe UI" w:cs="Segoe UI"/>
          <w:b/>
          <w:color w:val="6B665E"/>
          <w:sz w:val="20"/>
        </w:rPr>
        <w:t>Notas de trabajo (estado y trazabilidad)</w:t>
      </w:r>
    </w:p>
    <w:p>
      <w:r>
        <w:t>Cambio del 12-oct-2026, después del cierre de la edición (fdc8549) (Kiko, chat de 08.31, 23:1x, fila 749 de 08/01, tal cual: «</w:t>
      </w:r>
      <w:r>
        <w:t>Apocalipsis del Sistema</w:t>
      </w:r>
      <w:r>
        <w:t>. La disolución del velo del Estado y el retorno a la fuente», y «si» a darlo por decidido): en «El velo y el muro de opacidad», como el velo vuelve al subtítulo, la frase vuelve a la de antes, «Es lo que el título de la obra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«El velo y el muro de opacidad», «Es lo que el título de la obra promete disolver» (lo decía el subtítulo viejo) pasa a «Lo que esconde es lo que el nombre de la obra promete descubrir: «Apocalipsis» quiere decir «revelación» (0.2).» (07/herramientas/aplicar_subtitulo_nuevo.py). Ninguna otra palabra cambia. Cambio del 12-oct-2026, el cierre, dentro del paso 3 (alcance de la cifra; orden de 08.30, fila 724 de 08/01): en la conclusión de 8.9, «mayor que hace una década» pasa a «mayor que hace doce años», como dice ya el párrafo de datos de 8.9 (4,74 en 2014; 5,58 en 2026) (07/herramientas/aplicar_doce_anios_8_9.py).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9 (borrador B16). Ninguna otra palabra cambia. Cambio del 10-oct-2026 (Kiko, chat de 08.7, 23:4x, pasado por 08.7 tal cual, en mayúsculas: «SIN QUE NADIE LO VOTE NI DE SU CONSENTIMIENTO», al leer 8.3 en la web): «La idea» de 8.3 termina en «sin que nadie lo vote ni dé su consentimiento». Solo «La idea» de 8.3; nada más cambia. Cambio del 10-oct-2026, P5 (Kiko, chat de 08.4, pasado por 08.4 tal cual: «Sí a la P5, que entre la media frase»; P5 del estudio 08/10, apartado 6, que viene de la precisión d del 8.11; borrador de 07/borradores/marca_comercio): en la «Lectura del autor» de 8.11, la otra mitad de la imagen del nativo: lo que de verdad ha hecho es pulsar un interruptor en una pared, pero no tiene la palabra «pared» ni «interruptor». Sigue siendo imagen del autor, no un hecho. Nada más cambia. Cambio del 10-oct-2026 (Kiko, chat de 07.1, hacia las 13:45: «Sí, pero anota cómo yo mismo he caído en la presunción de primero decir pared […]»; borrador «El efectivo y la señal» de 07/borradores/marca_comercio; sin fila en 04p, nace de lo que Kiko pidió el 10-oct en el chat de 07): apartado nuevo 8.11 «El efectivo y la señal», con los límites al pago en efectivo (Ley 7/2012 y Reglamento (UE) 2024/1624), el billete de 500, el euro digital y el uso del efectivo por países (BCE, Comisión y Parlamento Europeo), Ap 13:16-17 entero en la Reina-Valera 1909 con Hipólito y Victorino, lo que no se halló en las otras tradiciones (nivel completo) y la Lectura del autor sobre la función y el salto de vocabulario (la imagen del nativo que toca la roca, y la propia presunción del autor al decir «pared»); una línea en 8.0, dos viñetas de «Límite honesto de la prueba» y una de «Para recordar». Un agente de fuentes leyó los documentos (169 de 169 literales comprobados); los traductores de Hipólito (MacMahon) y Victorino (Wallis) se comprobaron en los archivos. Sin nombrar ningún producto ni medio de pago. Cambio del 10-oct-2026 (Kiko, chat de 07, 9 y 10-oct, y permiso de trabajar en automático; fila A8 de 03b): en 8.3, tras el cuadro de los 100 euros guardados desde 1971, un bloque nuevo: lo que compran 100 euros guardados medido en barras de pan (1987, 1999 a 2025, solo ahorros) y la definición de «inflación» (Webster 1913 y la Academia de hoy) al lado; con su cuadro año por año en el nivel completo. Sin sueldos ni pensiones. «La idea» de 8.3 no cambia. Cambio del 9-oct-2026, después (Kiko: «Sí, pero sin mi frase… el contexto es la insatisfacción», medible por los suicidios y los antidepresivos): la «Lectura del autor» de 8.10 se reescribe: lo que las series miden es la insatisfacción; los suicidios y los antidepresivos son dos termómetros que no dicen lo mismo; y se lee de dos maneras, como indicador de que el malestar aumenta y como camuflaje, con la cautela de que puede deberse a más diagnóstico, menos estigma o más acceso. Cambio del 9-oct-2026 (Kiko: «sí al B10 con las dos recomendaciones, aplícalo»; fila 41 de 04p, parte b; borrador B10 de la carpeta 07): apartado nuevo 8.10 «La salud y la familia», con lo que muestran las series oficiales (antidepresivos, suicidios con la población española aparte, divorcios, depresión y ansiedad declaradas; INE, AEMPS, Ministerio de Sanidad, OCDE y Eurostat), la lectura del autor sobre el camuflaje y dos viñetas de «Límite honesto de la prueba»; una línea en 8.0 y una viñeta en «Para recordar». Dos agentes de fuentes leyeron las series (306 de 306 y 243 de 245 literales comprobados). Cambio del 8-oct-2026 (lectura de la dirección de la obra, aviso PASO 4.8): se cierra con su marca de fin el bloque de nivel completo de la tabla de 8.3, que había quedado sin cerrar y escondía, en los niveles 1 y 2, desde 8.4 hasta el final del capítulo (Límite honesto y Para recordar incluidos); y las referencias del texto de lectura a «la 20.00», «la 24.00», «la 21.00», «la pieza», «el termómetro de la pieza» y «el Pórtico» pasan a hablar de la obra. Sin cambiar ningún dato. ESTADO: APROBADO por Kiko el 6-oct-2026 («SI A TODO»: el capítulo y sus novedades, la corrección de la Biblioteca, también el título de la 29.00, y lo no leído a la libreta de flecos). Su material está marcado en el inventario (04 CAPITULOS/marcas/marcas del capitulo 8.txt).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cinco agentes localizaron y descargaron las fuentes (c8a: el dinero, la deuda y las advertencias; c8b: la carga, el gasto y el personal; c8c: la extracción; c8d: la industria, la vivienda y la confianza; c8f: Mariana, el Banco de España, los afiliados y cuatro leyes); Claude leyó cada original y extrajo las citas. Leído hoy en su original: - BOE: Constitución (arts. 40.1, 50, 67.2, 149.1.11.ª y 167); Diarios de Sesiones del Congreso (2-9-2011) y del Senado (7-9-2011); Ley General de la Seguridad Social (arts. 58 y 308.1.a, regla 4.ª; los arts. 110.1, 122 y 123.2.d, ya leídos para el capítulo 5); Orden PJC/297/2026 (arts. 2, 3, 4, 16, 18, 33 y 37); Real Decreto 241/2026 (arts. 3.1 y 21.1); Ley 46/1998 (art. 3); Reglamento (CE) 2866/98; Ley 35/2006 (arts. 57 y 63); Decretos 720/1970 y 547/1975; Reales Decretos 1462/2018 y 87/2025; Real Decreto-ley 28/2012 (art. 1); Pacto Internacional de Derechos Civiles y Políticos (art. 11); Ley Orgánica 4/1981 (arts. 1.3, 11.b y 12); Real Decreto 463/2020 (art. 8); Ley Orgánica del Poder Judicial (art. 57.1.2.º); Código Penal (art. 11); Ley 39/2015 (arts. 14, 24 y 133); Ley 19/2013 (art. 12); LOREG (arts. 46.3, 162.1, 163.1.e, 164.1, 166.1 y 196); Constitución (arts. 99 y 140); leyes del IVA de 1985 a 2012 (Ley 30/1985, Ley 31/1991, Real Decreto-ley 5/1992, Ley 37/1992, Ley 41/1994, Ley 26/2009 y Real Decreto-ley 20/2012); Decretos 3530/1972 y 2926/1974, Reales Decretos 1467/1981 y 13/1992 (cinturón y casco); Real Decreto 900/2015 y Real Decreto-ley 15/2018; Reales Decretos-leyes 9/1981 y 8/1983; Estatuto de Roma (art. 7); resoluciones de zonas tensionadas (BOE de 15-3-2024 y 9-10-2024); Estatuto de los Trabajadores (arts. 53.1.b y 56.1); Estatuto Básico del Empleado Público (arts. 14.a, 20, 63 y 96.1.a); Reglamento del Congreso (art. 22, en la redacción de 2025). - Tribunales y Unión Europea: STC 148/2021 (FJ 11); Tribunal de Justicia de la UE, Gauweiler (C-62/14), C-278/20 y C-743/22; STS 872/2026; STS 1119/2025 (BOSCO); STSJ de Madrid 405/2024 y ATS 3674/2026; STS de 12-11-2015 (foto-rojo) y STS 184/2018; demanda C-504/26 (DOUE) y comunicado de la Comisión de 11-3-2026; Tratado de Funcionamiento de la UE (arts. 123 y 127.1); Decreto ley 3/2026 de Canarias (BOC). - Organismos: Banco de Inglaterra (2014); Banco Central Europeo (balances, APP, PEPP y estrategia); Reserva Federal (balance y «Who owns the Federal Reserve?»); Federal Reserve History; Bernanke (2004); Banco Mundial (Global Waves of Debt, 2021; PIB en dólares); FMI (Perspectivas de la economía mundial, abril de 2026; Beneš y Kumhof, 2012); IIF (resumen público de 6-5-2026) y Reuters; Oficina de Estadísticas Laborales de EE. UU. (precios); Eurostat (cuentas, gasto por funciones de 2024, deuda e intereses, presión fiscal, esperanza de vida); INE (precios desde 1961, Encuesta Anual de Estructura Salarial, Movimiento Natural de la Población, fecundidad de 1975 a 2024, cuentas de los sectores, Presupuestos Familiares, EPA); Banco de España (SI 1.5; Documento Ocasional 2422); AIReF (presupuestos iniciales de 2026; variabilidad de los ingresos tributarios, 2025); Fondo de Reserva (informes a las Cortes de 2020 y 2025); Seguridad Social (pensiones de mayo y septiembre de 2026; Clases Pasivas; afiliados de diciembre de 2025); Agencia Tributaria (mercado de trabajo 2024); Estadística del Personal de las Administraciones Públicas (enero de 2026); Hacienda (cuantías retributivas de 2026); Congreso y Senado (régimen económico); Portal de la Transparencia; OCDE (Taxing Wages y Pensions at a Glance, datos oficiales); Banco Mundial (Doing Business 2020); Ministerio de Sanidad (listas de espera y Barómetro Sanitario); INEE (PISA 2022); Defensor del Pueblo (23-8-2023); Observatorio Estatal de la Dependencia (XXVI Dictamen y nota de 10-4-2026); Diario de Sesiones del Congreso (Comisión de Justicia, 15-3-2017); La Moncloa (publicidad institucional de 2019, 2024 y 2025); CIDH (principio 13); Tribunal de Cuentas (privatizaciones de 1996 a 2002); EFSA y AESAN (plaguicidas, 2023); Generalitat de Catalunya (memorias de zonas tensionadas de 2024 y 2026; fianzas del Incasòl); CIS (escala de confianza, 2013 a 2026). - Autores: Oresme, De moneta XV (latín); Copérnico, Monete cudende ratio (latín); Azpilcueta, Comentario resolutorio de cambios (ediciones de 1556 y 1568); Mariana, Tratado y discurso sobre la moneda de vellón (Biblioteca de Autores Españoles, t. 31, 1854, páginas escaneadas); Locke (1695, portada y dedicatoria); Greenspan (1966, en el Congressional Record de 1974); Weidmann (2012); Keynes (1919, cap. VI); White y Schuler (2009, resumen); Werner (2014); Rousseau, Del contrato social III, 15 (francés); Digesto 50.17.20 y 48.7.7 (latín); Diccionario panhispánico del español jurídico; Marín Arce (2006); Bel y Costas (2001); Mastroianni y Gilbert (Nature, 2023); Transparent Replications (2024); EsadeEcPol (2022); Acton (carta de 5-4-1887, edición de 1907). - Fuente secundaria (se marca en el texto): Instituto Juan de Mariana (Impuestómetro 2026, con datos de Molinari y EY); ATA (10-8-2026); Fundación Civismo (2021); UGT (2025, ejemplo de hostelería); Ecologistas en Acción (2025, con datos de la AESAN); prensa sobre las multas de la Zona de Bajas Emisiones (2026); Procurador del Común (sobre la STS de 2017 del foto-rojo); Smith, Smith y Stocks (2023, leído solo en transcripción). Hallado al escribir (aprobado y corregido en la Biblioteca el 6-oct, libreta 72, punto 144; lo no leído queda en la Biblioteca como estaba y pasa a la libreta de flecos): - 20.00, «La creación del dinero de la nada» (§3): el APP no acumuló «2,95 billones hasta 2021», sino 3,12 billones en tenencias a fin de 2021 (máximo de 3,27 en junio de 2022); el «63 % del PIB de toda la eurozona», los «18 billones de dólares, el 22 % del PIB mundial» y las dos frases de la «literatura financiera» no tienen fuente leída; el «23,6 % en diez años» del IPC no casa con la serie del INE (28,0 % de 2015 a 2025); lo de Benidorm sale de portales privados, sin leer. - 20.00, §4: el salario real de la OCDE (1993-2023) se leyó el 7-oct en la serie vigente (año base 2025) y entra en 8.3: España +4,04 %; Francia +28,15 %; Alemania +21,03 %; Italia −3,33 %; Países Bajos +1,49 %. Las cifras de la pieza (29.588 → 30.654 €; Francia 36 %; Alemania 34 %) no salen de esa serie, ni tampoco el «solo superó a Italia». - 20.00, §6: el Diccionario panhispánico define «nemo iudex sine actore» como «Nadie sea juez sin actor», no «no hay juez sin acusador»; su entrada de «permissum id esse intellegitur…» no cita la STS de 9-6-1987; y lo de que «in dubio pro administrado» es una «regla mnemotécnica moderna» no está en la entrada. Son seis fórmulas del diccionario y una del Digesto, no siete del diccionario. - 20.00, «El vaciado de la hucha» (§10): «retiraron 61.000 millones»: lo dispuesto fue 77.437 millones entre 2012 y 2018 (80.337 hasta 2019); 61.772 es lo que bajó el saldo (66.815 → 5.043). Nombres de presidentes del Gobierno: proponer «los Gobiernos de 2012 a 2018». Los 12.690 millones «desviados» antes de 2012: solo prensa. - 20.00, §11: las cifras de marzo de 2026 (271.556; 118.716; 152.840) no son del XXVI Dictamen, sino de la nota de la Asociación de Directoras y Gerentes de Servicios Sociales de 10-4-2026, con datos del Ministerio. - 20.00, §13: el «salario mediano de 24.497 €» y las normas de los expresidentes se leyeron el 7-oct (INE, 24.497,17 euros en 2024; RD 405/1992, en 7.6); los 628,80 € al mes son 8.803,20 / 14 (cálculo). - 20.00, §14 (Casa del Rey): leída el 7-oct en su fuente (relación de puestos del Ministerio de la Presidencia, Tribunal de Cuentas, REMCO); pasa al anexo C. - 20.00, «El patrón del incrementalismo» (§16): el cinturón fue obligatorio de instalar en 1972 (Decreto 3530/1972) y de usar en vías interurbanas desde el 11-11-1974 (Decreto 2926/1974); no hay normas de 1975 ni de 1976. El casco se exigió desde 1982 a las motos de más de 125 cc en todas las vías, y a las de 125 o menos solo en interurbanas (Real Decreto 1467/1981). Y «Nunca al revés» no se sostiene: el tipo incrementado del IVA bajó del 33 % al 28 % en 1992 y se suprimió en 1993, y el cargo al autoconsumo se derogó en 2018. - 20.00, «El estado de alarma» (§17): la STC 148/2021 sí permite revisar las sanciones (FJ 11.b, art. 40.1 LOTC); el «deber jurídico de soportar» (FJ 11.c) se refiere a las medidas y a la responsabilidad patrimonial, y «los perjuicios» no es literal. Lo que no se revisa son los actos firmes (FJ 11.a). Las propuestas de reforma de 2021 y 2023, sin leer. - 20.00, §15 (listas): la cita del art. 46.3 de la LOREG («la expresión del orden de colocación de todos ellos») no es la redacción vigente: hoy dice «con la expresión del orden de colocación tanto de los candidatos como de los suplentes». El estudio de 2012 sobre las primarias y los estatutos de los partidos, sin leer en esta ronda (no entran). - 20.00, §18 (aforamientos): los nombres de dos condenados, fuera (no se nombra a personas); sin leer. - 20.00, «Las Zonas de Bajas Emisiones» (§19): las cifras de 3,3 a 3,5 millones de multas y 650 a 700 millones son de una asociación de automovilistas (parte interesada), citada por la prensa, e incluyen multas que la sentencia no toca; la nulidad alcanza al régimen transitorio de toda la zona y a la regulación de Distrito Centro y Plaza Elíptica. La Ordenanza 2/2026 entró en vigor el 7 de abril (al día siguiente de su publicación), no el 6. - 20.00, §20 (foto-rojo): no se han localizado ni «pesan, cuentan ni miden» ni el pasaje del porcentaje de la empresa instaladora; la STS de 2017 no se ha podido leer entera. - 20.00, §25 (franquicia del IVA): los 32.430 € diarios son el importe con el que se calcula la suma a tanto alzado (mínimo de 7.540.000 €); la multa coercitiva que se pide es de 135.811,20 € al día, desde la sentencia (asunto C-504/26). Canarias no creó la franquicia: subió la que ya tenía el IGIC de 30.000 a 50.000 €, en un decreto ley de medidas por la crisis de Oriente Medio. - 20.00, §28, y 21.00, §7: los 226 horas, 3.390 € y 11.000 millones de ATA son de su nota de 10-8-2026, no de diciembre de 2025 (entonces daba 200 horas, 3.000 € y 10.000 millones); y la propia nota dice 758 y 780 millones de horas. - 20.00, §29 (publicidad institucional): «172 millones», «990,8 millones acumulados» y «la cifra más alta en casi dos décadas», sin fuente leída; las negativas de los ministerios, solo prensa. Y el principio 13 de la CIDH exige el objetivo de presionar, castigar, premiar o privilegiar: «exista o no intención probada» no está en él (el informe de 2011 no se ha leído). - 20.00, §30: las cuatro sentencias del Supremo de 2026 sobre el silencio positivo, sin leer. - 21.00: el 38,3 % «previsto por la Comisión Europea» no está en ningún documento oficial (es una suma del Instituto Juan de Mariana con series de la Comisión, que dan el 38,13 % o el 38,49 %); la frase del Impuestómetro «considerando las principales figuras tributarias…» no existe; Civismo da 332 horas, no 322 (las 322 son de Argentina); dos frases atribuidas al Defensor del Pueblo no son literales; la OCDE da 16,3 y 18,7 veces el salario (valor bruto), no «15 y 17». Los datos de salario y depósitos de 2025 y 2026 (§5) y los de gastos del hogar (§10), sin leer en esta ronda: leídos después, el 7-oct, y recogidos en el anexo B. - 24.00: el Banco Mundial dice «más grande, más rápida y más generalizada» de la deuda de las economías emergentes y en desarrollo, no de la mundial, y no «que las tres anteriores juntas»; «ampliamente estable desde 2023» es redacción de Reuters, no del informe del IIF. - 25.00: la frase de Mariana «es ilícito y malo; si con él…» no está en el prólogo, sino al cierre del tratado (cap. XIII, p. 593). Copérnico leyó la versión alemana ante la Dieta de la Prusia Real en Grudziądz el 21-3-1522; «a petición de Segismundo» para la de 1526 no consta, y «la moneda mala expulsa a la buena» no es literal. Que Locke aconsejara a Newton, sin leer. La entrevista de Lenin se publicó en «periódicos de Londres y de Nueva York» (White y Schuler); los nombres de los diarios no se han comprobado. Greenspan escribió «"hidden" confiscation», con comillas. - 26.00: las 132.793 muestras y el 98 % de cumplimiento son del conjunto de la UE (EFSA), no de España (2.492 muestras); las «60.000 viviendas de alquiler perdidas» no tienen fuente (la serie oficial de fianzas del Incasòl da otra cosa); los «302 municipios» y los «6,1 millones» no son cifras oficiales (en trámite: 118 prorrogables con 5.919.365 habitantes y 53 nuevos con 255.220); la resolución salió en el BOE del 9-10-2024, no del 8; los 140 municipios los declaró la TER/2940/2023 y la TER/800/2024 la modificó; las privatizaciones de 1997 y 1998 sumaron 25.564 millones, no «más de 12.000». La «octava potencia industrial» de los años setenta, sin leer. - 27.00: «72,3 %» → 72,47 % (junio de 1990); el índice de fecundidad de 1975, que la pieza daba como «aproximadamente 2,9» sin verificar, es 2,77 (INE). - 29.00 (su título pasa a «La confianza entre personas es mayor que hace una década», también en la cita de la 28.00): el CIS no pregunta «desde 2006» (la serie empieza en 2013) y el 5,4 de 2020 no fue «la más alta de toda la serie» después: 2021, 2022 y 2023 la superan (5,7; 5,75 y 5,73); el 32 % de 2009 y el 45,8 % de 2016 no se han encontrado (2016 da 38,6 y 42,0); el «84 % de las encuestas» es el 84,18 % de las preguntas de Estados Unidos (1949-2019); y la confianza no está «en máximos» (título y conclusión de la pieza): el máximo fue 5,75 en 2022, y en 2026 es 5,58, mayor que hace una década (4,74 en 2014). La réplica de Smith, Smith y Stocks sostiene que el argumento central es lógicamente inválido, no lo que dice la pieza. - 34.00, nota 4: los salarios medios son un cálculo propio con la tabla de la Agencia Tributaria, no una cifra que esta publique. El 100,2 % del PIB (mayo de 2026) se leyó el 7-oct en el Banco de España (anexo C), y la media de los altos cargos es de 92.294 € (C.1), no 92.189. - De la edición, no de la Biblioteca: el capítulo 5 (conclusión de 5.1) seguía diciendo «73 incumplimientos»; con el art. 21 reclasificado son 72. Corregido el 6-oct, como parte de la cascada ya aprobada el 5-oct. Nuevo, aprobado por Kiko el 6-oct: Oresme en latín (cap. XV); Copérnico en latín (los «cuatro azotes» y la moneda que «expulsó» a la antigua); Azpilcueta en la edición castellana de 1556, en vez de la italiana de 1569; Weidmann sobre la tentación; la frase de Werner como afirmación del propio autor; el control de la EFSA por origen (3,4 % frente a 1,0 %); la serie de fianzas del Incasòl; los 850.000 empleos industriales perdidos entre 1977 y 1985 (Marín Arce); la serie del CIS de 2014 a 2026; el índice de fecundidad de 1975 (2,77); la Ley Orgánica 4/1981, art. 1.3. No entra: el «63 % del PIB» de la zona euro y los «18 billones» (sin fuente); Benidorm (portales privados); la cita atribuida a Friedman (sin fuente primaria, 8.2); Nozick, y Murphy y Nagel (20.00, §34: Nozick solo por fuentes secundarias, y Murphy y Nagel sin leer); las cifras de coste de la reconversión (fuente concentrada); la ocupación de la 26.00 (la propia pieza la descartó); los nombres de personas condenadas; las sentencias de 2026 sobre el silencio positivo. Remisiones: Mill y el límite del daño (2.3); las barreras electorales y el informe del Consejo de Estado de 2009 (6.4); Trasímaco (1.4); Mencio y las Leyes de Manu sobre el tiempo, la pesa justa y devolver lo confiado (3.2, P3, P4 y P5); la usura (3.3); lo que se da por supuesto sobre el dinero, la hucha y el IRPF (5.1, n.º 1, 2, 3, 5, 6, 8, 9, 10, 11 y 12); las listas cerradas (6.4); la asignación y el art. 135.3 (7.2, n.º 1 y 4); el confinamiento (7.2, n.º 9); la franquicia del IVA, la Zona de Bajas Emisiones, el Fondo de Reserva y la infancia (7.5, casos 1, 2, 4 y 5); el cobro sin juez y los 43.300 millones de intereses (7.6); el diseño que enfrenta a la gente (7.7); la quiebra camuflada y los 6,13 billones de pensiones prometidas (9.1); los cuadros completos (anexos B y C). Conceptos que ancla: el dinero sin respaldo material, en su desarrollo (8.1); el tiempo de vida cristalizado (8.3); la carga (8.4); el velo y el muro de opacidad (8.6). Corregido el 7-oct-2026 (capítulo 11, parte 6): Mt 11:15 en 8.6, con las palabras de la Reina-Valera Antigua, «para oir» (c9g); decía «para oír», de la de 1960.</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t xml:space="preserve"> (Diccionario de la lengua española)</w:t>
      </w:r>
      <w:r>
        <w:t xml:space="preserve">, y «moneda fiat», del latín </w:t>
      </w:r>
      <w:r>
        <w:rPr>
          <w:i/>
        </w:rPr>
        <w:t>fiat</w:t>
      </w:r>
      <w:r>
        <w:t xml:space="preserve">, «hágase». </w:t>
      </w:r>
      <w:r>
        <w:t>[glosario 6.1]</w:t>
      </w:r>
    </w:p>
    <w:p>
      <w:r>
        <w:rPr>
          <w:b/>
        </w:rPr>
        <w:t>1971.</w:t>
      </w:r>
      <w:r>
        <w:t xml:space="preserve"> El 15 de agosto de 1971, el presidente de Estados Unidos anunció por televisión: «He ordenado al secretario Connally que suspenda temporalmente la convertibilidad del dólar en oro u otros activos de reserva»</w:t>
      </w:r>
      <w:r>
        <w:t xml:space="preserve"> [original: «I have directed Secretary Connally to suspend temporarily the convertibility of the dollar into gold or other reserve assets»]</w:t>
      </w:r>
      <w:r>
        <w:t xml:space="preserve"> (Nixon, discurso a la nación, 15-8-1971, American Presidency Project)</w:t>
      </w:r>
      <w:r>
        <w:t>. Lo temporal no se revirtió. La historia oficial de la Reserva Federal lo resume así: «en la práctica, el sistema monetario internacional pasó a ser fiduciario»</w:t>
      </w:r>
      <w:r>
        <w:t xml:space="preserve"> [original: «in effect, the international monetary system turned into a fiat one»]</w:t>
      </w:r>
      <w:r>
        <w:t xml:space="preserve"> (Federal Reserve History, «Nixon Ends Convertibility of U.S. Dollars to Gold»)</w:t>
      </w:r>
      <w:r>
        <w:t xml:space="preserve">. </w:t>
      </w:r>
      <w:r>
        <w:t>[24.00-1.1 y 1.2]</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xml:space="preserve"> [original: «Whenever a bank makes a loan, it simultaneously creates a matching deposit in the borrower's bank account, thereby creating new money.»]</w:t>
      </w:r>
      <w:r>
        <w:t>; «en vez de prestar los depósitos que reciben, el acto de prestar crea los depósitos: al revés de la secuencia que suelen describir los manuales»</w:t>
      </w:r>
      <w:r>
        <w:t xml:space="preserve"> [original: «rather than banks lending out deposits that are placed with them, the act of lending creates deposits — the reverse of the sequence typically described in textbooks»]</w:t>
      </w:r>
      <w:r>
        <w:t>; y la teoría del multiplicador «no es una descripción exacta de cómo se crea el dinero en la realidad»</w:t>
      </w:r>
      <w:r>
        <w:t xml:space="preserve"> [original: «it is not an accurate description of how money is created in reality»]</w:t>
      </w:r>
      <w:r>
        <w:t xml:space="preserve"> (Banco de Inglaterra, «Money creation in the modern economy» (La creación del dinero en la economía moderna), Quarterly Bulletin, 2014)</w:t>
      </w:r>
      <w:r>
        <w:t>. El mismo año, un economista pidió un préstamo a un banco que colaboró en el estudio y vigiló sus registros internos; su conclusión, en sus palabras: el estudio «establece por primera vez de forma empírica que los bancos, uno a uno, crean dinero de la nada»</w:t>
      </w:r>
      <w:r>
        <w:t xml:space="preserve"> [original: «This study establishes for the first time empirically that banks individually create money out of nothing.»]</w:t>
      </w:r>
      <w:r>
        <w:t xml:space="preserve"> (Werner, International Review of Financial Analysis 36, 2014)</w:t>
      </w:r>
      <w:r>
        <w:t xml:space="preserve">. Lo de «por primera vez» es afirmación del propio autor. </w:t>
      </w:r>
      <w:r>
        <w:t>[24.00-2.1 y 2.2; 20.00-3.1]</w:t>
      </w:r>
    </w:p>
    <w:p>
      <w:r>
        <w:rPr>
          <w:b/>
        </w:rPr>
        <w:t>La pregunta, dentro de la casa.</w:t>
      </w:r>
      <w:r>
        <w:t xml:space="preserve"> En 2012, dos economistas del Fondo Monetario Internacional retomaron el Plan de Chicago de los años treinta, que proponía separar la creación del dinero del crédito exigiendo a los bancos reservas del 100 % para los depósitos</w:t>
      </w:r>
      <w:r>
        <w:t xml:space="preserve"> (Beneš y Kumhof, «The Chicago Plan Revisited» (El Plan de Chicago revisado), documento de trabajo del FMI 12/202)</w:t>
      </w:r>
      <w:r>
        <w:t xml:space="preserve">. El propio FMI advierte que sus opiniones son las de los autores y no necesariamente las del Fondo. No es una política adoptada: es la prueba de que la pregunta se hace en el centro del sistema. </w:t>
      </w:r>
      <w:r>
        <w:t>[24.00-3.1 y 3.2]</w:t>
      </w:r>
    </w:p>
    <w:p>
      <w:r>
        <w:rPr>
          <w:b/>
        </w:rPr>
        <w:t>La otra escala: el banco central.</w:t>
      </w:r>
      <w:r>
        <w:t xml:space="preserve"> El balance del Eurosistema pasó de 2,78 billones de euros a final de 2015 a 8,84 billones el 24 de junio de 2022, el máximo de su serie</w:t>
      </w:r>
      <w:r>
        <w:t xml:space="preserve"> (Banco Central Europeo, estado financiero consolidado y serie del activo total)</w:t>
      </w:r>
      <w:r>
        <w:t>. Solo el programa de compra de activos tenía 3,12 billones en títulos a final de 2021, y el de emergencia por la pandemia sumó compras netas de 1,72 billones hasta marzo de 2022</w:t>
      </w:r>
      <w:r>
        <w:t xml:space="preserve"> (BCE, historial del APP y del PEPP)</w:t>
      </w:r>
      <w:r>
        <w:t>. La Reserva Federal pasó de unos 0,9 billones de dólares en 2007 a 8,97 billones el 13 de abril de 2022</w:t>
      </w:r>
      <w:r>
        <w:t xml:space="preserve"> (Reserva Federal, activo total, serie WALCL)</w:t>
      </w:r>
      <w:r>
        <w:t>. El Tratado prohíbe al banco central «la adquisición directa» de deuda a los Estados</w:t>
      </w:r>
      <w:r>
        <w:t xml:space="preserve"> (Tratado de Funcionamiento de la UE, art. 123.1)</w:t>
      </w:r>
      <w:r>
        <w:t>; el Tribunal de Justicia declaró que sí le autoriza a comprarla «en los mercados secundarios»</w:t>
      </w:r>
      <w:r>
        <w:t xml:space="preserve"> (sentencia Gauweiler, C-62/14, 16-6-2015)</w:t>
      </w:r>
      <w:r>
        <w:t xml:space="preserve">. </w:t>
      </w:r>
      <w:r>
        <w:t>[20.00-3.1 y 3.4; cifras corregidas con las series del BCE]</w:t>
      </w:r>
    </w:p>
    <w:p>
      <w:r>
        <w:rPr>
          <w:b/>
        </w:rPr>
        <w:t>La deuda mundial.</w:t>
      </w:r>
      <w:r>
        <w:t xml:space="preserve"> A 31 de marzo de 2026, la deuda mundial marcó un récord de casi 353 billones de dólares, y la proporción sobre el PIB mundial «se mantuvo estable en el 305 %»</w:t>
      </w:r>
      <w:r>
        <w:t xml:space="preserve"> [original: «global debt/GDP ratio remained stable at 305%»]</w:t>
      </w:r>
      <w:r>
        <w:t xml:space="preserve"> (Institute of International Finance, Global Debt Monitor, resumen público de 6-5-2026)</w:t>
      </w:r>
      <w:r>
        <w:t>. El Banco Mundial describe cuatro olas de deuda desde 1970; en su gráfico, «la deuda mundial tiende a subir desde 1970 y alcanzó cerca del 230 % del PIB en 2018»</w:t>
      </w:r>
      <w:r>
        <w:t xml:space="preserve"> [original: «Global debt has trended up since 1970, reaching about 230 percent of GDP in 2018.»]</w:t>
      </w:r>
      <w:r>
        <w:t xml:space="preserve"> (Banco Mundial, Global Waves of Debt, 2021, cap. 1)</w:t>
      </w:r>
      <w:r>
        <w:t xml:space="preserve">. </w:t>
      </w:r>
      <w:r>
        <w:t>[24.00-4.1 y 4.2]</w:t>
      </w:r>
    </w:p>
    <w:p>
      <w:r>
        <w:rPr>
          <w:b/>
        </w:rPr>
        <w:t>El dólar.</w:t>
      </w:r>
      <w:r>
        <w:t xml:space="preserve"> Con los precios de agosto de 2026, un dólar compra algo más del 12 % de lo que compraba de media en 1971 (cálculo de la obra con el índice de precios de la Oficina de Estadísticas Laborales de Estados Unidos). </w:t>
      </w:r>
      <w:r>
        <w:t>[24.00-4.1]</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t xml:space="preserve"> [original: «the time at which a country left the gold standard is the key determinant of the severity of its depression and the timing of its recovery has been shown to hold for literally dozens of countries»]</w:t>
      </w:r>
      <w:r>
        <w:t xml:space="preserve"> (Bernanke, «Money, Gold, and the Great Depression» (Dinero, oro y la Gran Depresión), 2-3-2004)</w:t>
      </w:r>
      <w:r>
        <w:t>. Y la versión simple, «un banco privado controla la moneda», no resiste la fuente: «El Sistema de la Reserva Federal no es "propiedad" de nadie»</w:t>
      </w:r>
      <w:r>
        <w:t xml:space="preserve"> [original: «The Federal Reserve System is not "owned" by anyone.»]</w:t>
      </w:r>
      <w:r>
        <w:t>; los bancos miembros tienen por ley acciones de su Banco de Reserva, pero los Bancos de Reserva no buscan beneficio y deben transferir sus ganancias netas al Tesoro</w:t>
      </w:r>
      <w:r>
        <w:t xml:space="preserve"> (Reserva Federal, «Who owns the Federal Reserve?»)</w:t>
      </w:r>
      <w:r>
        <w:t xml:space="preserve">. Es una estructura mixta, no una propiedad privada sin más. </w:t>
      </w:r>
      <w:r>
        <w:t>[24.00-5.1 a 6.2]</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t xml:space="preserve"> (Diario de Sesiones del Congreso, Pleno, n.º 270)</w:t>
      </w:r>
      <w:r>
        <w:t>; en el Senado, el 7 de septiembre, con 236 emitidos, 233 a favor y 3 en contra</w:t>
      </w:r>
      <w:r>
        <w:t xml:space="preserve"> (Diario de Sesiones del Senado, Pleno, n.º 130)</w:t>
      </w:r>
      <w:r>
        <w:t>. No hubo referéndum: la Constitución solo lo exige si lo piden, en quince días, «una décima parte de los miembros de cualquiera de las Cámaras»</w:t>
      </w:r>
      <w:r>
        <w:t xml:space="preserve"> (Constitución, art. 167.3)</w:t>
      </w:r>
      <w:r>
        <w:t xml:space="preserve">, y no se pidió. </w:t>
      </w:r>
      <w:r>
        <w:t>[24.00-7.1 y 7.2]</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t xml:space="preserve"> (Estatuto de Roma, art. 7.1, BOE de 27-5-2002)</w:t>
      </w:r>
      <w:r>
        <w:t xml:space="preserve">. Prefiere llamarlo extracción estructural regresiva. </w:t>
      </w:r>
      <w:r>
        <w:t>[20.00-3.1]</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 </w:t>
      </w:r>
      <w:r>
        <w:t>[24.00-8.1 y 10.1 a 11.6]</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 </w:t>
      </w:r>
      <w:r>
        <w:t>[24.00-0.1 y 9.11]</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xml:space="preserve"> [original: «quantum ibi princeps capit de lucro, tantum necesse est ipsam communitatem habere de dampno»]</w:t>
      </w:r>
      <w:r>
        <w:t>. Y si el príncipe dijera que destina ese lucro al bien público, «no se le ha de creer, porque con la misma razón podría quitarme la túnica y decir que la necesita para el bien común»</w:t>
      </w:r>
      <w:r>
        <w:t xml:space="preserve"> [original: «non est credendum sibi, quia pari racione posset michi tunicam amouere et dicere quod ipse indiget ea pro communi commodo»]</w:t>
      </w:r>
      <w:r>
        <w:t xml:space="preserve"> (Oresme, De moneta, cap. XV, edición de Johnson, 1956)</w:t>
      </w:r>
      <w:r>
        <w:t xml:space="preserve">. </w:t>
      </w:r>
      <w:r>
        <w:t>[25.00-1.1 a 1.3; Oresme leído en latín]</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xml:space="preserve"> [original: «discordia, mortalitas, terre sterilitas et [m]onete vilitas»]</w:t>
      </w:r>
      <w:r>
        <w:t>. Y de la moneda nueva y peor dijo que «no solo contaminó a la antigua, sino que, por así decir, la expulsó»</w:t>
      </w:r>
      <w:r>
        <w:t xml:space="preserve"> [original: «que non solum infecit antiquam, sed, vt ita dicam, expugnauit»]</w:t>
      </w:r>
      <w:r>
        <w:t xml:space="preserve"> (Copérnico, Monete cudende ratio, antes de abril de 1526, transcripción de la Universidad de Toruń)</w:t>
      </w:r>
      <w:r>
        <w:t xml:space="preserve">. Leyó una versión alemana del tratado ante la Dieta de la Prusia Real, en Grudziądz, el 21 de marzo de 1522. Es la idea que después se llamó ley de Gresham. </w:t>
      </w:r>
      <w:r>
        <w:t>[25.00-2.1 a 2.3; Copérnico leído en latín]</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t xml:space="preserve"> (Azpilcueta, Comentario resolutorio de cambios, 1556; también en la edición de 1568)</w:t>
      </w:r>
      <w:r>
        <w:t xml:space="preserve">. Es una de las primeras formulaciones de la relación entre la cantidad de dinero y los precios. </w:t>
      </w:r>
      <w:r>
        <w:t>[25.00-3.1 a 3.3; leído en la edición castellana]</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t xml:space="preserve"> (Mariana, Tratado y discurso sobre la moneda de vellón, 1609, caps. III y XIII, en Biblioteca de Autores Españoles, t. 31, 1854, pp. 579, 580 y 593)</w:t>
      </w:r>
      <w:r>
        <w:t xml:space="preserve">. </w:t>
      </w:r>
      <w:r>
        <w:t>[25.00-4.1 a 4.3; leído en las páginas escaneadas]</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t xml:space="preserve"> [original: «I have a long time foreseen the Mischief and Ruine coming upon us by clipp'd Money, if it were not timely stopp'd»]</w:t>
      </w:r>
      <w:r>
        <w:t xml:space="preserve"> (Locke, Further Considerations Concerning Raising the Value of Money (Nuevas consideraciones sobre la subida del valor de la moneda), 1695, dedicatoria; transcripción de la Universidad de Oxford)</w:t>
      </w:r>
      <w:r>
        <w:t xml:space="preserve">. </w:t>
      </w:r>
      <w:r>
        <w:t>[25.00-5.1 a 5.3]</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xml:space="preserve"> [original: «By a continuing process of inflation, governments can confiscate, secretly and unobserved, an important part of the wealth of their citizens.»]</w:t>
      </w:r>
      <w:r>
        <w:t>. Y: «No hay medio más sutil ni más seguro de trastocar las bases de la sociedad que envilecer la moneda»</w:t>
      </w:r>
      <w:r>
        <w:t xml:space="preserve"> [original: «There is no subtler, no surer means of overturning the existing basis of society than to debauch the currency.»]</w:t>
      </w:r>
      <w:r>
        <w:t xml:space="preserve"> (Keynes, The Economic Consequences of the Peace (Las consecuencias económicas de la paz), 1919, cap. VI)</w:t>
      </w:r>
      <w:r>
        <w:t>. Keynes atribuía la idea a Lenin con un «se dice que»; un estudio de 2009 rastreó su origen en una entrevista publicada por periódicos de Londres y de Nueva York en abril de 1919</w:t>
      </w:r>
      <w:r>
        <w:t xml:space="preserve"> (White y Schuler, Journal of Economic Perspectives, 2009, resumen)</w:t>
      </w:r>
      <w:r>
        <w:t xml:space="preserve">. </w:t>
      </w:r>
      <w:r>
        <w:t>[25.00-9.1 a 9.3]</w:t>
      </w:r>
    </w:p>
    <w:p>
      <w:pPr>
        <w:spacing w:after="60"/>
        <w:ind w:left="510" w:hanging="397"/>
      </w:pPr>
      <w:r>
        <w:rPr>
          <w:b w:val="0"/>
        </w:rPr>
        <w:t xml:space="preserve">7. </w:t>
      </w:r>
      <w:r>
        <w:rPr>
          <w:b/>
        </w:rPr>
        <w:t>Greenspan, 1966.</w:t>
      </w:r>
      <w:r>
        <w:t xml:space="preserve"> «El gasto con déficit es simplemente un plan para la confiscación "oculta" de la riqueza»</w:t>
      </w:r>
      <w:r>
        <w:t xml:space="preserve"> [original: «Deficit spending is simply a scheme for the "hidden" confiscation of wealth.»]</w:t>
      </w:r>
      <w:r>
        <w:t>; «En ausencia del patrón oro, no hay forma de proteger el ahorro de la confiscación por la inflación. No hay un depósito de valor seguro»</w:t>
      </w:r>
      <w:r>
        <w:t xml:space="preserve"> [original: «In the absence of the gold standard, there is no way to protect savings from confiscation through inflation. There is no safe store of value.»]</w:t>
      </w:r>
      <w:r>
        <w:t xml:space="preserve"> (Greenspan, «Gold and Economic Freedom» (El oro y la libertad económica), 1966, reproducido en el Congressional Record, 7-8-1974)</w:t>
      </w:r>
      <w:r>
        <w:t>. Su autor presidió después la Reserva Federal</w:t>
      </w:r>
      <w:r>
        <w:t xml:space="preserve"> (fuente secundaria)</w:t>
      </w:r>
      <w:r>
        <w:t xml:space="preserve">. </w:t>
      </w:r>
      <w:r>
        <w:t>[25.00-6.1 a 6.3]</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xml:space="preserve"> [original: «In the Second Part of Faust, the state can get rid of its debt to begin with. […] In due course, however, all this activity degenerates into inflation, destroying the monetary system because the money rapidly loses its value.»]</w:t>
      </w:r>
      <w:r>
        <w:t>. Y sobre la tentación de crear dinero a voluntad: «esa tentación existe sin duda, y muchos en la historia monetaria han sucumbido a ella»</w:t>
      </w:r>
      <w:r>
        <w:t xml:space="preserve"> [original: «this temptation certainly does exist, and many in monetary history have succumbed to it»]</w:t>
      </w:r>
      <w:r>
        <w:t xml:space="preserve"> (Weidmann, «Money creation and responsibility» (Creación de dinero y responsabilidad), Fráncfort, 18-9-2012, Banco de Pagos Internacionales)</w:t>
      </w:r>
      <w:r>
        <w:t xml:space="preserve">. </w:t>
      </w:r>
      <w:r>
        <w:t>[25.00-7.1 a 7.3]</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 </w:t>
      </w:r>
      <w:r>
        <w:t>[25.00-10.1 y 10.2]</w:t>
      </w:r>
    </w:p>
    <w:p>
      <w:r>
        <w:rPr>
          <w:b/>
        </w:rPr>
        <w:t>Lectura del autor:</w:t>
      </w:r>
      <w:r>
        <w:t xml:space="preserve"> no es un aviso nuevo. Es la pesa que se aligera, que la ley de Dios llama abominación (</w:t>
      </w:r>
      <w:r>
        <w:t>3.2</w:t>
      </w:r>
      <w:r>
        <w:t xml:space="preserve">, P4). </w:t>
      </w:r>
      <w:r>
        <w:t>[34.00-7.6]</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 xml:space="preserve">). </w:t>
      </w:r>
      <w:r>
        <w:t>[glosario 6.2; 00.0-4.4]</w:t>
      </w:r>
    </w:p>
    <w:p>
      <w:r>
        <w:rPr>
          <w:b/>
        </w:rPr>
        <w:t>Un solo lenguaje.</w:t>
      </w:r>
      <w:r>
        <w:t xml:space="preserve"> Todo se da en euros, también los años de la peseta, al tipo fijo de «166,386 pesetas españolas»</w:t>
      </w:r>
      <w:r>
        <w:t xml:space="preserve"> (Reglamento (CE) 2866/98, art. 1)</w:t>
      </w:r>
      <w:r>
        <w:t>. El euro sustituyó a la peseta el 1 de enero de 1999, y sus billetes y monedas «serán los únicos de curso legal en el territorio nacional»</w:t>
      </w:r>
      <w:r>
        <w:t xml:space="preserve"> (Ley 46/1998, art. 3)</w:t>
      </w:r>
      <w:r>
        <w:t xml:space="preserve">. Convertir no cambia ninguna proporción. </w:t>
      </w:r>
      <w:r>
        <w:t>[34.00-7.2 y 16.20]</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t xml:space="preserve"> (INE, índice de precios de consumo, variación de diciembre a diciembre desde 1971; cálculo de la obra)</w:t>
      </w:r>
      <w:r>
        <w:t>. Y ese 2 % es la meta oficial: los Tratados encargan a los bancos centrales «mantener la estabilidad de precios»</w:t>
      </w:r>
      <w:r>
        <w:t xml:space="preserve"> (Tratado de Funcionamiento de la UE, art. 127.1)</w:t>
      </w:r>
      <w:r>
        <w:t>, y el Banco Central Europeo la concreta así: «aspirar a una inflación del 2 % a medio plazo»</w:t>
      </w:r>
      <w:r>
        <w:t xml:space="preserve"> [original: «aiming for 2% inflation over the medium term»]</w:t>
      </w:r>
      <w:r>
        <w:t xml:space="preserve"> (BCE, estrategia de política monetaria)</w:t>
      </w:r>
      <w:r>
        <w:t xml:space="preserve">. A eso se le llama estabilidad. </w:t>
      </w:r>
      <w:r>
        <w:t>[34.00-7.3, 7.4 y 16.21]</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Periodo</w:t>
            </w:r>
          </w:p>
        </w:tc>
        <w:tc>
          <w:tcPr>
            <w:tcW w:type="dxa" w:w="3061"/>
            <w:shd w:val="clear" w:color="auto" w:fill="F1EEE8"/>
          </w:tcPr>
          <w:p>
            <w:pPr>
              <w:spacing w:after="20" w:line="264" w:lineRule="auto"/>
            </w:pPr>
            <w:r>
              <w:rPr>
                <w:b/>
              </w:rPr>
            </w:r>
            <w:r>
              <w:rPr>
                <w:rFonts w:ascii="Segoe UI" w:hAnsi="Segoe UI" w:eastAsia="Segoe UI" w:cs="Segoe UI"/>
                <w:b/>
                <w:color w:val="1F1D1A"/>
                <w:sz w:val="18"/>
              </w:rPr>
              <w:t>Subida de precios en esos cinco años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compran hoy 100 € guardados el 1-1-1971</w:t>
            </w:r>
          </w:p>
        </w:tc>
      </w:tr>
      <w:tr>
        <w:tc>
          <w:tcPr>
            <w:tcW w:type="dxa" w:w="3061"/>
          </w:tcPr>
          <w:p>
            <w:pPr>
              <w:spacing w:after="20" w:line="264" w:lineRule="auto"/>
            </w:pPr>
            <w:r/>
            <w:r>
              <w:rPr>
                <w:rFonts w:ascii="Segoe UI" w:hAnsi="Segoe UI" w:eastAsia="Segoe UI" w:cs="Segoe UI"/>
                <w:color w:val="1F1D1A"/>
                <w:sz w:val="18"/>
              </w:rPr>
              <w:t>1971-1975</w:t>
            </w:r>
          </w:p>
        </w:tc>
        <w:tc>
          <w:tcPr>
            <w:tcW w:type="dxa" w:w="3061"/>
          </w:tcPr>
          <w:p>
            <w:pPr>
              <w:spacing w:after="20" w:line="264" w:lineRule="auto"/>
            </w:pPr>
            <w:r/>
            <w:r>
              <w:rPr>
                <w:rFonts w:ascii="Segoe UI" w:hAnsi="Segoe UI" w:eastAsia="Segoe UI" w:cs="Segoe UI"/>
                <w:color w:val="1F1D1A"/>
                <w:sz w:val="18"/>
              </w:rPr>
              <w:t>80,7 %</w:t>
            </w:r>
          </w:p>
        </w:tc>
        <w:tc>
          <w:tcPr>
            <w:tcW w:type="dxa" w:w="3061"/>
          </w:tcPr>
          <w:p>
            <w:pPr>
              <w:spacing w:after="20" w:line="264" w:lineRule="auto"/>
            </w:pPr>
            <w:r/>
            <w:r>
              <w:rPr>
                <w:rFonts w:ascii="Segoe UI" w:hAnsi="Segoe UI" w:eastAsia="Segoe UI" w:cs="Segoe UI"/>
                <w:color w:val="1F1D1A"/>
                <w:sz w:val="18"/>
              </w:rPr>
              <w:t>55,35 €</w:t>
            </w:r>
          </w:p>
        </w:tc>
      </w:tr>
      <w:tr>
        <w:tc>
          <w:tcPr>
            <w:tcW w:type="dxa" w:w="3061"/>
          </w:tcPr>
          <w:p>
            <w:pPr>
              <w:spacing w:after="20" w:line="264" w:lineRule="auto"/>
            </w:pPr>
            <w:r/>
            <w:r>
              <w:rPr>
                <w:rFonts w:ascii="Segoe UI" w:hAnsi="Segoe UI" w:eastAsia="Segoe UI" w:cs="Segoe UI"/>
                <w:color w:val="1F1D1A"/>
                <w:sz w:val="18"/>
              </w:rPr>
              <w:t>1976-1980</w:t>
            </w:r>
          </w:p>
        </w:tc>
        <w:tc>
          <w:tcPr>
            <w:tcW w:type="dxa" w:w="3061"/>
          </w:tcPr>
          <w:p>
            <w:pPr>
              <w:spacing w:after="20" w:line="264" w:lineRule="auto"/>
            </w:pPr>
            <w:r/>
            <w:r>
              <w:rPr>
                <w:rFonts w:ascii="Segoe UI" w:hAnsi="Segoe UI" w:eastAsia="Segoe UI" w:cs="Segoe UI"/>
                <w:color w:val="1F1D1A"/>
                <w:sz w:val="18"/>
              </w:rPr>
              <w:t>134,9 %</w:t>
            </w:r>
          </w:p>
        </w:tc>
        <w:tc>
          <w:tcPr>
            <w:tcW w:type="dxa" w:w="3061"/>
          </w:tcPr>
          <w:p>
            <w:pPr>
              <w:spacing w:after="20" w:line="264" w:lineRule="auto"/>
            </w:pPr>
            <w:r/>
            <w:r>
              <w:rPr>
                <w:rFonts w:ascii="Segoe UI" w:hAnsi="Segoe UI" w:eastAsia="Segoe UI" w:cs="Segoe UI"/>
                <w:color w:val="1F1D1A"/>
                <w:sz w:val="18"/>
              </w:rPr>
              <w:t>23,56 €</w:t>
            </w:r>
          </w:p>
        </w:tc>
      </w:tr>
      <w:tr>
        <w:tc>
          <w:tcPr>
            <w:tcW w:type="dxa" w:w="3061"/>
          </w:tcPr>
          <w:p>
            <w:pPr>
              <w:spacing w:after="20" w:line="264" w:lineRule="auto"/>
            </w:pPr>
            <w:r/>
            <w:r>
              <w:rPr>
                <w:rFonts w:ascii="Segoe UI" w:hAnsi="Segoe UI" w:eastAsia="Segoe UI" w:cs="Segoe UI"/>
                <w:color w:val="1F1D1A"/>
                <w:sz w:val="18"/>
              </w:rPr>
              <w:t>1981-1985</w:t>
            </w:r>
          </w:p>
        </w:tc>
        <w:tc>
          <w:tcPr>
            <w:tcW w:type="dxa" w:w="3061"/>
          </w:tcPr>
          <w:p>
            <w:pPr>
              <w:spacing w:after="20" w:line="264" w:lineRule="auto"/>
            </w:pPr>
            <w:r/>
            <w:r>
              <w:rPr>
                <w:rFonts w:ascii="Segoe UI" w:hAnsi="Segoe UI" w:eastAsia="Segoe UI" w:cs="Segoe UI"/>
                <w:color w:val="1F1D1A"/>
                <w:sz w:val="18"/>
              </w:rPr>
              <w:t>72,6 %</w:t>
            </w:r>
          </w:p>
        </w:tc>
        <w:tc>
          <w:tcPr>
            <w:tcW w:type="dxa" w:w="3061"/>
          </w:tcPr>
          <w:p>
            <w:pPr>
              <w:spacing w:after="20" w:line="264" w:lineRule="auto"/>
            </w:pPr>
            <w:r/>
            <w:r>
              <w:rPr>
                <w:rFonts w:ascii="Segoe UI" w:hAnsi="Segoe UI" w:eastAsia="Segoe UI" w:cs="Segoe UI"/>
                <w:color w:val="1F1D1A"/>
                <w:sz w:val="18"/>
              </w:rPr>
              <w:t>13,65 €</w:t>
            </w:r>
          </w:p>
        </w:tc>
      </w:tr>
      <w:tr>
        <w:tc>
          <w:tcPr>
            <w:tcW w:type="dxa" w:w="3061"/>
          </w:tcPr>
          <w:p>
            <w:pPr>
              <w:spacing w:after="20" w:line="264" w:lineRule="auto"/>
            </w:pPr>
            <w:r/>
            <w:r>
              <w:rPr>
                <w:rFonts w:ascii="Segoe UI" w:hAnsi="Segoe UI" w:eastAsia="Segoe UI" w:cs="Segoe UI"/>
                <w:color w:val="1F1D1A"/>
                <w:sz w:val="18"/>
              </w:rPr>
              <w:t>1986-1990</w:t>
            </w:r>
          </w:p>
        </w:tc>
        <w:tc>
          <w:tcPr>
            <w:tcW w:type="dxa" w:w="3061"/>
          </w:tcPr>
          <w:p>
            <w:pPr>
              <w:spacing w:after="20" w:line="264" w:lineRule="auto"/>
            </w:pPr>
            <w:r/>
            <w:r>
              <w:rPr>
                <w:rFonts w:ascii="Segoe UI" w:hAnsi="Segoe UI" w:eastAsia="Segoe UI" w:cs="Segoe UI"/>
                <w:color w:val="1F1D1A"/>
                <w:sz w:val="18"/>
              </w:rPr>
              <w:t>36,4 %</w:t>
            </w:r>
          </w:p>
        </w:tc>
        <w:tc>
          <w:tcPr>
            <w:tcW w:type="dxa" w:w="3061"/>
          </w:tcPr>
          <w:p>
            <w:pPr>
              <w:spacing w:after="20" w:line="264" w:lineRule="auto"/>
            </w:pPr>
            <w:r/>
            <w:r>
              <w:rPr>
                <w:rFonts w:ascii="Segoe UI" w:hAnsi="Segoe UI" w:eastAsia="Segoe UI" w:cs="Segoe UI"/>
                <w:color w:val="1F1D1A"/>
                <w:sz w:val="18"/>
              </w:rPr>
              <w:t>10,01 €</w:t>
            </w:r>
          </w:p>
        </w:tc>
      </w:tr>
      <w:tr>
        <w:tc>
          <w:tcPr>
            <w:tcW w:type="dxa" w:w="3061"/>
          </w:tcPr>
          <w:p>
            <w:pPr>
              <w:spacing w:after="20" w:line="264" w:lineRule="auto"/>
            </w:pPr>
            <w:r/>
            <w:r>
              <w:rPr>
                <w:rFonts w:ascii="Segoe UI" w:hAnsi="Segoe UI" w:eastAsia="Segoe UI" w:cs="Segoe UI"/>
                <w:color w:val="1F1D1A"/>
                <w:sz w:val="18"/>
              </w:rPr>
              <w:t>1991-1995</w:t>
            </w:r>
          </w:p>
        </w:tc>
        <w:tc>
          <w:tcPr>
            <w:tcW w:type="dxa" w:w="3061"/>
          </w:tcPr>
          <w:p>
            <w:pPr>
              <w:spacing w:after="20" w:line="264" w:lineRule="auto"/>
            </w:pPr>
            <w:r/>
            <w:r>
              <w:rPr>
                <w:rFonts w:ascii="Segoe UI" w:hAnsi="Segoe UI" w:eastAsia="Segoe UI" w:cs="Segoe UI"/>
                <w:color w:val="1F1D1A"/>
                <w:sz w:val="18"/>
              </w:rPr>
              <w:t>26,8 %</w:t>
            </w:r>
          </w:p>
        </w:tc>
        <w:tc>
          <w:tcPr>
            <w:tcW w:type="dxa" w:w="3061"/>
          </w:tcPr>
          <w:p>
            <w:pPr>
              <w:spacing w:after="20" w:line="264" w:lineRule="auto"/>
            </w:pPr>
            <w:r/>
            <w:r>
              <w:rPr>
                <w:rFonts w:ascii="Segoe UI" w:hAnsi="Segoe UI" w:eastAsia="Segoe UI" w:cs="Segoe UI"/>
                <w:color w:val="1F1D1A"/>
                <w:sz w:val="18"/>
              </w:rPr>
              <w:t>7,89 €</w:t>
            </w:r>
          </w:p>
        </w:tc>
      </w:tr>
      <w:tr>
        <w:tc>
          <w:tcPr>
            <w:tcW w:type="dxa" w:w="3061"/>
          </w:tcPr>
          <w:p>
            <w:pPr>
              <w:spacing w:after="20" w:line="264" w:lineRule="auto"/>
            </w:pPr>
            <w:r/>
            <w:r>
              <w:rPr>
                <w:rFonts w:ascii="Segoe UI" w:hAnsi="Segoe UI" w:eastAsia="Segoe UI" w:cs="Segoe UI"/>
                <w:color w:val="1F1D1A"/>
                <w:sz w:val="18"/>
              </w:rPr>
              <w:t>1996-2000</w:t>
            </w:r>
          </w:p>
        </w:tc>
        <w:tc>
          <w:tcPr>
            <w:tcW w:type="dxa" w:w="3061"/>
          </w:tcPr>
          <w:p>
            <w:pPr>
              <w:spacing w:after="20" w:line="264" w:lineRule="auto"/>
            </w:pPr>
            <w:r/>
            <w:r>
              <w:rPr>
                <w:rFonts w:ascii="Segoe UI" w:hAnsi="Segoe UI" w:eastAsia="Segoe UI" w:cs="Segoe UI"/>
                <w:color w:val="1F1D1A"/>
                <w:sz w:val="18"/>
              </w:rPr>
              <w:t>14,2 %</w:t>
            </w:r>
          </w:p>
        </w:tc>
        <w:tc>
          <w:tcPr>
            <w:tcW w:type="dxa" w:w="3061"/>
          </w:tcPr>
          <w:p>
            <w:pPr>
              <w:spacing w:after="20" w:line="264" w:lineRule="auto"/>
            </w:pPr>
            <w:r/>
            <w:r>
              <w:rPr>
                <w:rFonts w:ascii="Segoe UI" w:hAnsi="Segoe UI" w:eastAsia="Segoe UI" w:cs="Segoe UI"/>
                <w:color w:val="1F1D1A"/>
                <w:sz w:val="18"/>
              </w:rPr>
              <w:t>6,91 €</w:t>
            </w:r>
          </w:p>
        </w:tc>
      </w:tr>
      <w:tr>
        <w:tc>
          <w:tcPr>
            <w:tcW w:type="dxa" w:w="3061"/>
          </w:tcPr>
          <w:p>
            <w:pPr>
              <w:spacing w:after="20" w:line="264" w:lineRule="auto"/>
            </w:pPr>
            <w:r/>
            <w:r>
              <w:rPr>
                <w:rFonts w:ascii="Segoe UI" w:hAnsi="Segoe UI" w:eastAsia="Segoe UI" w:cs="Segoe UI"/>
                <w:color w:val="1F1D1A"/>
                <w:sz w:val="18"/>
              </w:rPr>
              <w:t>2001-2005</w:t>
            </w:r>
          </w:p>
        </w:tc>
        <w:tc>
          <w:tcPr>
            <w:tcW w:type="dxa" w:w="3061"/>
          </w:tcPr>
          <w:p>
            <w:pPr>
              <w:spacing w:after="20" w:line="264" w:lineRule="auto"/>
            </w:pPr>
            <w:r/>
            <w:r>
              <w:rPr>
                <w:rFonts w:ascii="Segoe UI" w:hAnsi="Segoe UI" w:eastAsia="Segoe UI" w:cs="Segoe UI"/>
                <w:color w:val="1F1D1A"/>
                <w:sz w:val="18"/>
              </w:rPr>
              <w:t>17,3 %</w:t>
            </w:r>
          </w:p>
        </w:tc>
        <w:tc>
          <w:tcPr>
            <w:tcW w:type="dxa" w:w="3061"/>
          </w:tcPr>
          <w:p>
            <w:pPr>
              <w:spacing w:after="20" w:line="264" w:lineRule="auto"/>
            </w:pPr>
            <w:r/>
            <w:r>
              <w:rPr>
                <w:rFonts w:ascii="Segoe UI" w:hAnsi="Segoe UI" w:eastAsia="Segoe UI" w:cs="Segoe UI"/>
                <w:color w:val="1F1D1A"/>
                <w:sz w:val="18"/>
              </w:rPr>
              <w:t>5,89 €</w:t>
            </w:r>
          </w:p>
        </w:tc>
      </w:tr>
      <w:tr>
        <w:tc>
          <w:tcPr>
            <w:tcW w:type="dxa" w:w="3061"/>
          </w:tcPr>
          <w:p>
            <w:pPr>
              <w:spacing w:after="20" w:line="264" w:lineRule="auto"/>
            </w:pPr>
            <w:r/>
            <w:r>
              <w:rPr>
                <w:rFonts w:ascii="Segoe UI" w:hAnsi="Segoe UI" w:eastAsia="Segoe UI" w:cs="Segoe UI"/>
                <w:color w:val="1F1D1A"/>
                <w:sz w:val="18"/>
              </w:rPr>
              <w:t>2006-2010</w:t>
            </w:r>
          </w:p>
        </w:tc>
        <w:tc>
          <w:tcPr>
            <w:tcW w:type="dxa" w:w="3061"/>
          </w:tcPr>
          <w:p>
            <w:pPr>
              <w:spacing w:after="20" w:line="264" w:lineRule="auto"/>
            </w:pPr>
            <w:r/>
            <w:r>
              <w:rPr>
                <w:rFonts w:ascii="Segoe UI" w:hAnsi="Segoe UI" w:eastAsia="Segoe UI" w:cs="Segoe UI"/>
                <w:color w:val="1F1D1A"/>
                <w:sz w:val="18"/>
              </w:rPr>
              <w:t>12,7 %</w:t>
            </w:r>
          </w:p>
        </w:tc>
        <w:tc>
          <w:tcPr>
            <w:tcW w:type="dxa" w:w="3061"/>
          </w:tcPr>
          <w:p>
            <w:pPr>
              <w:spacing w:after="20" w:line="264" w:lineRule="auto"/>
            </w:pPr>
            <w:r/>
            <w:r>
              <w:rPr>
                <w:rFonts w:ascii="Segoe UI" w:hAnsi="Segoe UI" w:eastAsia="Segoe UI" w:cs="Segoe UI"/>
                <w:color w:val="1F1D1A"/>
                <w:sz w:val="18"/>
              </w:rPr>
              <w:t>5,23 €</w:t>
            </w:r>
          </w:p>
        </w:tc>
      </w:tr>
      <w:tr>
        <w:tc>
          <w:tcPr>
            <w:tcW w:type="dxa" w:w="3061"/>
          </w:tcPr>
          <w:p>
            <w:pPr>
              <w:spacing w:after="20" w:line="264" w:lineRule="auto"/>
            </w:pPr>
            <w:r/>
            <w:r>
              <w:rPr>
                <w:rFonts w:ascii="Segoe UI" w:hAnsi="Segoe UI" w:eastAsia="Segoe UI" w:cs="Segoe UI"/>
                <w:color w:val="1F1D1A"/>
                <w:sz w:val="18"/>
              </w:rPr>
              <w:t>2011-2015</w:t>
            </w:r>
          </w:p>
        </w:tc>
        <w:tc>
          <w:tcPr>
            <w:tcW w:type="dxa" w:w="3061"/>
          </w:tcPr>
          <w:p>
            <w:pPr>
              <w:spacing w:after="20" w:line="264" w:lineRule="auto"/>
            </w:pPr>
            <w:r/>
            <w:r>
              <w:rPr>
                <w:rFonts w:ascii="Segoe UI" w:hAnsi="Segoe UI" w:eastAsia="Segoe UI" w:cs="Segoe UI"/>
                <w:color w:val="1F1D1A"/>
                <w:sz w:val="18"/>
              </w:rPr>
              <w:t>4,6 %</w:t>
            </w:r>
          </w:p>
        </w:tc>
        <w:tc>
          <w:tcPr>
            <w:tcW w:type="dxa" w:w="3061"/>
          </w:tcPr>
          <w:p>
            <w:pPr>
              <w:spacing w:after="20" w:line="264" w:lineRule="auto"/>
            </w:pPr>
            <w:r/>
            <w:r>
              <w:rPr>
                <w:rFonts w:ascii="Segoe UI" w:hAnsi="Segoe UI" w:eastAsia="Segoe UI" w:cs="Segoe UI"/>
                <w:color w:val="1F1D1A"/>
                <w:sz w:val="18"/>
              </w:rPr>
              <w:t>5,00 €</w:t>
            </w:r>
          </w:p>
        </w:tc>
      </w:tr>
      <w:tr>
        <w:tc>
          <w:tcPr>
            <w:tcW w:type="dxa" w:w="3061"/>
          </w:tcPr>
          <w:p>
            <w:pPr>
              <w:spacing w:after="20" w:line="264" w:lineRule="auto"/>
            </w:pPr>
            <w:r/>
            <w:r>
              <w:rPr>
                <w:rFonts w:ascii="Segoe UI" w:hAnsi="Segoe UI" w:eastAsia="Segoe UI" w:cs="Segoe UI"/>
                <w:color w:val="1F1D1A"/>
                <w:sz w:val="18"/>
              </w:rPr>
              <w:t>2016-2020</w:t>
            </w:r>
          </w:p>
        </w:tc>
        <w:tc>
          <w:tcPr>
            <w:tcW w:type="dxa" w:w="3061"/>
          </w:tcPr>
          <w:p>
            <w:pPr>
              <w:spacing w:after="20" w:line="264" w:lineRule="auto"/>
            </w:pPr>
            <w:r/>
            <w:r>
              <w:rPr>
                <w:rFonts w:ascii="Segoe UI" w:hAnsi="Segoe UI" w:eastAsia="Segoe UI" w:cs="Segoe UI"/>
                <w:color w:val="1F1D1A"/>
                <w:sz w:val="18"/>
              </w:rPr>
              <w:t>4,3 %</w:t>
            </w:r>
          </w:p>
        </w:tc>
        <w:tc>
          <w:tcPr>
            <w:tcW w:type="dxa" w:w="3061"/>
          </w:tcPr>
          <w:p>
            <w:pPr>
              <w:spacing w:after="20" w:line="264" w:lineRule="auto"/>
            </w:pPr>
            <w:r/>
            <w:r>
              <w:rPr>
                <w:rFonts w:ascii="Segoe UI" w:hAnsi="Segoe UI" w:eastAsia="Segoe UI" w:cs="Segoe UI"/>
                <w:color w:val="1F1D1A"/>
                <w:sz w:val="18"/>
              </w:rPr>
              <w:t>4,79 €</w:t>
            </w:r>
          </w:p>
        </w:tc>
      </w:tr>
      <w:tr>
        <w:tc>
          <w:tcPr>
            <w:tcW w:type="dxa" w:w="3061"/>
          </w:tcPr>
          <w:p>
            <w:pPr>
              <w:spacing w:after="20" w:line="264" w:lineRule="auto"/>
            </w:pPr>
            <w:r/>
            <w:r>
              <w:rPr>
                <w:rFonts w:ascii="Segoe UI" w:hAnsi="Segoe UI" w:eastAsia="Segoe UI" w:cs="Segoe UI"/>
                <w:color w:val="1F1D1A"/>
                <w:sz w:val="18"/>
              </w:rPr>
              <w:t>2021-2025</w:t>
            </w:r>
          </w:p>
        </w:tc>
        <w:tc>
          <w:tcPr>
            <w:tcW w:type="dxa" w:w="3061"/>
          </w:tcPr>
          <w:p>
            <w:pPr>
              <w:spacing w:after="20" w:line="264" w:lineRule="auto"/>
            </w:pPr>
            <w:r/>
            <w:r>
              <w:rPr>
                <w:rFonts w:ascii="Segoe UI" w:hAnsi="Segoe UI" w:eastAsia="Segoe UI" w:cs="Segoe UI"/>
                <w:color w:val="1F1D1A"/>
                <w:sz w:val="18"/>
              </w:rPr>
              <w:t>22,8 %</w:t>
            </w:r>
          </w:p>
        </w:tc>
        <w:tc>
          <w:tcPr>
            <w:tcW w:type="dxa" w:w="3061"/>
          </w:tcPr>
          <w:p>
            <w:pPr>
              <w:spacing w:after="20" w:line="264" w:lineRule="auto"/>
            </w:pPr>
            <w:r/>
            <w:r>
              <w:rPr>
                <w:rFonts w:ascii="Segoe UI" w:hAnsi="Segoe UI" w:eastAsia="Segoe UI" w:cs="Segoe UI"/>
                <w:color w:val="1F1D1A"/>
                <w:sz w:val="18"/>
              </w:rPr>
              <w:t>3,90 €</w:t>
            </w:r>
          </w:p>
        </w:tc>
      </w:tr>
    </w:tbl>
    <w:p>
      <w:pPr>
        <w:spacing w:after="80"/>
      </w:pPr>
    </w:p>
    <w:p>
      <w:r>
        <w:t xml:space="preserve">Fuente: INE, índice de precios de consumo, diciembre a diciembre, encadenado; el cuadro completo, en el </w:t>
      </w:r>
      <w:r>
        <w:t>anexo C</w:t>
      </w:r>
      <w:r>
        <w:t xml:space="preserve">. </w:t>
      </w:r>
      <w:r>
        <w:t>[34.00-8.1 a 8.13]</w:t>
      </w:r>
    </w:p>
    <w:p>
      <w:r>
        <w:rPr>
          <w:b/>
        </w:rPr>
        <w:t>Lo que compran 100 euros guardados, medido en pan.</w:t>
      </w:r>
      <w:r>
        <w:t xml:space="preserve"> Una barra de pan de unos 250 gramos es el producto de referencia que usó el Ministerio de Agricultura en su estudio del pan de 2009</w:t>
      </w:r>
      <w:r>
        <w:t xml:space="preserve"> (Ministerio de Agricultura, Estudio de la cadena de valor y formación de precios del pan, julio de 2009)</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t xml:space="preserve"> [original: «Undue expansion or increase, from overissue; -- said of currency. [U.S.]»]</w:t>
      </w:r>
      <w:r>
        <w:t xml:space="preserve"> (Webster's Revised Unabridged Dictionary (Diccionario Webster revisado e íntegro), 1913, Proyecto Gutenberg n.º 29765, s. v. «inflation»)</w:t>
      </w:r>
      <w:r>
        <w:t>. La Academia la define hoy como «Elevación del nivel general de precios»</w:t>
      </w:r>
      <w:r>
        <w:t xml:space="preserve"> (Diccionario de la lengua española, edición actual)</w:t>
      </w:r>
      <w:r>
        <w:t xml:space="preserve"> (</w:t>
      </w:r>
      <w:r>
        <w:t>5.1</w:t>
      </w:r>
      <w:r>
        <w:t>, n.º 22).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Año</w:t>
            </w:r>
          </w:p>
        </w:tc>
        <w:tc>
          <w:tcPr>
            <w:tcW w:type="dxa" w:w="3061"/>
            <w:shd w:val="clear" w:color="auto" w:fill="F1EEE8"/>
          </w:tcPr>
          <w:p>
            <w:pPr>
              <w:spacing w:after="20" w:line="264" w:lineRule="auto"/>
            </w:pPr>
            <w:r>
              <w:rPr>
                <w:b/>
              </w:rPr>
            </w:r>
            <w:r>
              <w:rPr>
                <w:rFonts w:ascii="Segoe UI" w:hAnsi="Segoe UI" w:eastAsia="Segoe UI" w:cs="Segoe UI"/>
                <w:b/>
                <w:color w:val="1F1D1A"/>
                <w:sz w:val="18"/>
              </w:rPr>
              <w:t>Precio del kilo de pan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Barras de 250 g que compran 100 euros</w:t>
            </w:r>
          </w:p>
        </w:tc>
      </w:tr>
      <w:tr>
        <w:tc>
          <w:tcPr>
            <w:tcW w:type="dxa" w:w="3061"/>
          </w:tcPr>
          <w:p>
            <w:pPr>
              <w:spacing w:after="20" w:line="264" w:lineRule="auto"/>
            </w:pPr>
            <w:r/>
            <w:r>
              <w:rPr>
                <w:rFonts w:ascii="Segoe UI" w:hAnsi="Segoe UI" w:eastAsia="Segoe UI" w:cs="Segoe UI"/>
                <w:color w:val="1F1D1A"/>
                <w:sz w:val="18"/>
              </w:rPr>
              <w:t>1987</w:t>
            </w:r>
          </w:p>
        </w:tc>
        <w:tc>
          <w:tcPr>
            <w:tcW w:type="dxa" w:w="3061"/>
          </w:tcPr>
          <w:p>
            <w:pPr>
              <w:spacing w:after="20" w:line="264" w:lineRule="auto"/>
            </w:pPr>
            <w:r/>
            <w:r>
              <w:rPr>
                <w:rFonts w:ascii="Segoe UI" w:hAnsi="Segoe UI" w:eastAsia="Segoe UI" w:cs="Segoe UI"/>
                <w:color w:val="1F1D1A"/>
                <w:sz w:val="18"/>
              </w:rPr>
              <w:t>0,68</w:t>
            </w:r>
          </w:p>
        </w:tc>
        <w:tc>
          <w:tcPr>
            <w:tcW w:type="dxa" w:w="3061"/>
          </w:tcPr>
          <w:p>
            <w:pPr>
              <w:spacing w:after="20" w:line="264" w:lineRule="auto"/>
            </w:pPr>
            <w:r/>
            <w:r>
              <w:rPr>
                <w:rFonts w:ascii="Segoe UI" w:hAnsi="Segoe UI" w:eastAsia="Segoe UI" w:cs="Segoe UI"/>
                <w:color w:val="1F1D1A"/>
                <w:sz w:val="18"/>
              </w:rPr>
              <w:t>592</w:t>
            </w:r>
          </w:p>
        </w:tc>
      </w:tr>
      <w:tr>
        <w:tc>
          <w:tcPr>
            <w:tcW w:type="dxa" w:w="3061"/>
          </w:tcPr>
          <w:p>
            <w:pPr>
              <w:spacing w:after="20" w:line="264" w:lineRule="auto"/>
            </w:pPr>
            <w:r/>
            <w:r>
              <w:rPr>
                <w:rFonts w:ascii="Segoe UI" w:hAnsi="Segoe UI" w:eastAsia="Segoe UI" w:cs="Segoe UI"/>
                <w:color w:val="1F1D1A"/>
                <w:sz w:val="18"/>
              </w:rPr>
              <w:t>1999</w:t>
            </w:r>
          </w:p>
        </w:tc>
        <w:tc>
          <w:tcPr>
            <w:tcW w:type="dxa" w:w="3061"/>
          </w:tcPr>
          <w:p>
            <w:pPr>
              <w:spacing w:after="20" w:line="264" w:lineRule="auto"/>
            </w:pPr>
            <w:r/>
            <w:r>
              <w:rPr>
                <w:rFonts w:ascii="Segoe UI" w:hAnsi="Segoe UI" w:eastAsia="Segoe UI" w:cs="Segoe UI"/>
                <w:color w:val="1F1D1A"/>
                <w:sz w:val="18"/>
              </w:rPr>
              <w:t>1,51</w:t>
            </w:r>
          </w:p>
        </w:tc>
        <w:tc>
          <w:tcPr>
            <w:tcW w:type="dxa" w:w="3061"/>
          </w:tcPr>
          <w:p>
            <w:pPr>
              <w:spacing w:after="20" w:line="264" w:lineRule="auto"/>
            </w:pPr>
            <w:r/>
            <w:r>
              <w:rPr>
                <w:rFonts w:ascii="Segoe UI" w:hAnsi="Segoe UI" w:eastAsia="Segoe UI" w:cs="Segoe UI"/>
                <w:color w:val="1F1D1A"/>
                <w:sz w:val="18"/>
              </w:rPr>
              <w:t>265</w:t>
            </w:r>
          </w:p>
        </w:tc>
      </w:tr>
      <w:tr>
        <w:tc>
          <w:tcPr>
            <w:tcW w:type="dxa" w:w="3061"/>
          </w:tcPr>
          <w:p>
            <w:pPr>
              <w:spacing w:after="20" w:line="264" w:lineRule="auto"/>
            </w:pPr>
            <w:r/>
            <w:r>
              <w:rPr>
                <w:rFonts w:ascii="Segoe UI" w:hAnsi="Segoe UI" w:eastAsia="Segoe UI" w:cs="Segoe UI"/>
                <w:color w:val="1F1D1A"/>
                <w:sz w:val="18"/>
              </w:rPr>
              <w:t>2000</w:t>
            </w:r>
          </w:p>
        </w:tc>
        <w:tc>
          <w:tcPr>
            <w:tcW w:type="dxa" w:w="3061"/>
          </w:tcPr>
          <w:p>
            <w:pPr>
              <w:spacing w:after="20" w:line="264" w:lineRule="auto"/>
            </w:pPr>
            <w:r/>
            <w:r>
              <w:rPr>
                <w:rFonts w:ascii="Segoe UI" w:hAnsi="Segoe UI" w:eastAsia="Segoe UI" w:cs="Segoe UI"/>
                <w:color w:val="1F1D1A"/>
                <w:sz w:val="18"/>
              </w:rPr>
              <w:t>1,64</w:t>
            </w:r>
          </w:p>
        </w:tc>
        <w:tc>
          <w:tcPr>
            <w:tcW w:type="dxa" w:w="3061"/>
          </w:tcPr>
          <w:p>
            <w:pPr>
              <w:spacing w:after="20" w:line="264" w:lineRule="auto"/>
            </w:pPr>
            <w:r/>
            <w:r>
              <w:rPr>
                <w:rFonts w:ascii="Segoe UI" w:hAnsi="Segoe UI" w:eastAsia="Segoe UI" w:cs="Segoe UI"/>
                <w:color w:val="1F1D1A"/>
                <w:sz w:val="18"/>
              </w:rPr>
              <w:t>245</w:t>
            </w:r>
          </w:p>
        </w:tc>
      </w:tr>
      <w:tr>
        <w:tc>
          <w:tcPr>
            <w:tcW w:type="dxa" w:w="3061"/>
          </w:tcPr>
          <w:p>
            <w:pPr>
              <w:spacing w:after="20" w:line="264" w:lineRule="auto"/>
            </w:pPr>
            <w:r/>
            <w:r>
              <w:rPr>
                <w:rFonts w:ascii="Segoe UI" w:hAnsi="Segoe UI" w:eastAsia="Segoe UI" w:cs="Segoe UI"/>
                <w:color w:val="1F1D1A"/>
                <w:sz w:val="18"/>
              </w:rPr>
              <w:t>2001</w:t>
            </w:r>
          </w:p>
        </w:tc>
        <w:tc>
          <w:tcPr>
            <w:tcW w:type="dxa" w:w="3061"/>
          </w:tcPr>
          <w:p>
            <w:pPr>
              <w:spacing w:after="20" w:line="264" w:lineRule="auto"/>
            </w:pPr>
            <w:r/>
            <w:r>
              <w:rPr>
                <w:rFonts w:ascii="Segoe UI" w:hAnsi="Segoe UI" w:eastAsia="Segoe UI" w:cs="Segoe UI"/>
                <w:color w:val="1F1D1A"/>
                <w:sz w:val="18"/>
              </w:rPr>
              <w:t>1,71</w:t>
            </w:r>
          </w:p>
        </w:tc>
        <w:tc>
          <w:tcPr>
            <w:tcW w:type="dxa" w:w="3061"/>
          </w:tcPr>
          <w:p>
            <w:pPr>
              <w:spacing w:after="20" w:line="264" w:lineRule="auto"/>
            </w:pPr>
            <w:r/>
            <w:r>
              <w:rPr>
                <w:rFonts w:ascii="Segoe UI" w:hAnsi="Segoe UI" w:eastAsia="Segoe UI" w:cs="Segoe UI"/>
                <w:color w:val="1F1D1A"/>
                <w:sz w:val="18"/>
              </w:rPr>
              <w:t>234</w:t>
            </w:r>
          </w:p>
        </w:tc>
      </w:tr>
      <w:tr>
        <w:tc>
          <w:tcPr>
            <w:tcW w:type="dxa" w:w="3061"/>
          </w:tcPr>
          <w:p>
            <w:pPr>
              <w:spacing w:after="20" w:line="264" w:lineRule="auto"/>
            </w:pPr>
            <w:r/>
            <w:r>
              <w:rPr>
                <w:rFonts w:ascii="Segoe UI" w:hAnsi="Segoe UI" w:eastAsia="Segoe UI" w:cs="Segoe UI"/>
                <w:color w:val="1F1D1A"/>
                <w:sz w:val="18"/>
              </w:rPr>
              <w:t>2002</w:t>
            </w:r>
          </w:p>
        </w:tc>
        <w:tc>
          <w:tcPr>
            <w:tcW w:type="dxa" w:w="3061"/>
          </w:tcPr>
          <w:p>
            <w:pPr>
              <w:spacing w:after="20" w:line="264" w:lineRule="auto"/>
            </w:pPr>
            <w:r/>
            <w:r>
              <w:rPr>
                <w:rFonts w:ascii="Segoe UI" w:hAnsi="Segoe UI" w:eastAsia="Segoe UI" w:cs="Segoe UI"/>
                <w:color w:val="1F1D1A"/>
                <w:sz w:val="18"/>
              </w:rPr>
              <w:t>1,82</w:t>
            </w:r>
          </w:p>
        </w:tc>
        <w:tc>
          <w:tcPr>
            <w:tcW w:type="dxa" w:w="3061"/>
          </w:tcPr>
          <w:p>
            <w:pPr>
              <w:spacing w:after="20" w:line="264" w:lineRule="auto"/>
            </w:pPr>
            <w:r/>
            <w:r>
              <w:rPr>
                <w:rFonts w:ascii="Segoe UI" w:hAnsi="Segoe UI" w:eastAsia="Segoe UI" w:cs="Segoe UI"/>
                <w:color w:val="1F1D1A"/>
                <w:sz w:val="18"/>
              </w:rPr>
              <w:t>219</w:t>
            </w:r>
          </w:p>
        </w:tc>
      </w:tr>
      <w:tr>
        <w:tc>
          <w:tcPr>
            <w:tcW w:type="dxa" w:w="3061"/>
          </w:tcPr>
          <w:p>
            <w:pPr>
              <w:spacing w:after="20" w:line="264" w:lineRule="auto"/>
            </w:pPr>
            <w:r/>
            <w:r>
              <w:rPr>
                <w:rFonts w:ascii="Segoe UI" w:hAnsi="Segoe UI" w:eastAsia="Segoe UI" w:cs="Segoe UI"/>
                <w:color w:val="1F1D1A"/>
                <w:sz w:val="18"/>
              </w:rPr>
              <w:t>2003</w:t>
            </w:r>
          </w:p>
        </w:tc>
        <w:tc>
          <w:tcPr>
            <w:tcW w:type="dxa" w:w="3061"/>
          </w:tcPr>
          <w:p>
            <w:pPr>
              <w:spacing w:after="20" w:line="264" w:lineRule="auto"/>
            </w:pPr>
            <w:r/>
            <w:r>
              <w:rPr>
                <w:rFonts w:ascii="Segoe UI" w:hAnsi="Segoe UI" w:eastAsia="Segoe UI" w:cs="Segoe UI"/>
                <w:color w:val="1F1D1A"/>
                <w:sz w:val="18"/>
              </w:rPr>
              <w:t>1,85</w:t>
            </w:r>
          </w:p>
        </w:tc>
        <w:tc>
          <w:tcPr>
            <w:tcW w:type="dxa" w:w="3061"/>
          </w:tcPr>
          <w:p>
            <w:pPr>
              <w:spacing w:after="20" w:line="264" w:lineRule="auto"/>
            </w:pPr>
            <w:r/>
            <w:r>
              <w:rPr>
                <w:rFonts w:ascii="Segoe UI" w:hAnsi="Segoe UI" w:eastAsia="Segoe UI" w:cs="Segoe UI"/>
                <w:color w:val="1F1D1A"/>
                <w:sz w:val="18"/>
              </w:rPr>
              <w:t>216</w:t>
            </w:r>
          </w:p>
        </w:tc>
      </w:tr>
      <w:tr>
        <w:tc>
          <w:tcPr>
            <w:tcW w:type="dxa" w:w="3061"/>
          </w:tcPr>
          <w:p>
            <w:pPr>
              <w:spacing w:after="20" w:line="264" w:lineRule="auto"/>
            </w:pPr>
            <w:r/>
            <w:r>
              <w:rPr>
                <w:rFonts w:ascii="Segoe UI" w:hAnsi="Segoe UI" w:eastAsia="Segoe UI" w:cs="Segoe UI"/>
                <w:color w:val="1F1D1A"/>
                <w:sz w:val="18"/>
              </w:rPr>
              <w:t>2004</w:t>
            </w:r>
          </w:p>
        </w:tc>
        <w:tc>
          <w:tcPr>
            <w:tcW w:type="dxa" w:w="3061"/>
          </w:tcPr>
          <w:p>
            <w:pPr>
              <w:spacing w:after="20" w:line="264" w:lineRule="auto"/>
            </w:pPr>
            <w:r/>
            <w:r>
              <w:rPr>
                <w:rFonts w:ascii="Segoe UI" w:hAnsi="Segoe UI" w:eastAsia="Segoe UI" w:cs="Segoe UI"/>
                <w:color w:val="1F1D1A"/>
                <w:sz w:val="18"/>
              </w:rPr>
              <w:t>1,98</w:t>
            </w:r>
          </w:p>
        </w:tc>
        <w:tc>
          <w:tcPr>
            <w:tcW w:type="dxa" w:w="3061"/>
          </w:tcPr>
          <w:p>
            <w:pPr>
              <w:spacing w:after="20" w:line="264" w:lineRule="auto"/>
            </w:pPr>
            <w:r/>
            <w:r>
              <w:rPr>
                <w:rFonts w:ascii="Segoe UI" w:hAnsi="Segoe UI" w:eastAsia="Segoe UI" w:cs="Segoe UI"/>
                <w:color w:val="1F1D1A"/>
                <w:sz w:val="18"/>
              </w:rPr>
              <w:t>202</w:t>
            </w:r>
          </w:p>
        </w:tc>
      </w:tr>
      <w:tr>
        <w:tc>
          <w:tcPr>
            <w:tcW w:type="dxa" w:w="3061"/>
          </w:tcPr>
          <w:p>
            <w:pPr>
              <w:spacing w:after="20" w:line="264" w:lineRule="auto"/>
            </w:pPr>
            <w:r/>
            <w:r>
              <w:rPr>
                <w:rFonts w:ascii="Segoe UI" w:hAnsi="Segoe UI" w:eastAsia="Segoe UI" w:cs="Segoe UI"/>
                <w:color w:val="1F1D1A"/>
                <w:sz w:val="18"/>
              </w:rPr>
              <w:t>2005</w:t>
            </w:r>
          </w:p>
        </w:tc>
        <w:tc>
          <w:tcPr>
            <w:tcW w:type="dxa" w:w="3061"/>
          </w:tcPr>
          <w:p>
            <w:pPr>
              <w:spacing w:after="20" w:line="264" w:lineRule="auto"/>
            </w:pPr>
            <w:r/>
            <w:r>
              <w:rPr>
                <w:rFonts w:ascii="Segoe UI" w:hAnsi="Segoe UI" w:eastAsia="Segoe UI" w:cs="Segoe UI"/>
                <w:color w:val="1F1D1A"/>
                <w:sz w:val="18"/>
              </w:rPr>
              <w:t>2,01</w:t>
            </w:r>
          </w:p>
        </w:tc>
        <w:tc>
          <w:tcPr>
            <w:tcW w:type="dxa" w:w="3061"/>
          </w:tcPr>
          <w:p>
            <w:pPr>
              <w:spacing w:after="20" w:line="264" w:lineRule="auto"/>
            </w:pPr>
            <w:r/>
            <w:r>
              <w:rPr>
                <w:rFonts w:ascii="Segoe UI" w:hAnsi="Segoe UI" w:eastAsia="Segoe UI" w:cs="Segoe UI"/>
                <w:color w:val="1F1D1A"/>
                <w:sz w:val="18"/>
              </w:rPr>
              <w:t>199</w:t>
            </w:r>
          </w:p>
        </w:tc>
      </w:tr>
      <w:tr>
        <w:tc>
          <w:tcPr>
            <w:tcW w:type="dxa" w:w="3061"/>
          </w:tcPr>
          <w:p>
            <w:pPr>
              <w:spacing w:after="20" w:line="264" w:lineRule="auto"/>
            </w:pPr>
            <w:r/>
            <w:r>
              <w:rPr>
                <w:rFonts w:ascii="Segoe UI" w:hAnsi="Segoe UI" w:eastAsia="Segoe UI" w:cs="Segoe UI"/>
                <w:color w:val="1F1D1A"/>
                <w:sz w:val="18"/>
              </w:rPr>
              <w:t>2006</w:t>
            </w:r>
          </w:p>
        </w:tc>
        <w:tc>
          <w:tcPr>
            <w:tcW w:type="dxa" w:w="3061"/>
          </w:tcPr>
          <w:p>
            <w:pPr>
              <w:spacing w:after="20" w:line="264" w:lineRule="auto"/>
            </w:pPr>
            <w:r/>
            <w:r>
              <w:rPr>
                <w:rFonts w:ascii="Segoe UI" w:hAnsi="Segoe UI" w:eastAsia="Segoe UI" w:cs="Segoe UI"/>
                <w:color w:val="1F1D1A"/>
                <w:sz w:val="18"/>
              </w:rPr>
              <w:t>2,09</w:t>
            </w:r>
          </w:p>
        </w:tc>
        <w:tc>
          <w:tcPr>
            <w:tcW w:type="dxa" w:w="3061"/>
          </w:tcPr>
          <w:p>
            <w:pPr>
              <w:spacing w:after="20" w:line="264" w:lineRule="auto"/>
            </w:pPr>
            <w:r/>
            <w:r>
              <w:rPr>
                <w:rFonts w:ascii="Segoe UI" w:hAnsi="Segoe UI" w:eastAsia="Segoe UI" w:cs="Segoe UI"/>
                <w:color w:val="1F1D1A"/>
                <w:sz w:val="18"/>
              </w:rPr>
              <w:t>191</w:t>
            </w:r>
          </w:p>
        </w:tc>
      </w:tr>
      <w:tr>
        <w:tc>
          <w:tcPr>
            <w:tcW w:type="dxa" w:w="3061"/>
          </w:tcPr>
          <w:p>
            <w:pPr>
              <w:spacing w:after="20" w:line="264" w:lineRule="auto"/>
            </w:pPr>
            <w:r/>
            <w:r>
              <w:rPr>
                <w:rFonts w:ascii="Segoe UI" w:hAnsi="Segoe UI" w:eastAsia="Segoe UI" w:cs="Segoe UI"/>
                <w:color w:val="1F1D1A"/>
                <w:sz w:val="18"/>
              </w:rPr>
              <w:t>2007</w:t>
            </w:r>
          </w:p>
        </w:tc>
        <w:tc>
          <w:tcPr>
            <w:tcW w:type="dxa" w:w="3061"/>
          </w:tcPr>
          <w:p>
            <w:pPr>
              <w:spacing w:after="20" w:line="264" w:lineRule="auto"/>
            </w:pPr>
            <w:r/>
            <w:r>
              <w:rPr>
                <w:rFonts w:ascii="Segoe UI" w:hAnsi="Segoe UI" w:eastAsia="Segoe UI" w:cs="Segoe UI"/>
                <w:color w:val="1F1D1A"/>
                <w:sz w:val="18"/>
              </w:rPr>
              <w:t>2,16</w:t>
            </w:r>
          </w:p>
        </w:tc>
        <w:tc>
          <w:tcPr>
            <w:tcW w:type="dxa" w:w="3061"/>
          </w:tcPr>
          <w:p>
            <w:pPr>
              <w:spacing w:after="20" w:line="264" w:lineRule="auto"/>
            </w:pPr>
            <w:r/>
            <w:r>
              <w:rPr>
                <w:rFonts w:ascii="Segoe UI" w:hAnsi="Segoe UI" w:eastAsia="Segoe UI" w:cs="Segoe UI"/>
                <w:color w:val="1F1D1A"/>
                <w:sz w:val="18"/>
              </w:rPr>
              <w:t>186</w:t>
            </w:r>
          </w:p>
        </w:tc>
      </w:tr>
      <w:tr>
        <w:tc>
          <w:tcPr>
            <w:tcW w:type="dxa" w:w="3061"/>
          </w:tcPr>
          <w:p>
            <w:pPr>
              <w:spacing w:after="20" w:line="264" w:lineRule="auto"/>
            </w:pPr>
            <w:r/>
            <w:r>
              <w:rPr>
                <w:rFonts w:ascii="Segoe UI" w:hAnsi="Segoe UI" w:eastAsia="Segoe UI" w:cs="Segoe UI"/>
                <w:color w:val="1F1D1A"/>
                <w:sz w:val="18"/>
              </w:rPr>
              <w:t>2008</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2009</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2010</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2011</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2012</w:t>
            </w:r>
          </w:p>
        </w:tc>
        <w:tc>
          <w:tcPr>
            <w:tcW w:type="dxa" w:w="3061"/>
          </w:tcPr>
          <w:p>
            <w:pPr>
              <w:spacing w:after="20" w:line="264" w:lineRule="auto"/>
            </w:pPr>
            <w:r/>
            <w:r>
              <w:rPr>
                <w:rFonts w:ascii="Segoe UI" w:hAnsi="Segoe UI" w:eastAsia="Segoe UI" w:cs="Segoe UI"/>
                <w:color w:val="1F1D1A"/>
                <w:sz w:val="18"/>
              </w:rPr>
              <w:t>2,35</w:t>
            </w:r>
          </w:p>
        </w:tc>
        <w:tc>
          <w:tcPr>
            <w:tcW w:type="dxa" w:w="3061"/>
          </w:tcPr>
          <w:p>
            <w:pPr>
              <w:spacing w:after="20" w:line="264" w:lineRule="auto"/>
            </w:pPr>
            <w:r/>
            <w:r>
              <w:rPr>
                <w:rFonts w:ascii="Segoe UI" w:hAnsi="Segoe UI" w:eastAsia="Segoe UI" w:cs="Segoe UI"/>
                <w:color w:val="1F1D1A"/>
                <w:sz w:val="18"/>
              </w:rPr>
              <w:t>170</w:t>
            </w:r>
          </w:p>
        </w:tc>
      </w:tr>
      <w:tr>
        <w:tc>
          <w:tcPr>
            <w:tcW w:type="dxa" w:w="3061"/>
          </w:tcPr>
          <w:p>
            <w:pPr>
              <w:spacing w:after="20" w:line="264" w:lineRule="auto"/>
            </w:pPr>
            <w:r/>
            <w:r>
              <w:rPr>
                <w:rFonts w:ascii="Segoe UI" w:hAnsi="Segoe UI" w:eastAsia="Segoe UI" w:cs="Segoe UI"/>
                <w:color w:val="1F1D1A"/>
                <w:sz w:val="18"/>
              </w:rPr>
              <w:t>2013</w:t>
            </w:r>
          </w:p>
        </w:tc>
        <w:tc>
          <w:tcPr>
            <w:tcW w:type="dxa" w:w="3061"/>
          </w:tcPr>
          <w:p>
            <w:pPr>
              <w:spacing w:after="20" w:line="264" w:lineRule="auto"/>
            </w:pPr>
            <w:r/>
            <w:r>
              <w:rPr>
                <w:rFonts w:ascii="Segoe UI" w:hAnsi="Segoe UI" w:eastAsia="Segoe UI" w:cs="Segoe UI"/>
                <w:color w:val="1F1D1A"/>
                <w:sz w:val="18"/>
              </w:rPr>
              <w:t>2,33</w:t>
            </w:r>
          </w:p>
        </w:tc>
        <w:tc>
          <w:tcPr>
            <w:tcW w:type="dxa" w:w="3061"/>
          </w:tcPr>
          <w:p>
            <w:pPr>
              <w:spacing w:after="20" w:line="264" w:lineRule="auto"/>
            </w:pPr>
            <w:r/>
            <w:r>
              <w:rPr>
                <w:rFonts w:ascii="Segoe UI" w:hAnsi="Segoe UI" w:eastAsia="Segoe UI" w:cs="Segoe UI"/>
                <w:color w:val="1F1D1A"/>
                <w:sz w:val="18"/>
              </w:rPr>
              <w:t>172</w:t>
            </w:r>
          </w:p>
        </w:tc>
      </w:tr>
      <w:tr>
        <w:tc>
          <w:tcPr>
            <w:tcW w:type="dxa" w:w="3061"/>
          </w:tcPr>
          <w:p>
            <w:pPr>
              <w:spacing w:after="20" w:line="264" w:lineRule="auto"/>
            </w:pPr>
            <w:r/>
            <w:r>
              <w:rPr>
                <w:rFonts w:ascii="Segoe UI" w:hAnsi="Segoe UI" w:eastAsia="Segoe UI" w:cs="Segoe UI"/>
                <w:color w:val="1F1D1A"/>
                <w:sz w:val="18"/>
              </w:rPr>
              <w:t>2014</w:t>
            </w:r>
          </w:p>
        </w:tc>
        <w:tc>
          <w:tcPr>
            <w:tcW w:type="dxa" w:w="3061"/>
          </w:tcPr>
          <w:p>
            <w:pPr>
              <w:spacing w:after="20" w:line="264" w:lineRule="auto"/>
            </w:pPr>
            <w:r/>
            <w:r>
              <w:rPr>
                <w:rFonts w:ascii="Segoe UI" w:hAnsi="Segoe UI" w:eastAsia="Segoe UI" w:cs="Segoe UI"/>
                <w:color w:val="1F1D1A"/>
                <w:sz w:val="18"/>
              </w:rPr>
              <w:t>2,37</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2015</w:t>
            </w:r>
          </w:p>
        </w:tc>
        <w:tc>
          <w:tcPr>
            <w:tcW w:type="dxa" w:w="3061"/>
          </w:tcPr>
          <w:p>
            <w:pPr>
              <w:spacing w:after="20" w:line="264" w:lineRule="auto"/>
            </w:pPr>
            <w:r/>
            <w:r>
              <w:rPr>
                <w:rFonts w:ascii="Segoe UI" w:hAnsi="Segoe UI" w:eastAsia="Segoe UI" w:cs="Segoe UI"/>
                <w:color w:val="1F1D1A"/>
                <w:sz w:val="18"/>
              </w:rPr>
              <w:t>2,41</w:t>
            </w:r>
          </w:p>
        </w:tc>
        <w:tc>
          <w:tcPr>
            <w:tcW w:type="dxa" w:w="3061"/>
          </w:tcPr>
          <w:p>
            <w:pPr>
              <w:spacing w:after="20" w:line="264" w:lineRule="auto"/>
            </w:pPr>
            <w:r/>
            <w:r>
              <w:rPr>
                <w:rFonts w:ascii="Segoe UI" w:hAnsi="Segoe UI" w:eastAsia="Segoe UI" w:cs="Segoe UI"/>
                <w:color w:val="1F1D1A"/>
                <w:sz w:val="18"/>
              </w:rPr>
              <w:t>166</w:t>
            </w:r>
          </w:p>
        </w:tc>
      </w:tr>
      <w:tr>
        <w:tc>
          <w:tcPr>
            <w:tcW w:type="dxa" w:w="3061"/>
          </w:tcPr>
          <w:p>
            <w:pPr>
              <w:spacing w:after="20" w:line="264" w:lineRule="auto"/>
            </w:pPr>
            <w:r/>
            <w:r>
              <w:rPr>
                <w:rFonts w:ascii="Segoe UI" w:hAnsi="Segoe UI" w:eastAsia="Segoe UI" w:cs="Segoe UI"/>
                <w:color w:val="1F1D1A"/>
                <w:sz w:val="18"/>
              </w:rPr>
              <w:t>2016</w:t>
            </w:r>
          </w:p>
        </w:tc>
        <w:tc>
          <w:tcPr>
            <w:tcW w:type="dxa" w:w="3061"/>
          </w:tcPr>
          <w:p>
            <w:pPr>
              <w:spacing w:after="20" w:line="264" w:lineRule="auto"/>
            </w:pPr>
            <w:r/>
            <w:r>
              <w:rPr>
                <w:rFonts w:ascii="Segoe UI" w:hAnsi="Segoe UI" w:eastAsia="Segoe UI" w:cs="Segoe UI"/>
                <w:color w:val="1F1D1A"/>
                <w:sz w:val="18"/>
              </w:rPr>
              <w:t>2,42</w:t>
            </w:r>
          </w:p>
        </w:tc>
        <w:tc>
          <w:tcPr>
            <w:tcW w:type="dxa" w:w="3061"/>
          </w:tcPr>
          <w:p>
            <w:pPr>
              <w:spacing w:after="20" w:line="264" w:lineRule="auto"/>
            </w:pPr>
            <w:r/>
            <w:r>
              <w:rPr>
                <w:rFonts w:ascii="Segoe UI" w:hAnsi="Segoe UI" w:eastAsia="Segoe UI" w:cs="Segoe UI"/>
                <w:color w:val="1F1D1A"/>
                <w:sz w:val="18"/>
              </w:rPr>
              <w:t>165</w:t>
            </w:r>
          </w:p>
        </w:tc>
      </w:tr>
      <w:tr>
        <w:tc>
          <w:tcPr>
            <w:tcW w:type="dxa" w:w="3061"/>
          </w:tcPr>
          <w:p>
            <w:pPr>
              <w:spacing w:after="20" w:line="264" w:lineRule="auto"/>
            </w:pPr>
            <w:r/>
            <w:r>
              <w:rPr>
                <w:rFonts w:ascii="Segoe UI" w:hAnsi="Segoe UI" w:eastAsia="Segoe UI" w:cs="Segoe UI"/>
                <w:color w:val="1F1D1A"/>
                <w:sz w:val="18"/>
              </w:rPr>
              <w:t>2017</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2018</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2019</w:t>
            </w:r>
          </w:p>
        </w:tc>
        <w:tc>
          <w:tcPr>
            <w:tcW w:type="dxa" w:w="3061"/>
          </w:tcPr>
          <w:p>
            <w:pPr>
              <w:spacing w:after="20" w:line="264" w:lineRule="auto"/>
            </w:pPr>
            <w:r/>
            <w:r>
              <w:rPr>
                <w:rFonts w:ascii="Segoe UI" w:hAnsi="Segoe UI" w:eastAsia="Segoe UI" w:cs="Segoe UI"/>
                <w:color w:val="1F1D1A"/>
                <w:sz w:val="18"/>
              </w:rPr>
              <w:t>2,43</w:t>
            </w:r>
          </w:p>
        </w:tc>
        <w:tc>
          <w:tcPr>
            <w:tcW w:type="dxa" w:w="3061"/>
          </w:tcPr>
          <w:p>
            <w:pPr>
              <w:spacing w:after="20" w:line="264" w:lineRule="auto"/>
            </w:pPr>
            <w:r/>
            <w:r>
              <w:rPr>
                <w:rFonts w:ascii="Segoe UI" w:hAnsi="Segoe UI" w:eastAsia="Segoe UI" w:cs="Segoe UI"/>
                <w:color w:val="1F1D1A"/>
                <w:sz w:val="18"/>
              </w:rPr>
              <w:t>164</w:t>
            </w:r>
          </w:p>
        </w:tc>
      </w:tr>
      <w:tr>
        <w:tc>
          <w:tcPr>
            <w:tcW w:type="dxa" w:w="3061"/>
          </w:tcPr>
          <w:p>
            <w:pPr>
              <w:spacing w:after="20" w:line="264" w:lineRule="auto"/>
            </w:pPr>
            <w:r/>
            <w:r>
              <w:rPr>
                <w:rFonts w:ascii="Segoe UI" w:hAnsi="Segoe UI" w:eastAsia="Segoe UI" w:cs="Segoe UI"/>
                <w:color w:val="1F1D1A"/>
                <w:sz w:val="18"/>
              </w:rPr>
              <w:t>2020</w:t>
            </w:r>
          </w:p>
        </w:tc>
        <w:tc>
          <w:tcPr>
            <w:tcW w:type="dxa" w:w="3061"/>
          </w:tcPr>
          <w:p>
            <w:pPr>
              <w:spacing w:after="20" w:line="264" w:lineRule="auto"/>
            </w:pPr>
            <w:r/>
            <w:r>
              <w:rPr>
                <w:rFonts w:ascii="Segoe UI" w:hAnsi="Segoe UI" w:eastAsia="Segoe UI" w:cs="Segoe UI"/>
                <w:color w:val="1F1D1A"/>
                <w:sz w:val="18"/>
              </w:rPr>
              <w:t>2,38</w:t>
            </w:r>
          </w:p>
        </w:tc>
        <w:tc>
          <w:tcPr>
            <w:tcW w:type="dxa" w:w="3061"/>
          </w:tcPr>
          <w:p>
            <w:pPr>
              <w:spacing w:after="20" w:line="264" w:lineRule="auto"/>
            </w:pPr>
            <w:r/>
            <w:r>
              <w:rPr>
                <w:rFonts w:ascii="Segoe UI" w:hAnsi="Segoe UI" w:eastAsia="Segoe UI" w:cs="Segoe UI"/>
                <w:color w:val="1F1D1A"/>
                <w:sz w:val="18"/>
              </w:rPr>
              <w:t>168</w:t>
            </w:r>
          </w:p>
        </w:tc>
      </w:tr>
      <w:tr>
        <w:tc>
          <w:tcPr>
            <w:tcW w:type="dxa" w:w="3061"/>
          </w:tcPr>
          <w:p>
            <w:pPr>
              <w:spacing w:after="20" w:line="264" w:lineRule="auto"/>
            </w:pPr>
            <w:r/>
            <w:r>
              <w:rPr>
                <w:rFonts w:ascii="Segoe UI" w:hAnsi="Segoe UI" w:eastAsia="Segoe UI" w:cs="Segoe UI"/>
                <w:color w:val="1F1D1A"/>
                <w:sz w:val="18"/>
              </w:rPr>
              <w:t>2021</w:t>
            </w:r>
          </w:p>
        </w:tc>
        <w:tc>
          <w:tcPr>
            <w:tcW w:type="dxa" w:w="3061"/>
          </w:tcPr>
          <w:p>
            <w:pPr>
              <w:spacing w:after="20" w:line="264" w:lineRule="auto"/>
            </w:pPr>
            <w:r/>
            <w:r>
              <w:rPr>
                <w:rFonts w:ascii="Segoe UI" w:hAnsi="Segoe UI" w:eastAsia="Segoe UI" w:cs="Segoe UI"/>
                <w:color w:val="1F1D1A"/>
                <w:sz w:val="18"/>
              </w:rPr>
              <w:t>2,36</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2022</w:t>
            </w:r>
          </w:p>
        </w:tc>
        <w:tc>
          <w:tcPr>
            <w:tcW w:type="dxa" w:w="3061"/>
          </w:tcPr>
          <w:p>
            <w:pPr>
              <w:spacing w:after="20" w:line="264" w:lineRule="auto"/>
            </w:pPr>
            <w:r/>
            <w:r>
              <w:rPr>
                <w:rFonts w:ascii="Segoe UI" w:hAnsi="Segoe UI" w:eastAsia="Segoe UI" w:cs="Segoe UI"/>
                <w:color w:val="1F1D1A"/>
                <w:sz w:val="18"/>
              </w:rPr>
              <w:t>2,52</w:t>
            </w:r>
          </w:p>
        </w:tc>
        <w:tc>
          <w:tcPr>
            <w:tcW w:type="dxa" w:w="3061"/>
          </w:tcPr>
          <w:p>
            <w:pPr>
              <w:spacing w:after="20" w:line="264" w:lineRule="auto"/>
            </w:pPr>
            <w:r/>
            <w:r>
              <w:rPr>
                <w:rFonts w:ascii="Segoe UI" w:hAnsi="Segoe UI" w:eastAsia="Segoe UI" w:cs="Segoe UI"/>
                <w:color w:val="1F1D1A"/>
                <w:sz w:val="18"/>
              </w:rPr>
              <w:t>159</w:t>
            </w:r>
          </w:p>
        </w:tc>
      </w:tr>
      <w:tr>
        <w:tc>
          <w:tcPr>
            <w:tcW w:type="dxa" w:w="3061"/>
          </w:tcPr>
          <w:p>
            <w:pPr>
              <w:spacing w:after="20" w:line="264" w:lineRule="auto"/>
            </w:pPr>
            <w:r/>
            <w:r>
              <w:rPr>
                <w:rFonts w:ascii="Segoe UI" w:hAnsi="Segoe UI" w:eastAsia="Segoe UI" w:cs="Segoe UI"/>
                <w:color w:val="1F1D1A"/>
                <w:sz w:val="18"/>
              </w:rPr>
              <w:t>2023</w:t>
            </w:r>
          </w:p>
        </w:tc>
        <w:tc>
          <w:tcPr>
            <w:tcW w:type="dxa" w:w="3061"/>
          </w:tcPr>
          <w:p>
            <w:pPr>
              <w:spacing w:after="20" w:line="264" w:lineRule="auto"/>
            </w:pPr>
            <w:r/>
            <w:r>
              <w:rPr>
                <w:rFonts w:ascii="Segoe UI" w:hAnsi="Segoe UI" w:eastAsia="Segoe UI" w:cs="Segoe UI"/>
                <w:color w:val="1F1D1A"/>
                <w:sz w:val="18"/>
              </w:rPr>
              <w:t>2,64</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2024</w:t>
            </w:r>
          </w:p>
        </w:tc>
        <w:tc>
          <w:tcPr>
            <w:tcW w:type="dxa" w:w="3061"/>
          </w:tcPr>
          <w:p>
            <w:pPr>
              <w:spacing w:after="20" w:line="264" w:lineRule="auto"/>
            </w:pPr>
            <w:r/>
            <w:r>
              <w:rPr>
                <w:rFonts w:ascii="Segoe UI" w:hAnsi="Segoe UI" w:eastAsia="Segoe UI" w:cs="Segoe UI"/>
                <w:color w:val="1F1D1A"/>
                <w:sz w:val="18"/>
              </w:rPr>
              <w:t>2,62</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2025</w:t>
            </w:r>
          </w:p>
        </w:tc>
        <w:tc>
          <w:tcPr>
            <w:tcW w:type="dxa" w:w="3061"/>
          </w:tcPr>
          <w:p>
            <w:pPr>
              <w:spacing w:after="20" w:line="264" w:lineRule="auto"/>
            </w:pPr>
            <w:r/>
            <w:r>
              <w:rPr>
                <w:rFonts w:ascii="Segoe UI" w:hAnsi="Segoe UI" w:eastAsia="Segoe UI" w:cs="Segoe UI"/>
                <w:color w:val="1F1D1A"/>
                <w:sz w:val="18"/>
              </w:rPr>
              <w:t>2,70</w:t>
            </w:r>
          </w:p>
        </w:tc>
        <w:tc>
          <w:tcPr>
            <w:tcW w:type="dxa" w:w="3061"/>
          </w:tcPr>
          <w:p>
            <w:pPr>
              <w:spacing w:after="20" w:line="264" w:lineRule="auto"/>
            </w:pPr>
            <w:r/>
            <w:r>
              <w:rPr>
                <w:rFonts w:ascii="Segoe UI" w:hAnsi="Segoe UI" w:eastAsia="Segoe UI" w:cs="Segoe UI"/>
                <w:color w:val="1F1D1A"/>
                <w:sz w:val="18"/>
              </w:rPr>
              <w:t>148</w:t>
            </w:r>
          </w:p>
        </w:tc>
      </w:tr>
    </w:tbl>
    <w:p>
      <w:pPr>
        <w:spacing w:after="80"/>
      </w:pPr>
    </w:p>
    <w:p>
      <w:r>
        <w:t>Cómo se lee: 1987 es el precio oficial máximo de la pieza de pan común en Madrid, 258 gramos a 29 pesetas</w:t>
      </w:r>
      <w:r>
        <w:t xml:space="preserve"> (BOE núm. 180, de 29-7-1987, Real Decreto 972/1987, anexo)</w:t>
      </w:r>
      <w:r>
        <w:t>; de 1999 a 2025 es el precio medio del pan que pagan los hogares, total de España</w:t>
      </w:r>
      <w:r>
        <w:t xml:space="preserve"> (Ministerio de Agricultura, Panel de consumo alimentario en hogares, datos anuales)</w:t>
      </w:r>
      <w:r>
        <w:t>. No son la misma medida: la primera es un precio fijado por ley para una pieza, y la segunda, lo que se paga de media. Cálculo de la obra: 100 euros divididos entre el precio de una barra de 250 gramos; 100 euros son 16.638,6 pesetas al cambio fijo de 166,386</w:t>
      </w:r>
      <w:r>
        <w:t xml:space="preserve"> (Reglamento (CE) 2866/98 del Consejo, art. 1)</w:t>
      </w:r>
      <w:r>
        <w:t>.</w:t>
      </w:r>
    </w:p>
    <w:p>
      <w:r>
        <w:t>Para comparar: los precios en general se multiplicaron por unas 3,5 veces de 1986 a 2025 (cuadro de arriba), y el precio del pan, de 1987 a 2025, por unas 4 (cálculo de la obra).</w:t>
      </w:r>
    </w:p>
    <w:p>
      <w:r>
        <w:t xml:space="preserve">Sin dato oficial del precio del pan: de 1988 a 1998 no se ha hallado en el Boletín Oficial del Estado, en los anuarios del INE ni en el Ministerio de Agricultura; y antes de 1986 el Boletín solo fijaba subidas y límites por kilo, no el precio. Por eso la tabla no empieza en 1971, como el cuadro de arriba. </w:t>
      </w:r>
      <w:r>
        <w:t>[cálculo de la obra; fuentes en la investigación del 9 y 10-oct-2026]</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t xml:space="preserve"> (INE)</w:t>
      </w:r>
      <w:r>
        <w:t xml:space="preserve">. </w:t>
      </w:r>
      <w:r>
        <w:t>[34.00-7.5]</w:t>
      </w:r>
    </w:p>
    <w:p>
      <w:r>
        <w:rPr>
          <w:b/>
        </w:rPr>
        <w:t>El salario mínimo y el salario medio.</w:t>
      </w:r>
      <w:r>
        <w:t xml:space="preserve"> El mínimo ha subido más que los precios: en 1970 era de «ciento veinte pesetas día o tres mil seiscientas pesetas mes»</w:t>
      </w:r>
      <w:r>
        <w:t xml:space="preserve"> (Decreto 720/1970)</w:t>
      </w:r>
      <w:r>
        <w:t>, unos 554 euros de 2025; en 2025, de 1.184 euros al mes</w:t>
      </w:r>
      <w:r>
        <w:t xml:space="preserve"> (Real Decreto 87/2025)</w:t>
      </w:r>
      <w:r>
        <w:t>. Pero no siempre: entre 1980 y 2005 bajó en euros de hoy, de 826 a 774, y el salto llegó en 2019, con «un incremento del 22,3 por ciento»</w:t>
      </w:r>
      <w:r>
        <w:t xml:space="preserve"> (Real Decreto 1462/2018, preámbulo)</w:t>
      </w:r>
      <w:r>
        <w:t>. El medio, no: en 2008, 21.883,42 euros al año; en 2024, 29.540,26; subió un 35,0 %, y los precios, un 35,1 %</w:t>
      </w:r>
      <w:r>
        <w:t xml:space="preserve"> (INE, Encuesta Anual de Estructura Salarial; índice de precios de consumo)</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t xml:space="preserve"> (OCDE, salario medio anual, precios constantes; cálculo de la obra)</w:t>
      </w:r>
      <w:r>
        <w:t xml:space="preserve">. </w:t>
      </w:r>
      <w:r>
        <w:t>[34.00-7.8, 9.1 a 10.11; 20.00-4.1]</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t xml:space="preserve"> (Ley 35/2006, art. 20; RDL 4/2024, exposición de motivos)</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t xml:space="preserve"> (Banco de España, Documento Ocasional n.º 2422, 2024, resumen y p. 24)</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t xml:space="preserve"> (AIReF, documento técnico sobre la variabilidad de los ingresos tributarios, 2025)</w:t>
      </w:r>
      <w:r>
        <w:t xml:space="preserve">. </w:t>
      </w:r>
      <w:r>
        <w:t>[34.00-7.9 y 16.23; 20.00-27.1 y 27.2]</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t xml:space="preserve"> (Eurostat, deuda e intereses de las administraciones públicas; INE, precios de diciembre a diciembre)</w:t>
      </w:r>
      <w:r>
        <w:t xml:space="preserve">. </w:t>
      </w:r>
      <w:r>
        <w:t>[34.00-7.10 y 11.1 a 11.9]</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 </w:t>
      </w:r>
      <w:r>
        <w:t>[34.00-7.7 y 16.26]</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 </w:t>
      </w:r>
      <w:r>
        <w:t>[34.00-7.3 a 7.10]</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 </w:t>
      </w:r>
      <w:r>
        <w:t>[34.00-7.1 y 7.11]</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xml:space="preserve">) la carga futura del déficit. Siempre con los tres perfiles, el asalariado, el autónomo y el societario, y con los costes indirectos. </w:t>
      </w:r>
      <w:r>
        <w:t>[glosario 6.3; 21.00-3.1]</w:t>
      </w:r>
    </w:p>
    <w:p>
      <w:r>
        <w:rPr>
          <w:b/>
        </w:rPr>
        <w:t>La cifra oficial.</w:t>
      </w:r>
      <w:r>
        <w:t xml:space="preserve"> En 2024, los impuestos y cotizaciones fueron el 37,3 % del PIB en España, frente al 40,3 % de la UE</w:t>
      </w:r>
      <w:r>
        <w:t xml:space="preserve"> (Eurostat, gov_10a_taxag)</w:t>
      </w:r>
      <w:r>
        <w:t xml:space="preserve">. Es una media sobre toda la economía, no la carga de una persona. </w:t>
      </w:r>
      <w:r>
        <w:t>[21.00-3.1; 20.00-2.1]</w:t>
      </w:r>
    </w:p>
    <w:p>
      <w:r>
        <w:rPr>
          <w:b/>
        </w:rPr>
        <w:t>El asalariado medio.</w:t>
      </w:r>
      <w:r>
        <w:t xml:space="preserve"> Soltero, sin hijos, con datos de 2025: cuesta a su empresa 39.481 euros al año</w:t>
      </w:r>
      <w:r>
        <w:t xml:space="preserve"> (Instituto Juan de Mariana, Impuestómetro 2026, con datos de Molinari y EY; estudio privado)</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t xml:space="preserve"> (OCDE, Taxing Wages, datos oficiales)</w:t>
      </w:r>
      <w:r>
        <w:t>. Cuenta solo el IRPF y las cotizaciones del trabajador y de la empresa</w:t>
      </w:r>
      <w:r>
        <w:t xml:space="preserve"> (OCDE, Taxing Wages, descomposición, datos oficiales)</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t xml:space="preserve"> (Instituto Juan de Mariana, Impuestómetro 2026, anexo 1; estudio privado)</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 xml:space="preserve">De cada 100 euros que paga la empresa, al menos 41 van a cotizaciones e IRPF; unos 48 con los demás impuestos de cada año; y hasta 53,6 con una hipótesis de reparto y una obligación futura. Le quedan 46,4. </w:t>
      </w:r>
      <w:r>
        <w:t>[21.00-3.2 a 3.8 y 3.15 a 3.23; 18.00-8.5]</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 </w:t>
      </w:r>
      <w:r>
        <w:t>[21.00-3.10 y 3.11]</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t xml:space="preserve"> (Orden PJC/297/2026, art. 18.1)</w:t>
      </w:r>
      <w:r>
        <w:t>, y un tipo del 31,5 %: 28,30 de contingencias comunes, 1,30 de profesionales, 0,90 de equidad intergeneracional, 0,90 de cese de actividad y 0,10 de formación</w:t>
      </w:r>
      <w:r>
        <w:t xml:space="preserve"> (arts. 18.2 y 37)</w:t>
      </w:r>
      <w:r>
        <w:t xml:space="preserve">.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 </w:t>
      </w:r>
      <w:r>
        <w:t>[21.00-3.12, 3.14 y 9.2]</w:t>
      </w:r>
    </w:p>
    <w:p>
      <w:r>
        <w:rPr>
          <w:b/>
        </w:rPr>
        <w:t>El autónomo con sociedad.</w:t>
      </w:r>
      <w:r>
        <w:t xml:space="preserve"> Si administra una sociedad con al menos un 25 % o es socio con al menos un 33 %, su base no puede ser inferior a la mínima del grupo 7 del Régimen General</w:t>
      </w:r>
      <w:r>
        <w:t xml:space="preserve"> (Ley General de la Seguridad Social, art. 308.1.a, regla 4.ª)</w:t>
      </w:r>
      <w:r>
        <w:t>: 1.424,40 euros al mes en 2026</w:t>
      </w:r>
      <w:r>
        <w:t xml:space="preserve"> (Orden PJC/297/2026, art. 3)</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t xml:space="preserve"> (Ley 27/2014, art. 29.1 y disposición transitoria cuadragésima cuarta)</w:t>
      </w:r>
      <w:r>
        <w:t xml:space="preserve">. Con el mismo valor generado, las cinco capas suman en torno al 42 % si todo se cobra como retribución, y al 48 % si se combina retribución y dividendos (cálculo de la obra). </w:t>
      </w:r>
      <w:r>
        <w:t>[21.00-3.13 y 9.3]</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t xml:space="preserve"> (Orden PJC/297/2026, arts. 4, 16 y 33)</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 xml:space="preserve">. </w:t>
      </w:r>
      <w:r>
        <w:t>[21.00-9.4 a 9.11]</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t xml:space="preserve"> (Ley 39/2015, art. 14.2)</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t xml:space="preserve"> (Ley 38/1999, art. 2.2)</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t xml:space="preserve"> (Real Decreto 1000/2010, art. 2)</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t xml:space="preserve"> (Real Decreto 439/2007, art. 68)</w:t>
      </w:r>
      <w:r>
        <w:t xml:space="preserve">. Hacerlo cuesta tiempo, o el sueldo y la cotización de quien lo haga, o los honorarios de la gestoría; no se ha encontrado ninguna cifra oficial de ese coste. </w:t>
      </w:r>
      <w:r>
        <w:t>[21.00-2.1, 7.2 a 7.5; 21.00-7.4]</w:t>
      </w:r>
    </w:p>
    <w:p>
      <w:r>
        <w:rPr>
          <w:b/>
        </w:rPr>
        <w:t>El tiempo de los trámites.</w:t>
      </w:r>
      <w:r>
        <w:t xml:space="preserve"> Una asociación de autónomos cifra en 226 horas al año el tiempo de cada autónomo en trámites, y, «Teniendo en cuenta un coste medio de 15 euros por hora», en 3.390 euros</w:t>
      </w:r>
      <w:r>
        <w:t xml:space="preserve"> (ATA, nota de 10-8-2026; asociación del sector)</w:t>
      </w:r>
      <w:r>
        <w:t>: unas cinco semanas y media de cuarenta horas. Para las pymes, otra fundación da 332 horas</w:t>
      </w:r>
      <w:r>
        <w:t xml:space="preserve"> (Fundación Civismo, 2021; estudio privado)</w:t>
      </w:r>
      <w:r>
        <w:t>. Y el Banco Mundial midió 143 horas al año para que una empresa mediana pague sus impuestos, menos que las 158,8 de los países ricos de la OCDE, pero con una tasa total del 47,0 % del beneficio, frente al 39,9 %</w:t>
      </w:r>
      <w:r>
        <w:t xml:space="preserve"> (Banco Mundial, Doing Business 2020, datos de 2018)</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xml:space="preserve">) lo valora en euros. </w:t>
      </w:r>
      <w:r>
        <w:t>[21.00-7.1, 7.5 a 7.9]</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t xml:space="preserve"> (OCDE, Pensions at a Glance 2025, datos oficiales)</w:t>
      </w:r>
      <w:r>
        <w:t>. La de jubilación se resolvió en abril de 2026 en 9,28 días de media, con un máximo legal de 90</w:t>
      </w:r>
      <w:r>
        <w:t xml:space="preserve"> (Seguridad Social, nota de 26-5-2026)</w:t>
      </w:r>
      <w:r>
        <w:t>. Y la ley obliga a que las pensiones contributivas mantengan «su poder adquisitivo»</w:t>
      </w:r>
      <w:r>
        <w:t xml:space="preserve"> (Ley General de la Seguridad Social, art. 58.1)</w:t>
      </w:r>
      <w:r>
        <w:t>.</w:t>
      </w:r>
    </w:p>
    <w:p>
      <w:pPr>
        <w:pStyle w:val="ListBullet"/>
      </w:pPr>
      <w:r>
        <w:rPr>
          <w:b/>
        </w:rPr>
        <w:t>Sanidad.</w:t>
      </w:r>
      <w:r>
        <w:t xml:space="preserve"> A 31 de diciembre de 2025, 853.509 pacientes esperaban una operación, con una espera media de 121 días, y el 21,6 % llevaba más de seis meses</w:t>
      </w:r>
      <w:r>
        <w:t xml:space="preserve"> (Ministerio de Sanidad, listas de espera)</w:t>
      </w:r>
      <w:r>
        <w:t>. La espera media era de 50 días en Madrid y de 173 en Andalucía</w:t>
      </w:r>
      <w:r>
        <w:t xml:space="preserve"> (ídem, datos por comunidad)</w:t>
      </w:r>
      <w:r>
        <w:t>. Para ver al médico de familia, 8,85 días. Aun así, valoran bien la atención el 78,5 % de los atendidos en primaria, el 77,8 % en el hospital y el 73,5 % en urgencias, y la satisfacción general es de 6,02 sobre 10</w:t>
      </w:r>
      <w:r>
        <w:t xml:space="preserve"> (Barómetro Sanitario, julio de 2025)</w:t>
      </w:r>
      <w:r>
        <w:t>. La esperanza de vida, 84,0 años, frente a 81,5 en la UE</w:t>
      </w:r>
      <w:r>
        <w:t xml:space="preserve"> (Eurostat, 2024)</w:t>
      </w:r>
      <w:r>
        <w:t>.</w:t>
      </w:r>
    </w:p>
    <w:p>
      <w:pPr>
        <w:pStyle w:val="ListBullet"/>
      </w:pPr>
      <w:r>
        <w:rPr>
          <w:b/>
        </w:rPr>
        <w:t>Educación.</w:t>
      </w:r>
      <w:r>
        <w:t xml:space="preserve"> En PISA 2022, 473 puntos en matemáticas, sin diferencia significativa con la media de la OCDE (472), y con una bajada de 8 puntos desde 2018</w:t>
      </w:r>
      <w:r>
        <w:t xml:space="preserve"> (Ministerio de Educación, INEE, boletín n.º 79)</w:t>
      </w:r>
      <w:r>
        <w:t>.</w:t>
      </w:r>
    </w:p>
    <w:p>
      <w:pPr>
        <w:pStyle w:val="ListBullet"/>
      </w:pPr>
      <w:r>
        <w:rPr>
          <w:b/>
        </w:rPr>
        <w:t>La ayuda para hacer trámites.</w:t>
      </w:r>
      <w:r>
        <w:t xml:space="preserve"> Existe por ley, y la ley deja elegir: las personas físicas «podrán elegir en todo momento» si se comunican por medios electrónicos o no</w:t>
      </w:r>
      <w:r>
        <w:t xml:space="preserve"> (Ley 39/2015, art. 14.1)</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t xml:space="preserve"> (Defensor del Pueblo, recomendación de 23-8-2023, aceptada)</w:t>
      </w:r>
      <w:r>
        <w:t>.</w:t>
      </w:r>
    </w:p>
    <w:p>
      <w:r>
        <w:t>[21.00-11.1 a 13.7]</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 xml:space="preserve">). </w:t>
      </w:r>
      <w:r>
        <w:t>[21.00-15.2 y 15.5]</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xml:space="preserve">); que esa dispersión haya sido buscada, los hechos no lo demuestran ni lo descartan. </w:t>
      </w:r>
      <w:r>
        <w:t>[21.00-15.1, 15.3 y 7.8]</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t xml:space="preserve"> (Código Penal, art. 11)</w:t>
      </w:r>
      <w:r>
        <w:t xml:space="preserve">. </w:t>
      </w:r>
      <w:r>
        <w:t>[20.00-1.2, 30.1 y 30.2]</w:t>
      </w:r>
    </w:p>
    <w:p>
      <w:r>
        <w:rPr>
          <w:b/>
        </w:rPr>
        <w:t>1. La obligación que entra estrecha y se ensancha.</w:t>
      </w:r>
    </w:p>
    <w:p>
      <w:pPr>
        <w:pStyle w:val="ListBullet"/>
      </w:pPr>
      <w:r>
        <w:rPr>
          <w:b/>
        </w:rPr>
        <w:t>El IVA</w:t>
      </w:r>
      <w:r>
        <w:t xml:space="preserve"> entró en 1986 con un tipo general del 12 %</w:t>
      </w:r>
      <w:r>
        <w:t xml:space="preserve"> (Ley 30/1985, art. 27.1)</w:t>
      </w:r>
      <w:r>
        <w:t>; pasó al 13 % el 1 de enero de 1992</w:t>
      </w:r>
      <w:r>
        <w:t xml:space="preserve"> (Ley 31/1991, art. 81)</w:t>
      </w:r>
      <w:r>
        <w:t>, al 15 % el 1 de agosto de 1992</w:t>
      </w:r>
      <w:r>
        <w:t xml:space="preserve"> (Real Decreto-ley 5/1992, art. 1.1)</w:t>
      </w:r>
      <w:r>
        <w:t>, al 16 % en 1995</w:t>
      </w:r>
      <w:r>
        <w:t xml:space="preserve"> (Ley 41/1994, art. 78)</w:t>
      </w:r>
      <w:r>
        <w:t>, al 18 % el 1 de julio de 2010</w:t>
      </w:r>
      <w:r>
        <w:t xml:space="preserve"> (Ley 26/2009, art. 79)</w:t>
      </w:r>
      <w:r>
        <w:t xml:space="preserve"> y al 21 % el 1 de septiembre de 2012</w:t>
      </w:r>
      <w:r>
        <w:t xml:space="preserve"> (Real Decreto-ley 20/2012, art. 23)</w:t>
      </w:r>
      <w:r>
        <w:t>.</w:t>
      </w:r>
    </w:p>
    <w:p>
      <w:pPr>
        <w:pStyle w:val="ListBullet"/>
      </w:pPr>
      <w:r>
        <w:rPr>
          <w:b/>
        </w:rPr>
        <w:t>El cinturón:</w:t>
      </w:r>
      <w:r>
        <w:t xml:space="preserve"> obligatorio de instalar en los asientos delanteros en 1972</w:t>
      </w:r>
      <w:r>
        <w:t xml:space="preserve"> (Decreto 3530/1972)</w:t>
      </w:r>
      <w:r>
        <w:t>, de usar en vías interurbanas desde el 11 de noviembre de 1974</w:t>
      </w:r>
      <w:r>
        <w:t xml:space="preserve"> (Decreto 2926/1974)</w:t>
      </w:r>
      <w:r>
        <w:t>, y en 1992 también en vías urbanas y, para los turismos nuevos, en los asientos traseros</w:t>
      </w:r>
      <w:r>
        <w:t xml:space="preserve"> (Real Decreto 13/1992, art. 117 y disposiciones transitorias)</w:t>
      </w:r>
      <w:r>
        <w:t>.</w:t>
      </w:r>
    </w:p>
    <w:p>
      <w:pPr>
        <w:pStyle w:val="ListBullet"/>
      </w:pPr>
      <w:r>
        <w:rPr>
          <w:b/>
        </w:rPr>
        <w:t>El casco:</w:t>
      </w:r>
      <w:r>
        <w:t xml:space="preserve"> desde 1982, para las motos de más de 125 centímetros cúbicos en todas las vías y para las demás solo en las interurbanas</w:t>
      </w:r>
      <w:r>
        <w:t xml:space="preserve"> (Real Decreto 1467/1981)</w:t>
      </w:r>
      <w:r>
        <w:t>; desde 1992, para todas, en todas las vías</w:t>
      </w:r>
      <w:r>
        <w:t xml:space="preserve"> (Real Decreto 13/1992, art. 118.1)</w:t>
      </w:r>
      <w:r>
        <w:t>.</w:t>
      </w:r>
    </w:p>
    <w:p>
      <w:pPr>
        <w:pStyle w:val="ListBullet"/>
      </w:pPr>
      <w:r>
        <w:rPr>
          <w:b/>
        </w:rPr>
        <w:t>Y las excepciones</w:t>
      </w:r>
      <w:r>
        <w:t>, que también se dicen: el tipo incrementado del IVA bajó del 33 % al 28 % en 1992 y se suprimió en 1993</w:t>
      </w:r>
      <w:r>
        <w:t xml:space="preserve"> (Leyes 30/1985, 31/1991 y 37/1992)</w:t>
      </w:r>
      <w:r>
        <w:t>; y el cargo al autoconsumo eléctrico de 2015</w:t>
      </w:r>
      <w:r>
        <w:t xml:space="preserve"> (Real Decreto 900/2015, art. 17)</w:t>
      </w:r>
      <w:r>
        <w:t xml:space="preserve"> se derogó en 2018: «se reconoce el derecho a autoconsumir energía eléctrica sin cargos»</w:t>
      </w:r>
      <w:r>
        <w:t xml:space="preserve"> (Real Decreto-ley 15/2018, exposición de motivos)</w:t>
      </w:r>
      <w:r>
        <w:t>.</w:t>
      </w:r>
    </w:p>
    <w:p>
      <w:r>
        <w:t xml:space="preserve">La obligación suele entrar estrecha y ensancharse después. No siempre. </w:t>
      </w:r>
      <w:r>
        <w:t>[20.00-16.1 y 16.2; normas leídas en el BOE]</w:t>
      </w:r>
    </w:p>
    <w:p>
      <w:r>
        <w:rPr>
          <w:b/>
        </w:rPr>
        <w:t>2. Lo firme no se revisa, con una excepción.</w:t>
      </w:r>
      <w:r>
        <w:t xml:space="preserve"> La ley de los estados de alarma permite «Practicar requisas temporales de todo tipo de bienes e imponer prestaciones personales obligatorias»</w:t>
      </w:r>
      <w:r>
        <w:t xml:space="preserve"> (Ley Orgánica 4/1981, art. 11.b)</w:t>
      </w:r>
      <w:r>
        <w:t>, y no se ha reformado desde 1981. Cuando terminan, caen las medidas, «salvo las que consistiesen en sanciones firmes»</w:t>
      </w:r>
      <w:r>
        <w:t xml:space="preserve"> (art. 1.3)</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t xml:space="preserve"> (STC 148/2021, FJ 11)</w:t>
      </w:r>
      <w:r>
        <w:t>. Es el mismo patrón que la plusvalía (</w:t>
      </w:r>
      <w:r>
        <w:t>5.1</w:t>
      </w:r>
      <w:r>
        <w:t>, n.º 9) y que la Zona de Bajas Emisiones de Madrid (</w:t>
      </w:r>
      <w:r>
        <w:t>7.5</w:t>
      </w:r>
      <w:r>
        <w:t>, caso 2): el Supremo inadmitió el recurso del Ayuntamiento y la anulación es firme</w:t>
      </w:r>
      <w:r>
        <w:t xml:space="preserve"> (auto del Tribunal Supremo de 15-4-2026)</w:t>
      </w:r>
      <w:r>
        <w:t>; la nueva ordenanza rige hacia delante</w:t>
      </w:r>
      <w:r>
        <w:t xml:space="preserve"> (Ordenanza 2/2026, BOCM de 6-4-2026)</w:t>
      </w:r>
      <w:r>
        <w:t>, y el Ayuntamiento no devuelve lo cobrado, según la prensa</w:t>
      </w:r>
      <w:r>
        <w:t xml:space="preserve"> (fuente secundaria: prensa, abril y julio de 2026)</w:t>
      </w:r>
      <w:r>
        <w:t xml:space="preserve">. </w:t>
      </w:r>
      <w:r>
        <w:t>[20.00-17.1, 17.2 y 19.1 a 19.3]</w:t>
      </w:r>
    </w:p>
    <w:p>
      <w:r>
        <w:rPr>
          <w:b/>
        </w:rPr>
        <w:t>3. La gasolina.</w:t>
      </w:r>
      <w:r>
        <w:t xml:space="preserve"> Entre el 1 de enero de 2013 y el 1 de enero de 2019, las comunidades autónomas pudieron fijar un tramo propio del impuesto sobre hidrocarburos</w:t>
      </w:r>
      <w:r>
        <w:t xml:space="preserve"> (STS 872/2026)</w:t>
      </w:r>
      <w:r>
        <w:t>. El Tribunal de Justicia de la UE declaró que la directiva europea se opone a una norma que autoriza a las comunidades «a establecer tipos del impuesto especial diferenciados para un mismo producto y un mismo uso»</w:t>
      </w:r>
      <w:r>
        <w:t xml:space="preserve"> (sentencia de 30-5-2024, C-743/22)</w:t>
      </w:r>
      <w:r>
        <w:t>. Antes ya había condenado a España por poner trabas a la indemnización de los daños causados por el legislador contra el derecho de la Unión</w:t>
      </w:r>
      <w:r>
        <w:t xml:space="preserve"> (sentencia de 28-6-2022, C-278/20)</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t xml:space="preserve"> (STS 872/2026, de 9-7-2026)</w:t>
      </w:r>
      <w:r>
        <w:t xml:space="preserve">. Es una victoria de acceso, no de cobro. </w:t>
      </w:r>
      <w:r>
        <w:t>[20.00-21.1 y 21.2]</w:t>
      </w:r>
    </w:p>
    <w:p>
      <w:r>
        <w:rPr>
          <w:b/>
        </w:rPr>
        <w:t>4. La franquicia del IVA.</w:t>
      </w:r>
      <w:r>
        <w:t xml:space="preserve"> Ya se vio (</w:t>
      </w:r>
      <w:r>
        <w:t>7.5</w:t>
      </w:r>
      <w:r>
        <w:t>, caso 1). La Comisión lo dice así: España «Es el único Estado miembro que no lo ha hecho»</w:t>
      </w:r>
      <w:r>
        <w:t xml:space="preserve"> (Comisión Europea, comunicado de 11-3-2026)</w:t>
      </w:r>
      <w:r>
        <w:t>. Pide que se calcule una suma a tanto alzado con 32.430 euros por día de retraso, con un mínimo de 7.540.000, y, si sigue sin transponer cuando haya sentencia, una multa de 135.811,20 euros al día</w:t>
      </w:r>
      <w:r>
        <w:t xml:space="preserve"> (asunto C-504/26, Diario Oficial de la UE, 6-7-2026)</w:t>
      </w:r>
      <w:r>
        <w:t>. Está pedido, no impuesto. Y dentro de España hubo quien movió ficha: Canarias subió su franquicia del impuesto canario «del límite actual de 30.000 euros hasta los 50.000 euros»</w:t>
      </w:r>
      <w:r>
        <w:t xml:space="preserve"> (Decreto ley 3/2026 de Canarias, exposición de motivos)</w:t>
      </w:r>
      <w:r>
        <w:t xml:space="preserve">. </w:t>
      </w:r>
      <w:r>
        <w:t>[20.00-25.1 y 25.2]</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t xml:space="preserve"> (STS 1119/2025, de 11-9-2025)</w:t>
      </w:r>
      <w:r>
        <w:t xml:space="preserve">. Entre la resolución del Consejo de Transparencia, de febrero de 2019, y la sentencia pasaron más de seis años. </w:t>
      </w:r>
      <w:r>
        <w:t>[20.00-26.1 y 26.2]</w:t>
      </w:r>
    </w:p>
    <w:p>
      <w:r>
        <w:rPr>
          <w:b/>
        </w:rPr>
        <w:t>6. La medida que sanciona.</w:t>
      </w:r>
      <w:r>
        <w:t xml:space="preserve"> Un aparato que mide para sancionar debe pasar control metrológico: «lo determinante es si para la constancia de una conducta infractora miden cierto parámetro»</w:t>
      </w:r>
      <w:r>
        <w:t xml:space="preserve"> (STS de 12-11-2015, rec. 816/2015, FJ 10)</w:t>
      </w:r>
      <w:r>
        <w:t>; y el foto-rojo «sí hace mediciones»</w:t>
      </w:r>
      <w:r>
        <w:t xml:space="preserve"> (STS 1978/2017, citada por el Procurador del Común; fuente secundaria: no se ha podido leer entera)</w:t>
      </w:r>
      <w:r>
        <w:t>. Para los radares, el margen de error es del 5 % si miden desde una ubicación sin movimiento, y del 7 % si se mueven</w:t>
      </w:r>
      <w:r>
        <w:t xml:space="preserve"> (STS 184/2018)</w:t>
      </w:r>
      <w:r>
        <w:t xml:space="preserve">. </w:t>
      </w:r>
      <w:r>
        <w:t>[20.00-20.1 y 20.2]</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t xml:space="preserve"> (Observatorio Estatal de la Dependencia, XXVI Dictamen, presentado en el Congreso el 13-3-2026)</w:t>
      </w:r>
      <w:r>
        <w:t>. Una persona cada dieciséis minutos. A 31 de marzo de 2026 esperaban 271.556 personas: 118.716 sin valorar y 152.840 con la prestación reconocida</w:t>
      </w:r>
      <w:r>
        <w:t xml:space="preserve"> (nota de la Asociación de Directoras y Gerentes de Servicios Sociales, 10-4-2026, con datos del Ministerio)</w:t>
      </w:r>
      <w:r>
        <w:t xml:space="preserve">. </w:t>
      </w:r>
      <w:r>
        <w:t>[20.00-11.1 a 11.3]</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t xml:space="preserve"> (Diario de Sesiones del Congreso, Comisión de Justicia, n.º 157, 15-3-2017)</w:t>
      </w:r>
      <w:r>
        <w:t>. Es la cifra oficial más reciente que se ha localizado. El Supremo instruye y juzga las causas contra el Presidente del Gobierno, los miembros del Gobierno, los diputados y senadores, entre otros</w:t>
      </w:r>
      <w:r>
        <w:t xml:space="preserve"> (Ley Orgánica del Poder Judicial, art. 57.1.2.º)</w:t>
      </w:r>
      <w:r>
        <w:t>. Y el elector no puede revocar a su representante: el diputado solo pierde el escaño por las causas tasadas del Reglamento del Congreso (</w:t>
      </w:r>
      <w:r>
        <w:t>8.6</w:t>
      </w:r>
      <w:r>
        <w:t>), y «Los miembros de las Cortes Generales no estarán ligados por mandato imperativo»</w:t>
      </w:r>
      <w:r>
        <w:t xml:space="preserve"> (Constitución, art. 67.2)</w:t>
      </w:r>
      <w:r>
        <w:t xml:space="preserve">. </w:t>
      </w:r>
      <w:r>
        <w:t>[20.00-18.1 y 18.2]</w:t>
      </w:r>
    </w:p>
    <w:p>
      <w:r>
        <w:rPr>
          <w:b/>
        </w:rPr>
        <w:t>9. La publicidad institucional.</w:t>
      </w:r>
      <w:r>
        <w:t xml:space="preserve"> El Estado gastó en campañas institucionales 25.915.168 euros en 2019, 70.430.604 en 2024 y 88.078.848 en 2025</w:t>
      </w:r>
      <w:r>
        <w:t xml:space="preserve"> (La Moncloa, informes anuales de publicidad y comunicación institucional)</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t xml:space="preserve"> (CIDH, Declaración de Principios sobre Libertad de Expresión, principio 13)</w:t>
      </w:r>
      <w:r>
        <w:t xml:space="preserve">. Que el gasto español cumpla esa condición no lo ha certificado nadie: por eso no cuenta como omisión. </w:t>
      </w:r>
      <w:r>
        <w:t>[20.00-29.1 y 29.2]</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t xml:space="preserve"> [original: «Les députés du peuple ne sont donc ni ne peuvent être ses réprésentans, ils ne sont que ses commissaires […] Toute loi que le Peuple en personne n'a pas ratifiée est nulle ; ce n'est point une loi. Le peuple Anglois pense être libre ; il se trompe fort, il ne l'est que durant l'élection des membres du Parlement»]</w:t>
      </w:r>
      <w:r>
        <w:t xml:space="preserve"> (Rousseau, Del contrato social III, 15)</w:t>
      </w:r>
      <w:r>
        <w:t>. No es una invitación a desobedecer: es una vara. El derecho español recoge una parte: antes de redactar una ley o un reglamento, «se sustanciará una consulta pública»</w:t>
      </w:r>
      <w:r>
        <w:t xml:space="preserve"> (Ley 39/2015, art. 133.1)</w:t>
      </w:r>
      <w:r>
        <w:t xml:space="preserve">. </w:t>
      </w:r>
      <w:r>
        <w:t>[20.00-8.1 y 8.2]</w:t>
      </w:r>
    </w:p>
    <w:p>
      <w:r>
        <w:rPr>
          <w:b/>
        </w:rPr>
        <w:t>11. La lista.</w:t>
      </w:r>
      <w:r>
        <w:t xml:space="preserve"> El elector del Congreso no vota a personas, sino listas: cada una lleva «la expresión del orden de colocación» de candidatos y suplentes</w:t>
      </w:r>
      <w:r>
        <w:t xml:space="preserve"> (LOREG, art. 46.3)</w:t>
      </w:r>
      <w:r>
        <w:t>; los escaños «se adjudican a los candidatos incluidos en ella, por el orden de colocación en que aparezcan»</w:t>
      </w:r>
      <w:r>
        <w:t xml:space="preserve"> (art. 163.1.e)</w:t>
      </w:r>
      <w:r>
        <w:t>; y la vacante es para el siguiente «de la misma lista»</w:t>
      </w:r>
      <w:r>
        <w:t xml:space="preserve"> (art. 164.1)</w:t>
      </w:r>
      <w:r>
        <w:t>. Al alcalde lo eligen los concejales entre quienes encabezan las listas, y si ninguno logra la mayoría absoluta, es alcalde el que encabeza la más votada</w:t>
      </w:r>
      <w:r>
        <w:t xml:space="preserve"> (art. 196)</w:t>
      </w:r>
      <w:r>
        <w:t>, aunque la Constitución permite otra vía: «Los Alcaldes serán elegidos por los Concejales o por los vecinos»</w:t>
      </w:r>
      <w:r>
        <w:t xml:space="preserve"> (Constitución, art. 140)</w:t>
      </w:r>
      <w:r>
        <w:t>. Al Presidente del Gobierno lo propone el Rey y lo inviste el Congreso (art. 99). Solo en el Senado se vota a personas: «a un máximo de tres candidatos en las circunscripciones provinciales»</w:t>
      </w:r>
      <w:r>
        <w:t xml:space="preserve"> (LOREG, art. 166.1.a)</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 xml:space="preserve">. </w:t>
      </w:r>
      <w:r>
        <w:t>[20.00-15.1 a 15.4; LOREG y Constitución leídas en el BOE]</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t xml:space="preserve"> (Diccionario panhispánico del español jurídico)</w:t>
      </w:r>
      <w:r>
        <w:t>. La de la libertad viene del derecho romano: «cuando la interpretación sobre la libertad sea dudosa, se ha de responder a favor de la libertad»</w:t>
      </w:r>
      <w:r>
        <w:t xml:space="preserve"> [original: «Quotiens dubia interpretatio libertatis est, secundum libertatem respondendum erit.»]</w:t>
      </w:r>
      <w:r>
        <w:t xml:space="preserve"> (Digesto 50.17.20)</w:t>
      </w:r>
      <w:r>
        <w:t>. Y otra, de un decreto del emperador Marco Aurelio: «hay violencia también siempre que alguien reclama sin juez lo que cree que se le debe»</w:t>
      </w:r>
      <w:r>
        <w:t xml:space="preserve"> [original: «Vis est et tunc, quotiens quis id, quod deberi sibi putat, non per iudicem reposcit.»]</w:t>
      </w:r>
      <w:r>
        <w:t xml:space="preserve"> (Digesto 48.7.7)</w:t>
      </w:r>
      <w:r>
        <w:t>. España, además, ratificó que «Nadie será encarcelado por el solo hecho de no poder cumplir una obligación contractual»</w:t>
      </w:r>
      <w:r>
        <w:t xml:space="preserve"> (Pacto Internacional de Derechos Civiles y Políticos, art. 11, BOE de 30-4-1977)</w:t>
      </w:r>
      <w:r>
        <w:t xml:space="preserve">. </w:t>
      </w:r>
      <w:r>
        <w:t>[20.00-5.1 a 6.9]</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 xml:space="preserve">. </w:t>
      </w:r>
      <w:r>
        <w:t>[20.00-30.1]</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 </w:t>
      </w:r>
      <w:r>
        <w:t>[20.00-1.1, 6.7 y 30.1]</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t xml:space="preserve"> (Eurostat, cuentas de las administraciones públicas)</w:t>
      </w:r>
      <w:r>
        <w:t>. Se pide prestado, cada año, más o menos lo que cuestan los intereses de lo ya pedido. La deuda llegó a 1.698.225 millones a final de 2025</w:t>
      </w:r>
      <w:r>
        <w:t xml:space="preserve"> (Eurostat, deuda de las administraciones públicas)</w:t>
      </w:r>
      <w:r>
        <w:t>, y para 2026 la Autoridad Fiscal estima 43.300 millones de intereses (</w:t>
      </w:r>
      <w:r>
        <w:t>7.6</w:t>
      </w:r>
      <w:r>
        <w:t xml:space="preserve">). </w:t>
      </w:r>
      <w:r>
        <w:t>[34.00-1.1 y 1.2]</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t xml:space="preserve"> (Eurostat, gov_10a_exp, 2024, actualizado el 16-9-2026)</w:t>
      </w:r>
      <w:r>
        <w:t>. De los 297.532 millones de protección social, 267.057 (89,8 %) son prestaciones sociales en dinero; el personal y el funcionamiento suman 16.402 (9.127 y 7.275)</w:t>
      </w:r>
      <w:r>
        <w:t xml:space="preserve"> (Eurostat, gov_10a_exp, función 10, 2024)</w:t>
      </w:r>
      <w:r>
        <w:t xml:space="preserve">. </w:t>
      </w:r>
      <w:r>
        <w:t>[34.00-2.1 a 2.19 y 16.1 a 16.2; 21.00-13.2; 34.00-16.18]</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t>Fuentes y cálculos: ocupados del sector privado, autónomos incluidos, en el segundo trimestre de 2026</w:t>
      </w:r>
      <w:r>
        <w:t xml:space="preserve"> (INE, EPA, tabla 65183)</w:t>
      </w:r>
      <w:r>
        <w:t>. Salarios medios: cálculo de la obra con la tabla de retribuciones y asalariados de la Agencia Tributaria de 2024, sin corregir la jornada, la antigüedad ni la cualificación; los contratos temporales o a tiempo parcial, más frecuentes en el sector privado, bajan su media. Pensiones de la Seguridad Social: nómina de septiembre de 2026, pensión media de 1.374,6 € (jubilación, 1.576,1 €) por catorce pagas</w:t>
      </w:r>
      <w:r>
        <w:t xml:space="preserve"> (Seguridad Social, nota de 25-9-2026)</w:t>
      </w:r>
      <w:r>
        <w:t>. Clases Pasivas: pensiones de agosto de 2026, nómina mensual de 1.774,1 millones; es un mínimo, porque los empleados públicos que ingresaron desde 2011, el personal laboral y casi todos los funcionarios autonómicos y locales se jubilan por la Seguridad Social y las estadísticas no los separan</w:t>
      </w:r>
      <w:r>
        <w:t xml:space="preserve"> (ídem)</w:t>
      </w:r>
      <w:r>
        <w:t>. Empleados públicos: enero de 2026; 546.554 en el Estado, 1.930.273 en las comunidades autónomas y 594.898 en la Administración local</w:t>
      </w:r>
      <w:r>
        <w:t xml:space="preserve"> (Estadística del Personal al Servicio de las Administraciones Públicas)</w:t>
      </w:r>
      <w:r>
        <w:t>. Cargos: 743 registros de retribución de altos cargos de 2025 en el Portal de la Transparencia (recuento de la obra), con una retribución media de 92.294 euros (</w:t>
      </w:r>
      <w:r>
        <w:t>C.1</w:t>
      </w:r>
      <w:r>
        <w:t>); 266 senadores en la XV Legislatura (</w:t>
      </w:r>
      <w:r>
        <w:t>C.1</w:t>
      </w:r>
      <w:r>
        <w:t>); «trescientos cincuenta Diputados»</w:t>
      </w:r>
      <w:r>
        <w:t xml:space="preserve"> (LOREG, art. 162.1)</w:t>
      </w:r>
      <w:r>
        <w:t>; personal eventual de los ministerios, 959, un mínimo porque no cuenta a los funcionarios de carrera que ocupan puestos de confianza</w:t>
      </w:r>
      <w:r>
        <w:t xml:space="preserve"> (Estadística del Personal, tabla 2.3)</w:t>
      </w:r>
      <w:r>
        <w:t>; retribuciones de 2026</w:t>
      </w:r>
      <w:r>
        <w:t xml:space="preserve"> (Hacienda, cuantías retributivas; Senado, régimen económico)</w:t>
      </w:r>
      <w:r>
        <w:t>: el senador cobra 3.417,54 € al mes de asignación y 2.193,50 € de indemnización exenta, en catorce pagas. Despido: en el despido por causas objetivas, «veinte días por año de servicio […] con un máximo de doce mensualidades»</w:t>
      </w:r>
      <w:r>
        <w:t xml:space="preserve"> (Estatuto de los Trabajadores, art. 53.1.b)</w:t>
      </w:r>
      <w:r>
        <w:t>; si es improcedente, la readmisión o «treinta y tres días de salario por año de servicio […] hasta un máximo de veinticuatro mensualidades»</w:t>
      </w:r>
      <w:r>
        <w:t xml:space="preserve"> (art. 56.1)</w:t>
      </w:r>
      <w:r>
        <w:t>. El funcionario de carrera tiene derecho «A la inamovilidad»</w:t>
      </w:r>
      <w:r>
        <w:t xml:space="preserve"> (Estatuto Básico del Empleado Público, art. 14.a)</w:t>
      </w:r>
      <w:r>
        <w:t>, y solo pierde la condición por renuncia, pérdida de la nacionalidad, jubilación, separación firme del servicio, que «sólo podrá sancionar la comisión de faltas muy graves», o inhabilitación penal firme</w:t>
      </w:r>
      <w:r>
        <w:t xml:space="preserve"> (arts. 63 y 96.1.a)</w:t>
      </w:r>
      <w:r>
        <w:t>. El diputado la pierde por anulación judicial de su elección, fallecimiento o incapacitación, fin del mandato o renuncia</w:t>
      </w:r>
      <w:r>
        <w:t xml:space="preserve"> (Reglamento del Congreso, art. 22)</w:t>
      </w:r>
      <w:r>
        <w:t xml:space="preserve">. </w:t>
      </w:r>
      <w:r>
        <w:t>[34.00-3.1 a 4.8 y 16.3 a 16.14]</w:t>
      </w: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 </w:t>
      </w:r>
      <w:r>
        <w:t>[34.00-4.7 y 14.1]</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t xml:space="preserve"> (Seguridad Social, nota de 5-1-2026)</w:t>
      </w:r>
      <w:r>
        <w:t xml:space="preserve"> para 10.547.417 pensiones en septiembre de 2026; y la fecundidad está en 1,10 hijos por mujer (</w:t>
      </w:r>
      <w:r>
        <w:t>8.8</w:t>
      </w:r>
      <w:r>
        <w:t xml:space="preserve">). </w:t>
      </w:r>
      <w:r>
        <w:t>[34.00-5.1 y 16.15]</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t xml:space="preserve"> (Real Decreto-ley 28/2012, art. 1)</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t xml:space="preserve"> (Fondo de Reserva, informes a las Cortes Generales de 2020 y 2025)</w:t>
      </w:r>
      <w:r>
        <w:t>. Hoy vuelve a tener 14.069,81 millones (31-12-2025), pero gracias a una cotización nueva que pagan trabajadores y empresas desde 2023, el mecanismo de equidad intergeneracional: 10.150 millones de 2023 a 2025</w:t>
      </w:r>
      <w:r>
        <w:t xml:space="preserve"> (informe de 2025)</w:t>
      </w:r>
      <w:r>
        <w:t>. La última dotación al Fondo con cargo a excedentes fue la de 2010</w:t>
      </w:r>
      <w:r>
        <w:t xml:space="preserve"> (Fondo de Reserva, informe de 2025)</w:t>
      </w:r>
      <w:r>
        <w:t>. No fue apropiación: se usó para pagar pensiones (</w:t>
      </w:r>
      <w:r>
        <w:t>7.5</w:t>
      </w:r>
      <w:r>
        <w:t>, caso 4). Y en qué está invertida: «La cartera está compuesta, exclusivamente, por deuda pública española»</w:t>
      </w:r>
      <w:r>
        <w:t xml:space="preserve"> (ídem)</w:t>
      </w:r>
      <w:r>
        <w:t>, porque la ley ordena invertirla en títulos públicos y en su comité se sienta el Director General del Tesoro (</w:t>
      </w:r>
      <w:r>
        <w:t>5.1</w:t>
      </w:r>
      <w:r>
        <w:t xml:space="preserve">, n.º 2). </w:t>
      </w:r>
      <w:r>
        <w:t>[34.00-5.2, 5.3 y 6.6; 20.00-10.1 a 10.3; cifras corregidas con el informe de 2020]</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t xml:space="preserve"> (Fondo de Reserva, informe de 2025, con datos de INVERCO)</w:t>
      </w:r>
      <w:r>
        <w:t>. Qué ha pasado con un depósito de todos lo juzgan las tradiciones con la regla de devolver lo confiado (</w:t>
      </w:r>
      <w:r>
        <w:t>3.2</w:t>
      </w:r>
      <w:r>
        <w:t xml:space="preserve">, P5). </w:t>
      </w:r>
      <w:r>
        <w:t>[34.00-6.1 a 6.5; 00.0-4.6]</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t xml:space="preserve"> (Ley 19/2013, art. 12)</w:t>
      </w:r>
      <w:r>
        <w:t>, y dejar constancia de la respuesta o del silencio (</w:t>
      </w:r>
      <w:r>
        <w:t>10.4</w:t>
      </w:r>
      <w:r>
        <w:t xml:space="preserve">). </w:t>
      </w:r>
      <w:r>
        <w:t>[glosario 6.4; 34.00-12.1 a 12.12]</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 </w:t>
      </w:r>
      <w:r>
        <w:t>[34.00-14.1]</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xml:space="preserve">). Un sistema que nació viciado en 1971, cuando se rompió el último vínculo de la moneda con el oro, da frutos viciados: esto apunta hacia el padre de la mentira (Jn 8:44). «Por sus frutos los conoceréis» (Mt 7:16). «El que tiene oídos para oir, oiga» (Mt 11:15). </w:t>
      </w:r>
      <w:r>
        <w:t>[34.00-15.1, 15.3 y 15.4]</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t xml:space="preserve"> (Real Decreto-ley 9/1981, preámbulo)</w:t>
      </w:r>
      <w:r>
        <w:t>. La de 1983 la continuó con un nuevo marco</w:t>
      </w:r>
      <w:r>
        <w:t xml:space="preserve"> (Real Decreto-ley 8/1983, de Reconversión y Reindustrialización)</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t xml:space="preserve"> (Marín Arce, «La fase dura de la reconversión industrial: 1983-1986», Historia del Presente, n.º 8, 2006)</w:t>
      </w:r>
      <w:r>
        <w:t xml:space="preserve">. </w:t>
      </w:r>
      <w:r>
        <w:t>[26.00-1.1 a 1.3]</w:t>
      </w:r>
    </w:p>
    <w:p>
      <w:r>
        <w:rPr>
          <w:b/>
        </w:rPr>
        <w:t>Las privatizaciones.</w:t>
      </w:r>
      <w:r>
        <w:t xml:space="preserve"> Entre 1996 y 2002, el Consejo de Ministros autorizó «48 operaciones de privatización» que «han afectado a 45 empresas»</w:t>
      </w:r>
      <w:r>
        <w:t xml:space="preserve"> (Tribunal de Cuentas, informe de fiscalización de las privatizaciones de 1996 a 2002, BOCG de 13-1-2006)</w:t>
      </w:r>
      <w:r>
        <w:t>. En 1997 se ingresaron 12.481 millones de euros y en 1998, 13.083</w:t>
      </w:r>
      <w:r>
        <w:t xml:space="preserve"> (Bel y Costas, Revista de Historia Industrial, 2001, con datos del Consejo Consultivo de Privatizaciones)</w:t>
      </w:r>
      <w:r>
        <w:t>. Y fue obra de Gobiernos de distinto signo: Endesa se empezó a vender en 1988, y su última gran venta fue en 1998</w:t>
      </w:r>
      <w:r>
        <w:t xml:space="preserve"> (ídem; Tribunal de Cuentas)</w:t>
      </w:r>
      <w:r>
        <w:t xml:space="preserve">. </w:t>
      </w:r>
      <w:r>
        <w:t>[26.00-2.1 y 2.2]</w:t>
      </w:r>
    </w:p>
    <w:p>
      <w:r>
        <w:rPr>
          <w:b/>
        </w:rPr>
        <w:t>El puesto de España en el mundo, por PIB.</w:t>
      </w:r>
      <w:r>
        <w:t xml:space="preserve"> Duodécima en 1970 y octava en 2007</w:t>
      </w:r>
      <w:r>
        <w:t xml:space="preserve"> (Banco Mundial, PIB en dólares corrientes)</w:t>
      </w:r>
      <w:r>
        <w:t>; decimoquinta en 2024 y duodécima en 2025, con una previsión de la decimocuarta para 2026</w:t>
      </w:r>
      <w:r>
        <w:t xml:space="preserve"> (FMI, Perspectivas de la economía mundial, abril de 2026)</w:t>
      </w:r>
      <w:r>
        <w:t xml:space="preserve">. Son puestos calculados por la obra ordenando los datos de cada organismo; en 1970 solo hay datos de 146 economías. </w:t>
      </w:r>
      <w:r>
        <w:t>[26.00-3.1 y 3.2]</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t xml:space="preserve"> (EFSA, informe de la UE sobre residuos de plaguicidas de 2023)</w:t>
      </w:r>
      <w:r>
        <w:t>. España analizó 2.492 muestras, y según una organización ecologista, con los datos oficiales, el 9,63 % de los alimentos importados contenía plaguicidas no autorizados en la UE, frente al 4,70 % de los de aquí</w:t>
      </w:r>
      <w:r>
        <w:t xml:space="preserve"> (Ecologistas en Acción, «Directo a tus hormonas», 2025; parte interesada)</w:t>
      </w:r>
      <w:r>
        <w:t xml:space="preserve">. Exigir a lo importado lo mismo que a lo europeo, las llamadas cláusulas espejo, sigue en debate. </w:t>
      </w:r>
      <w:r>
        <w:t>[26.00-4.1 y 4.2]</w:t>
      </w:r>
    </w:p>
    <w:p>
      <w:r>
        <w:rPr>
          <w:b/>
        </w:rPr>
        <w:t>La vivienda en Cataluña.</w:t>
      </w:r>
      <w:r>
        <w:t xml:space="preserve"> Cataluña fue la primera en declarar zonas de mercado residencial tensionado con la ley de vivienda de 2023: 140 municipios, con efectos desde marzo de 2024</w:t>
      </w:r>
      <w:r>
        <w:t xml:space="preserve"> (BOE de 15-3-2024)</w:t>
      </w:r>
      <w:r>
        <w:t>, y otros 131</w:t>
      </w:r>
      <w:r>
        <w:t xml:space="preserve"> (BOE de 9-10-2024)</w:t>
      </w:r>
      <w:r>
        <w:t>; en total, «7.172.196 personas, lo que representa un 90,7 %» de la población catalana</w:t>
      </w:r>
      <w:r>
        <w:t xml:space="preserve"> (Generalitat de Catalunya, memoria justificativa, 1-7-2024)</w:t>
      </w:r>
      <w:r>
        <w:t>. En julio de 2026 se tramitaba prorrogar la declaración en 118 de los 140 (5.919.365 habitantes) y declarar 53 nuevos</w:t>
      </w:r>
      <w:r>
        <w:t xml:space="preserve"> (Generalitat, memorias de julio de 2026)</w:t>
      </w:r>
      <w:r>
        <w:t>. Los contratos de alquiler con fianza depositada en Cataluña fueron 167.953 en 2018, 152.770 en 2022, 132.988 en 2023, 118.626 en 2024 y unos 108.057 en 2025</w:t>
      </w:r>
      <w:r>
        <w:t xml:space="preserve"> (Generalitat, datos abiertos, fianzas del Incasòl; 2025, suma de trimestres de la obra, porque la fila anual publicada no cuadra)</w:t>
      </w:r>
      <w:r>
        <w:t xml:space="preserve">. Caen, y la caída empezó antes de la declaración; el dato no dice por qué. </w:t>
      </w:r>
      <w:r>
        <w:t>[26.00-5.1 a 5.4]</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 xml:space="preserve">. </w:t>
      </w:r>
      <w:r>
        <w:t>[26.00-6.1 y 7.1]</w:t>
      </w:r>
    </w:p>
    <w:p>
      <w:r>
        <w:rPr>
          <w:b/>
        </w:rPr>
        <w:t>Lectura del autor:</w:t>
      </w:r>
      <w:r>
        <w:t xml:space="preserve"> el mismo actor que levantó la industria pesada durante la autarquía la desmontó después, y el coste lo pagaron comarcas enteras. </w:t>
      </w:r>
      <w:r>
        <w:t>[26.00-8.3]</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t xml:space="preserve"> (Banco de España, indicadores del mercado inmobiliario, cuadro SI 1.5)</w:t>
      </w:r>
      <w:r>
        <w:t xml:space="preserve">. Es renta bruta del hogar, antes de impuestos y cotizaciones: no es el esfuerzo real. </w:t>
      </w:r>
      <w:r>
        <w:t>[27.00-1.1 a 1.3]</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t xml:space="preserve"> (ídem)</w:t>
      </w:r>
      <w:r>
        <w:t>. El tipo de los préstamos libres para adquisición de vivienda era del 16,46 % en junio de 1990 y del 17,05 % en enero de 1991</w:t>
      </w:r>
      <w:r>
        <w:t xml:space="preserve"> (Banco de España, serie SI_1_5.40)</w:t>
      </w:r>
      <w:r>
        <w:t xml:space="preserve">. </w:t>
      </w:r>
      <w:r>
        <w:t>[27.00-1.1]</w:t>
      </w:r>
    </w:p>
    <w:p>
      <w:r>
        <w:rPr>
          <w:b/>
        </w:rPr>
        <w:t>La aritmética de una persona.</w:t>
      </w:r>
      <w:r>
        <w:t xml:space="preserve"> Con el salario medio, 29.540,26 euros brutos</w:t>
      </w:r>
      <w:r>
        <w:t xml:space="preserve"> (INE, Encuesta Anual de Estructura Salarial 2024)</w:t>
      </w:r>
      <w:r>
        <w:t>, y ahorrando lo que ahorran de media los hogares, el 12,0 % de su renta disponible en 2025</w:t>
      </w:r>
      <w:r>
        <w:t xml:space="preserve"> (INE, cuentas de los sectores, cuarto trimestre de 2025)</w:t>
      </w:r>
      <w:r>
        <w:t>, una persona sola tardaría unos 25 años en reunir la entrada y los gastos de compra, en torno al 30 % del precio, y más de 80 en reunir el precio entero. Incluso gastando solo lo que gasta de media una persona, 13.626 euros al año</w:t>
      </w:r>
      <w:r>
        <w:t xml:space="preserve"> (INE, Encuesta de Presupuestos Familiares 2024)</w:t>
      </w:r>
      <w:r>
        <w:t xml:space="preserve">, harían falta unos 7 años para la entrada y unos 25 para todo. Una pareja con dos sueldos tarda más o menos la mitad. Es aritmética de la obra, con un precio aproximado. </w:t>
      </w:r>
      <w:r>
        <w:t>[27.00-1.2]</w:t>
      </w:r>
    </w:p>
    <w:p>
      <w:r>
        <w:rPr>
          <w:b/>
        </w:rPr>
        <w:t>Un ejemplo sindical.</w:t>
      </w:r>
      <w:r>
        <w:t xml:space="preserve"> Un sindicato calculó 58 años para un trabajador de la hostelería de Madrid con el salario medio de su convenio, 15.675,70 euros netos al año, que dedicara el 40 % del sueldo a una vivienda de 364.860 euros, sin contar intereses; con el sueldo entero, 23,3 años</w:t>
      </w:r>
      <w:r>
        <w:t xml:space="preserve"> (UGT, «Convenios colectivos y derecho a la vivienda en la Comunidad de Madrid», 7-10-2025; parte interesada)</w:t>
      </w:r>
      <w:r>
        <w:t xml:space="preserve">. Es un ejemplo de una comunidad, no una media nacional, y no se compara sin más con el dato del Banco de España. </w:t>
      </w:r>
      <w:r>
        <w:t>[27.00-2.1 a 3.1]</w:t>
      </w:r>
    </w:p>
    <w:p>
      <w:r>
        <w:rPr>
          <w:b/>
        </w:rPr>
        <w:t>Los hijos.</w:t>
      </w:r>
      <w:r>
        <w:t xml:space="preserve"> En 2024 nacieron 318.005 niños, un 0,8 % menos que el año anterior, y el número medio de hijos por mujer bajó a 1,10: 1,07 entre las madres españolas y 1,27 entre las extranjeras</w:t>
      </w:r>
      <w:r>
        <w:t xml:space="preserve"> (INE, Movimiento Natural de la Población, nota de 19-11-2025)</w:t>
      </w:r>
      <w:r>
        <w:t>. Es el mínimo de la serie, que empieza en 1975 con 2,77; el anterior mínimo fue 1,13, en 1998</w:t>
      </w:r>
      <w:r>
        <w:t xml:space="preserve"> (INE, indicadores demográficos básicos, tabla 1407)</w:t>
      </w:r>
      <w:r>
        <w:t xml:space="preserve">. </w:t>
      </w:r>
      <w:r>
        <w:t>[27.00-4.1 y 4.2]</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 </w:t>
      </w:r>
      <w:r>
        <w:t>[27.00-0.2, 5.1, 8.1 y 8.2]</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xml:space="preserve">). No prueban que causen la caída de los hijos, y la obra no lo afirma. </w:t>
      </w:r>
      <w:r>
        <w:t>[27.00-6.1 y 7.11]</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 </w:t>
      </w:r>
      <w:r>
        <w:t>[34.00-15.2]</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t xml:space="preserve"> [original: «suggesting that the perception of moral decline is an illusion»]</w:t>
      </w:r>
      <w:r>
        <w:t xml:space="preserve"> (Mastroianni y Gilbert, «The illusion of moral decline» (La ilusión del declive moral), Nature 618, 2023)</w:t>
      </w:r>
      <w:r>
        <w:t xml:space="preserve">.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 </w:t>
      </w:r>
      <w:r>
        <w:t>[29.00-1.1 a 3.1]</w:t>
      </w:r>
    </w:p>
    <w:p>
      <w:r>
        <w:rPr>
          <w:b/>
        </w:rPr>
        <w:t>La réplica.</w:t>
      </w:r>
      <w:r>
        <w:t xml:space="preserve"> Un equipo independiente repitió uno de los estudios en 2024, y sus resultados «coincidieron extremadamente de cerca con los del estudio original»</w:t>
      </w:r>
      <w:r>
        <w:t xml:space="preserve"> [original: «the results of our replication aligned extremely closely with the results of the original study»]</w:t>
      </w:r>
      <w:r>
        <w:t xml:space="preserve"> (Transparent Replications, informe n.º 10, 8-7-2024)</w:t>
      </w:r>
      <w:r>
        <w:t>. Una crítica filosófica sostiene que el argumento central del estudio es lógicamente inválido</w:t>
      </w:r>
      <w:r>
        <w:t xml:space="preserve"> (Smith, Smith y Stocks, «The Illusion of the Illusion of Moral Decline» (La ilusión de la ilusión del declive moral), 2023; fuente secundaria: leído solo en transcripción)</w:t>
      </w:r>
      <w:r>
        <w:t xml:space="preserve">. </w:t>
      </w:r>
      <w:r>
        <w:t>[29.00-3.2 a 4.3]</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t xml:space="preserve"> (CIS, estudios de opinión pública y política fiscal de 2014 a 2026; las sumas de 6 a 10, de la obra)</w:t>
      </w:r>
      <w:r>
        <w:t xml:space="preserve">. La confianza entre la gente es hoy mayor que hace doce años. </w:t>
      </w:r>
      <w:r>
        <w:t>[29.00-5.1 a 5.3]</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t xml:space="preserve"> (EsadeEcPol, «Polarización y convivencia en España 2021», 2022)</w:t>
      </w:r>
      <w:r>
        <w:t xml:space="preserve">. </w:t>
      </w:r>
      <w:r>
        <w:t>[29.00-6.1 a 6.3]</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t xml:space="preserve"> [original: «If there is any presumption it is the other way, against the holders of power, increasing as the power increases. […] Power tends to corrupt, and absolute power corrupts absolutely.»]</w:t>
      </w:r>
      <w:r>
        <w:t xml:space="preserve"> (Acton, carta a Creighton, 5-4-1887, en Historical Essays and Studies, 1907, p. 504)</w:t>
      </w:r>
      <w:r>
        <w:t>. Y ya en Grecia se decía que lo justo era lo que conviene al más fuerte (</w:t>
      </w:r>
      <w:r>
        <w:t>1.4</w:t>
      </w:r>
      <w:r>
        <w:t xml:space="preserve">). La sensación de que el mundo empeora moralmente es, ella misma, una constante de la historia. </w:t>
      </w:r>
      <w:r>
        <w:t>[29.00-7.1 y 7.2]</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xml:space="preserve">). El problema no está en la gente. </w:t>
      </w:r>
      <w:r>
        <w:t>[29.00-7.3]</w:t>
      </w:r>
    </w:p>
    <w:p>
      <w:r>
        <w:rPr>
          <w:b/>
        </w:rPr>
        <w:t>Lectura del autor:</w:t>
      </w:r>
      <w:r>
        <w:t xml:space="preserve"> el sistema es el que ha creado los problemas actuales. </w:t>
      </w:r>
      <w:r>
        <w:t>[29.00-7.4]</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t xml:space="preserve"> (AEMPS, Utilización de medicamentos antidepresivos en España, 2000-2013)</w:t>
      </w:r>
      <w:r>
        <w:t>; el Ministerio de Sanidad, de 66,2 en 2012 a 92,7 en 2021</w:t>
      </w:r>
      <w:r>
        <w:t xml:space="preserve"> (Ministerio de Sanidad, Informe Anual del Sistema Nacional de Salud 2022)</w:t>
      </w:r>
      <w:r>
        <w:t>; y la OCDE, con los datos que da España, de 28,2 en 2000 a 107,1 en 2024</w:t>
      </w:r>
      <w:r>
        <w:t xml:space="preserve"> (OCDE, consumo de antidepresivos (DDD por 1.000 habitantes y día), datos de España)</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t xml:space="preserve"> (INE, Defunciones según la causa de muerte, tabla 9936)</w:t>
      </w:r>
      <w:r>
        <w:t>. Pero hay más habitantes y más mayores, y la tasa por 100.000 habitantes publicada por el INE fue 7,57 en 2018, 8,85 en 2022 y 8,09 en 2024</w:t>
      </w:r>
      <w:r>
        <w:t xml:space="preserve"> (INE, mortalidad por suicidio, indicador 3.4.2 de los Objetivos de Desarrollo Sostenible, tabla 46688)</w:t>
      </w:r>
      <w:r>
        <w:t>. Ajustada por edad, la tasa baja: de 8,3 en 2000 a 7,7 en 2023, según la OCDE</w:t>
      </w:r>
      <w:r>
        <w:t xml:space="preserve"> (OCDE, Health at a Glance, suicidios, tasa estandarizada por edad)</w:t>
      </w:r>
      <w:r>
        <w:t>; y España está por debajo de la media de la OCDE (10,7 en 2023) y de la de la Unión Europea (10,37)</w:t>
      </w:r>
      <w:r>
        <w:t xml:space="preserve"> (OCDE, Health at a Glance; Eurostat, causas de muerte)</w:t>
      </w:r>
      <w:r>
        <w:t>.</w:t>
      </w:r>
    </w:p>
    <w:p>
      <w:r>
        <w:rPr>
          <w:b/>
        </w:rPr>
        <w:t>La población española, aparte.</w:t>
      </w:r>
      <w:r>
        <w:t xml:space="preserve"> La inmigración ha hecho crecer la población: los nacidos en el extranjero eran el 3,64 % el 1 de enero de 2000 y el 20,67 % el 1 de julio de 2026 (dato provisional)</w:t>
      </w:r>
      <w:r>
        <w:t xml:space="preserve"> (INE, Padrón y Estadística Continua de Población)</w:t>
      </w:r>
      <w:r>
        <w:t>. De 2000 a 2022 la población total creció un 17,2 %, la de nacionalidad española un 6,0 % y la nacida en España un 2,3 %</w:t>
      </w:r>
      <w:r>
        <w:t xml:space="preserve"> (ídem; cálculo de la obra)</w:t>
      </w:r>
      <w:r>
        <w:t>. Una tasa sobre la población total puede diluirse con ese aumento. Por eso se mide también por nacionalidad, que el INE publica desde 2005</w:t>
      </w:r>
      <w:r>
        <w:t xml:space="preserve"> (INE, Suicidios por edad, nacionalidad y sexo, 2005 a 2024)</w:t>
      </w:r>
      <w:r>
        <w:t>. En 2024, la tasa bruta por 100.000 fue 8,27 en la población española, 7,00 en la extranjera y 8,10 en la total; ajustada por edad (método directo, población estándar europea de 2013), 7,56, 7,70 y 7,57</w:t>
      </w:r>
      <w:r>
        <w:t xml:space="preserve"> (ídem; cálculo de la obra, con las muertes y la población de cada grupo)</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t xml:space="preserve"> (ídem; cálculo de la obra)</w:t>
      </w:r>
      <w:r>
        <w:t>.</w:t>
      </w:r>
    </w:p>
    <w:p>
      <w:r>
        <w:rPr>
          <w:b/>
        </w:rPr>
        <w:t>Divorcios.</w:t>
      </w:r>
      <w:r>
        <w:t xml:space="preserve"> Eran 37.743 en 2000, llegaron al máximo en 2006, con 126.952, y bajaron a 80.785 en 2025</w:t>
      </w:r>
      <w:r>
        <w:t xml:space="preserve"> (INE, Estadística de Nulidades, Separaciones y Divorcios)</w:t>
      </w:r>
      <w:r>
        <w:t>. El salto de 2005 a 2006 (de 72.848 a 126.952) coincide con la Ley 15/2005, que permitió divorciarse sin separación previa</w:t>
      </w:r>
      <w:r>
        <w:t xml:space="preserve"> (Ley 15/2005, de 8 de julio, BOE núm. 163, de 9-7-2005)</w:t>
      </w:r>
      <w:r>
        <w:t>; la serie solo muestra el salto, y atribuirlo a la ley es una lectura. Por cada 100 matrimonios, los divorcios fueron 61,1 en 2006 y 47,3 en 2024</w:t>
      </w:r>
      <w:r>
        <w:t xml:space="preserve"> (ídem; cálculo de la obra)</w:t>
      </w:r>
      <w:r>
        <w:t>. Entre cónyuges ambos españoles, que el INE separa desde 2007, fueron 111.437 en 2007 y 64.701 en 2024: 2,76 y 1,53 por cada 1.000 españoles</w:t>
      </w:r>
      <w:r>
        <w:t xml:space="preserve"> (ídem; cálculo de la obra)</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t xml:space="preserve"> (INE, Encuesta Nacional de Salud de España, 2011, 2017 y 2023)</w:t>
      </w:r>
      <w:r>
        <w:t>; la edición de 2006 no es comparable. Lo que sí sube son los síntomas depresivos graves, medidos con el cuestionario PHQ-8: del 2,5 % en 2020 al 8,0 % en 2023</w:t>
      </w:r>
      <w:r>
        <w:t xml:space="preserve"> (INE, Encuesta de Salud, cuestionario PHQ-8, tabla 71507; cálculo de la obra)</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 xml:space="preserve">). </w:t>
      </w:r>
      <w:r>
        <w:t>[palabras de Kiko, 9-oct-2026]</w:t>
      </w:r>
    </w:p>
    <w:p>
      <w:r>
        <w:t>[INE, AEMPS, Ministerio de Sanidad, OCDE y Eurostat, leídos el 9-oct-2026 en 07/fuentes/indicadores_sociales y indicadores_nativos; borrador B10]</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t xml:space="preserve"> (Ley 7/2012, art. 7, Uno.1)</w:t>
      </w:r>
      <w:r>
        <w:t>. El límite era de 2.500 euros y la Ley 11/2021 lo bajó a 1.000</w:t>
      </w:r>
      <w:r>
        <w:t xml:space="preserve"> (Ley 11/2021, preámbulo)</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t xml:space="preserve"> (Reglamento (UE) 2024/1624, art. 80)</w:t>
      </w:r>
      <w:r>
        <w:t>. Dos tercios de los Estados miembros ya tenían límites, de 500 euros en Grecia a algo más de 10.000 en Chequia</w:t>
      </w:r>
      <w:r>
        <w:t xml:space="preserve"> (Comisión Europea, 24-4-2024)</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t xml:space="preserve"> (BCE, nota de prensa de 4-5-2016)</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t xml:space="preserve"> (COM(2023) 364, art. 4)</w:t>
      </w:r>
      <w:r>
        <w:t>. El BCE decidió el 18 de octubre de 2023 pasar a la fase de preparación, que empezó en noviembre, y el 30 de octubre de 2025 pasar a la siguiente, y dice que complementaría al efectivo</w:t>
      </w:r>
      <w:r>
        <w:t xml:space="preserve"> (BCE, informe de 18-10-2023, nota de prensa de 30-10-2025 y preguntas frecuentes sobre el euro digital)</w:t>
      </w:r>
      <w:r>
        <w:t>. En octubre de 2026 no hay acuerdo final</w:t>
      </w:r>
      <w:r>
        <w:t xml:space="preserve"> (Parlamento Europeo, Observatorio Legislativo, procedimientos 2023/0212(COD) y 2023/0208(COD), leídos el 10-10-2026)</w:t>
      </w:r>
      <w:r>
        <w:t>.</w:t>
      </w:r>
    </w:p>
    <w:p>
      <w:pPr>
        <w:pStyle w:val="ListBullet"/>
      </w:pPr>
      <w:r>
        <w:rPr>
          <w:b/>
        </w:rPr>
        <w:t>Los países:</w:t>
      </w:r>
      <w:r>
        <w:t xml:space="preserve"> en la zona del euro el efectivo fue el 52 % de los pagos en tienda en 2024, del 22 % en Países Bajos al 67 % en Malta</w:t>
      </w:r>
      <w:r>
        <w:t xml:space="preserve"> (BCE, estudio SPACE 2024)</w:t>
      </w:r>
      <w:r>
        <w:t>. En las fuentes oficiales leídas, ningún país prohíbe pagar en efectivo en general; sí hay límites por operación (500 euros en Grecia, 3.000 en Países Bajos para bienes)</w:t>
      </w:r>
      <w:r>
        <w:t xml:space="preserve"> (Comisión Europea, 24-4-2024; Gobierno de los Países Bajos, prohibición de los pagos en efectivo desde 3.000 euros)</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t xml:space="preserve"> (Real Decreto 304/2014, art. 4.1)</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t xml:space="preserve"> (Ap 13:16-17)</w:t>
      </w:r>
      <w:r>
        <w:t>. Lo impone la segunda bestia, que hace adorar a la primera y hará que quienes no adoren su imagen «sean muertos»</w:t>
      </w:r>
      <w:r>
        <w:t xml:space="preserve"> (Ap 13:11-15)</w:t>
      </w:r>
      <w:r>
        <w:t>; tomar la señal es adorar a la bestia</w:t>
      </w:r>
      <w:r>
        <w:t xml:space="preserve"> (Ap 14:9-11)</w:t>
      </w:r>
      <w:r>
        <w:t>. El texto no nombra ningún medio, ningún gobierno ni ningún documento. La señal en la mano y entre los ojos ya estaba en la Biblia como señal de la ley de Dios</w:t>
      </w:r>
      <w:r>
        <w:t xml:space="preserve"> (Dt 6:8)</w:t>
      </w:r>
      <w:r>
        <w:t>, y la señal de Dios en las frentes, en el propio Apocalipsis</w:t>
      </w:r>
      <w:r>
        <w:t xml:space="preserve"> (Ap 7:3)</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t xml:space="preserve"> [original: «he will order incense-pans to be set up by all everywhere, that no man among the saints may be able to buy or sell without first sacrificing; for this is what is meant by the mark received upon the right hand.», en la traducción inglesa de MacMahon]</w:t>
      </w:r>
      <w:r>
        <w:t xml:space="preserve"> (Hipólito, Sobre Cristo y el Anticristo, cap. 49)</w:t>
      </w:r>
      <w:r>
        <w:t>. Victorino de Pettau dice que sus siervos recibirán el número de su nombre «para que nadie los compre ni los venda»</w:t>
      </w:r>
      <w:r>
        <w:t xml:space="preserve"> [original: «lest any one should buy or sell them», en la traducción inglesa de Wallis]</w:t>
      </w:r>
      <w:r>
        <w:t xml:space="preserve"> (Victorino de Pettau, Comentario al Apocalipsis, cap. 13)</w:t>
      </w:r>
      <w:r>
        <w:t>. En Hipólito, la condición para comerciar es un acto de culto; en Victorino, la señal es la de los siervos del Anticristo: en los dos, una lealtad.</w:t>
      </w:r>
    </w:p>
    <w:p>
      <w:r>
        <w:rPr>
          <w:b/>
        </w:rPr>
        <w:t>Lo que dicen las otras tradiciones.</w:t>
      </w:r>
      <w:r>
        <w:t xml:space="preserve"> En las demás tradiciones leídas (Egipto, India, China, Grecia, Roma, el islam y el budismo) no se ha hallado ningún texto que condicione comprar y vender a una señal del poder. Lo más cercano son poderes que monopolizan o fijan precios: el monopolio real del aceite de Tolomeo II, el control de precios del Edicto de Diocleciano y los recursos de ciudades y tiranos de los </w:t>
      </w:r>
      <w:r>
        <w:rPr>
          <w:i/>
        </w:rPr>
        <w:t>Económicos</w:t>
      </w:r>
      <w:r>
        <w:t xml:space="preserve"> II; ninguno pone una marca ni una condición de lealtad. Mencio y los suttas budistas piden lo contrario: que el soberano no grave ni estorbe el comercio. Ningún hadiz del Dayyal habla de comprar ni de vender. Y un estudio de Adolf Deissmann de 1910 (fuente secundaria, nivel B) dice que el «χάραγμα» (la «marca») era el sello del emperador que se imprimía en las escrituras de venta del Egipto romano: un sello de documentos, no una condición para comerciar</w:t>
      </w:r>
      <w:r>
        <w:t xml:space="preserve"> (Adolf Deissmann, Light from the Ancient East (Luz del antiguo Oriente), 2.ª edición inglesa, 1910, p. 345; fuente secundaria)</w:t>
      </w:r>
      <w:r>
        <w:t>.</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r>
        <w:t>[BOE, EUR-Lex, BCE, Comisión Europea y Parlamento Europeo, e Hipólito y Victorino en la edición inglesa de los Padres antenicenos, leídos el 10-oct-2026 en 07/fuentes/marca_comercio; Reina-Valera 1909 en local; borrador «El efectivo y la señal» de la carpeta 07]</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r>
        <w:t>[clasificación de las defensas, aprobada; 20.00-35.20 a 35.23; 24.00-9.2, 9.3, 9.10 y 9.11; 25.00-11.4 y 11.5; 26.00-8.2 y 8.3; 27.00-7.6 a 7.11; 29.00-8.2, 8.3 y 8.6 a 8.9; 34.00-13.12 y 13.13]</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r>
        <w:br w:type="page"/>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keepNext/>
      </w:pPr>
      <w:r>
        <w:rPr>
          <w:rFonts w:ascii="Segoe UI" w:hAnsi="Segoe UI" w:eastAsia="Segoe UI" w:cs="Segoe UI"/>
          <w:b/>
          <w:color w:val="6B665E"/>
          <w:sz w:val="20"/>
        </w:rPr>
        <w:t>Notas de trabajo (estado y trazabilidad)</w:t>
      </w:r>
    </w:p>
    <w:p>
      <w:r>
        <w:t>Cambio del 12-oct-2026 (errata de copia, corregida al detectarla: la vio 07.8 al aplicar el B17; orden de 08.21, 11:1x, por la norma de Kiko de corregir al detectar): en «En pocas palabras», «más años cotizados, más normas y más trámites» pasa a «más años de vida, más normas y más trámites», las palabras de la conclusión de 9.1 (y de 0.2), que prueba las dos cosas bajo «Más años de vida por lo mismo»: los años cotizados y la edad.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10 (borrador B16). Ninguna otra palabra cambia. Cambio del 12-oct-2026 (Kiko, chat de 08.18, 06:3x, pasado por 08.18 tal cual, a «¿das el sí a los nueve cambios de 07.6?»: «si»; borrador B13, el barrido de los cuantificadores vagos en las frases con dato): en 9.1, «la deuda no se perdona nunca; se renueva y crece» pasa a «no hay remisión periódica, y la deuda del Estado se paga con deuda nueva y crece»: la ley española sí exonera deudas de la persona que no puede pagar, y lo documentado es lo de la deuda del Estado (8.1 y 8.6). Ninguna otra palabra cambia. Cambio del 9-oct-2026 (Kiko: «Sí al B6 con las tres recomendaciones» y «sí al B6»; filas 38 de 04p; borrador B6 de la carpeta 07, escrito por la ventana que acompaña): en 9.1, subapartado «El dictamen», una frase que remite a la piedra de 5.4. Cambio del 8-oct-2026 (fase de reparación, traducciones sin original, quinta tanda): puestos los originales ingleses de «un obispo y seis políticos destacados» (Britannica) y «siete pares» (Parlamento), que estaban en c9b/ y no se habían puesto en el texto. Cambio del 8-oct-2026 (lectura de la dirección de la obra, aviso PASO 4.8): en 9.2, «Los eligió la pieza original» pasa a «Los eligió el autor». ESTADO: APROBADO por Kiko el 6-oct-2026 («SI A TODO»: el capítulo; la lectura del autor del 9.2, redacción nueva; los nombres de los gobernantes en los diez casos y, en Islandia, solo los cargos; la errata de la duración de los casos, al 07). Su material está marcado en el inventario (04 CAPITULOS/marcas/marcas del capitulo 9.txt). Cualquier cambio posterior, con su aprobación. Redactado en el paso 3, solo con lo comprobado en el paso 2: al redactar no se ha descargado nada; lo que falta se apunta en la libreta 75 (7 bis). Escrito en tres niveles y con remisiones enlazables. Marcas: {fuente: …} niveles 2 y 3; {original: …} nivel 3; [trazabilidad] nivel 3; {completo} solo nivel 3; {breve} solo niveles 1 y 2. Trazabilidad: al final de cada párrafo o bloque, entre corchetes (se ve en el nivel completo). Reparto (6-oct): dos agentes localizaron y descargaron las fuentes (c9a: normas, estadísticas, Comín y la Biblia; c9b: los diez casos, los ashanti, los iroqueses y los aztecas); Claude descargó y leyó Hobbes, Núremberg y la Ley de Sociedades de Capital (c9) y leyó lo ya descargado en c5. Cada dato tiene su pasaje en el paso 2 (14 ARCHIVO DE PASAJES). Leído hoy en su original (paso 2, 6-oct): - BOE: Ley de Sociedades de Capital (art. 363.1.e); Ley Concursal (art. 1.3, ya en 5.1); Ley 22/2015, de Auditoría de Cuentas (art. 5.1.e); Código Penal (arts. 127 bis.1 y 127 quater.1 y 2); Orden EHA/3565/2008 (anexo IV, concepto 391); Decreto 2065/1974 (art. 154); Ley 26/1985 (arts. 2 y 3 y disposición transitoria segunda); Ley General de la Seguridad Social (arts. 205.1, 209.1 y 210.1, y disposiciones transitorias séptima, novena y cuadragésima); Real Decreto-ley 2/2023; Ley de Enjuiciamiento Civil (art. 607.1); Código Civil (arts. 659, 1003 y 1023); Constitución (arts. 9.1, 9.3, 25.1 y 168). - Organismos: Tribunal de Cuentas (Declaración sobre la Cuenta General del Estado de 2024, párrs. 2.23 y 4.20); Eurostat (gov_10a_main, gov_10dd_edpt1, gov_10a_exp y demo_gind); INE (tablas 1415 y 1414, IPC, Tabla de Pensiones 2021); OCDE (Taxing Wages); Ayuntamiento de Madrid (ejecución del presupuesto de ingresos de 2023 y 2024, datos abiertos). - Autores: Hobbes, Leviatán, final del cap. XXVIII y cap. XXIX (inglés, Gutenberg n.º 3207); Tribunal Militar Internacional de Núremberg, sentencia de 1-10-1946, «The Law of the Charter» (Avalon Project); Comín, Ayer, 21 (1996), p. 167; Biblia, Reina-Valera Antigua (2 R 14:6; Ez 18:20; Heb 4:12; Mt 3:12; Mt 13:29; Pr 22:7). - Los diez casos (c9b): Bill of Rights (legislation.gov.uk); Indian Independence Act 1947; Consejo de Estado y Sejm de Polonia (ISAP; resolución de 14-3-2014); rueda de prensa y nota del 9-11-1989 (Crónica del Muro); proyecto 217 y actas de la Asamblea Federal checoslovaca (29-11 y 29-12-1989); Casa Blanca (Biblioteca Reagan, 15 y 22-2-1986); discurso de De Klerk (2-2-1990, archivo O'Malley); NDI y Centro Carter (9-6-1999); OSCE/ODIHR, informe final sobre Georgia (28-1-2004); FMI, informe de país n.º 08/362; Gobierno de Islandia (26-1-2009); Instituto de Estadística de Islandia; Comisión Investigadora Especial de Islandia (2010); tratado de Fort Stanwix (1784, Avalon Project); López Austin (UNAM) y Torquemada, Monarquía indiana. - Fuentes secundarias (se marcan en el texto): Encyclopaedia Britannica; Parlamento del Reino Unido; Oficina de Prensa del Gobierno de la India; Gandhi Heritage Portal; Instituto de la Memoria Nacional de Polonia (IPN); Agencia Federal de Educación Cívica (bpb) y Archivo Federal de Alemania; Crónica del Muro; Instituto para el Estudio de los Regímenes Totalitarios (ÚSTR); Gaceta Oficial de Filipinas (copia del Internet Archive); Biblioteca del Congreso de EE. UU. (copia en countrystudies.us); Universidad Nacional Australiana; Columbia Magazine. Estudios privados: Instituto de Estudios Económicos; ATA (en 8.4). Hallado al escribir: erratas de la Biblioteca que la edición lleva corregidas (07 FE DE ERRATAS): - 00.0-5.4: «casi cuatro veces» → más de cuatro (4,3, con la deuda del mismo año, 2021). - 00.0-5.9: «sabían o debían sospechar» → lo que dice el Código Penal, art. 127 quater.1 y 2. - 21.00-16.7: las páginas de los Códigos del BOE cambian con cada edición: aquí no se dan (se remite a 5.2). - 21.00-16.8: el 1,5-2,5 % del IEE es la parte que atribuye a la fragmentación normativa, estimada «de manera conservadora»; el total, según otros autores que cita, es del 3 % al 5 %. - 21.00-16.24: «ya no es ley» → «ya no será ley» (Aquino, como en 1.1). - 19.00-13.1 (no hubo Parlamento reunido: carta de siete notables, 30-6-1688); 14.2 (la ley de 1947 es la Indian Independence Act); 15.1 (las elecciones y el Gobierno de 1989, con su matiz); 17.1 (29-11-1989, no el 28); 19.1 (las ganó el CNA; la Asamblea Nacional eligió a Mandela); 20.1 (las primeras competitivas desde 1955); 21.1 (irrupción el 22-11, dimisión el 23); 22.1 (el superlativo es del FMI, con su redacción); 23.1 (de 1688 a 2009, más de tres siglos; sin la Primavera Árabe; y «todos tardaron años o décadas», que no casa con las fechas de los propios casos). Y al redactar (libreta 75, 7 bis), sin descargar nada: - 19.00-14.1, 18.1, 19.1, 20.1 y 22.1: frases sin fuente leída que no entran («erosionó la legitimidad del Raj», «negociada», «sin sustancia moral que defender», «décadas de resistencia, sanciones y aislamiento», «la corrupción y el nepotismo», «sin un solo día de suspensión del orden constitucional»). - 19.00-23.1: «no todos tuvieron desenlaces estables» no tiene fuente leída: pasa al límite honesto como lo que la obra no ha estudiado. - 19.00-11.1 dice «tres» mecanismos; el 7.5 cuenta cuatro tradiciones que lo hicieron institución (con los veedores incas). Aquí se dice por qué los incas no cuentan para este apartado. - 19.00-11.1: el «procedimiento de garantías» de Qumrán no se ha leído (en 7.5, solo las penas graduadas): no entra. - 21.00-16.14: según el índice del agente (c9a), el grupo GF0101 de Eurostat incluye también los asuntos exteriores; la definición oficial no se ha leído. Se deja «gobierno, parlamentos y hacienda», con el código. - Capítulo 8, «Dónde se oye la defensa del Estado»: dice «en el veredicto (11.4)»; con el glosario 7.1, 11.4 es la defensa frente al dictamen (HECHO en el paso 4, 7-oct: en los capítulos 7 y 8). No entra: la fuente maya (sin leer en el original); el texto del discurso de dimisión de Suharto (solo en prensa); la salida de Marcos por la base de Clark y hacia Guam (sin comprobar); Yaa Asantewaa (no aparece en las fuentes leídas); la fecha exacta de las cacerolas de Islandia; los nombres de los responsables a quienes la comisión de Islandia atribuye negligencia (se dicen sus cargos). Remisiones: el orden de las leyes y la corrupción de la ley (1.1); la ley natural y Núremberg (1.4); nadie es juez en su propia causa (1.7); P4, P7 y P8 (3.2); la remisión, el jubileo y la usura (3.3); la servidumbre voluntaria y la creencia sin comprobar (4.1); lo que se da por supuesto sobre el concurso, el IRPF y las pensiones (5.1, n.º 5, 7 y 24); las plantas 2, 3 y 5 (5.2); Hobbes y la portada (6.1); la auctoritas (6.2); la deslegitimación (6.3); el derecho de resistencia (6.5); los 93 artículos (7.1); la Seguridad Social (7.2, n.º 11); las tradiciones que hicieron institución la corrección (7.5); la carga, los frutos que se reconocen y los 226 horas (8.4); la hucha, los intereses y el velo (8.6); la confianza y «el sistema creó los problemas» (8.9). Conceptos que ancla: la quiebra camuflada (9.1, siempre como lectura del autor); el dictamen (9.1).</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t xml:space="preserve"> (Ley de Sociedades de Capital, art. 363.1.e)</w:t>
      </w:r>
      <w:r>
        <w:t>. Es la vara de la obra: la regla que el sistema aplica a cualquier persona o empresa (</w:t>
      </w:r>
      <w:r>
        <w:t>0.5</w:t>
      </w:r>
      <w:r>
        <w:t xml:space="preserve">). </w:t>
      </w:r>
      <w:r>
        <w:t>[00.0-5.1 y 5.2; 21.00-16.1 y 16.16; Ley de Sociedades de Capital leída en el BOE]</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t xml:space="preserve"> (Tribunal de Cuentas, Declaración sobre la Cuenta General del Estado de 2024, párr. 2.23)</w:t>
      </w:r>
      <w:r>
        <w:t>. Son ocho cierres seguidos (</w:t>
      </w:r>
      <w:r>
        <w:t>7.2</w:t>
      </w:r>
      <w:r>
        <w:t>, n.º 11).</w:t>
      </w:r>
    </w:p>
    <w:p>
      <w:pPr>
        <w:pStyle w:val="ListBullet"/>
      </w:pPr>
      <w:r>
        <w:rPr>
          <w:b/>
        </w:rPr>
        <w:t>Debe al Estado</w:t>
      </w:r>
      <w:r>
        <w:t xml:space="preserve"> 126.170 millones de euros en préstamos, «un 7,91 % del Producto Interior Bruto (PIB) de 2024»</w:t>
      </w:r>
      <w:r>
        <w:t xml:space="preserve"> (ídem, párr. 4.20)</w:t>
      </w:r>
      <w:r>
        <w:t>.</w:t>
      </w:r>
    </w:p>
    <w:p>
      <w:pPr>
        <w:pStyle w:val="ListBullet"/>
      </w:pPr>
      <w:r>
        <w:rPr>
          <w:b/>
        </w:rPr>
        <w:t>Las administraciones</w:t>
      </w:r>
      <w:r>
        <w:t xml:space="preserve"> gastaron más de lo que ingresaron en 28 de los 31 años de 1995 a 2025: solo cerraron con superávit en 2005, 2006 y 2007</w:t>
      </w:r>
      <w:r>
        <w:t xml:space="preserve"> (Eurostat, cuentas de las administraciones públicas (gov_10a_main), saldo en % del PIB)</w:t>
      </w:r>
      <w:r>
        <w:t>. La deuda pasó de 384.662 millones de euros en 2007 a 1.698.225 a final de 2025</w:t>
      </w:r>
      <w:r>
        <w:t xml:space="preserve"> (Eurostat, deuda de las administraciones públicas (gov_10dd_edpt1))</w:t>
      </w:r>
      <w:r>
        <w:t>, y lo que falta cada año equivale, más o menos, a los intereses de lo ya pedido (</w:t>
      </w:r>
      <w:r>
        <w:t>8.6</w:t>
      </w:r>
      <w:r>
        <w:t>).</w:t>
      </w:r>
    </w:p>
    <w:p>
      <w:r>
        <w:t>[21.00-16.9; Tribunal de Cuentas y Eurostat leídos en el original]</w:t>
      </w:r>
    </w:p>
    <w:p>
      <w:r>
        <w:rPr>
          <w:b/>
        </w:rPr>
        <w:t>Por qué no se le declara en quiebra.</w:t>
      </w:r>
      <w:r>
        <w:t xml:space="preserve"> Porque la ley que él mismo escribe lo excluye del concurso de acreedores (</w:t>
      </w:r>
      <w:r>
        <w:t>5.1</w:t>
      </w:r>
      <w:r>
        <w:t>, n.º 7). Y nadie debe ser juez en su propia causa (</w:t>
      </w:r>
      <w:r>
        <w:t>1.7</w:t>
      </w:r>
      <w:r>
        <w:t xml:space="preserve">). </w:t>
      </w:r>
      <w:r>
        <w:t>[00.0-5.2; 21.00-16.23]</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 </w:t>
      </w:r>
      <w:r>
        <w:t>[00.0-5.2; 21.00-16.16; glosario 7.2]</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 </w:t>
      </w:r>
      <w:r>
        <w:t>[00.0-5.3; 21.00-16.17]</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t xml:space="preserve"> (Eurostat, deuda de las administraciones públicas)</w:t>
      </w:r>
      <w:r>
        <w:t>: la prometida era más de cuatro veces mayor, 4,3 veces (cálculo de la obra). El propio INE advierte que es el valor actual de pagos futuros, no una deuda que venza hoy (</w:t>
      </w:r>
      <w:r>
        <w:t>5.1</w:t>
      </w:r>
      <w:r>
        <w:t xml:space="preserve">, n.º 24). </w:t>
      </w:r>
      <w:r>
        <w:t>[00.0-5.4, corregido: «casi cuatro» comparaba con la deuda de 2025; 21.00-16.26]</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 xml:space="preserve">). </w:t>
      </w:r>
      <w:r>
        <w:t>[00.0-5.4; 21.00-16.26]</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 </w:t>
      </w:r>
      <w:r>
        <w:t>[00.0-5.4; 21.00-16.26]</w:t>
      </w:r>
    </w:p>
    <w:p>
      <w:r>
        <w:rPr>
          <w:b/>
        </w:rPr>
        <w:t>Lectura del autor:</w:t>
      </w:r>
      <w:r>
        <w:t xml:space="preserve"> el ciudadano es a la vez acreedor y pagador: el sistema le debe, y le cobra para pagarle lo que le debe. Es una deuda contraída contra el ciudadano, y es el Estado quien debe compensarle. </w:t>
      </w:r>
      <w:r>
        <w:t>[00.0-5.5; 21.00-16.27]</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t xml:space="preserve"> [original: «Crimes against international law are committed by men, not by abstract entities»]</w:t>
      </w:r>
      <w:r>
        <w:t xml:space="preserve"> (Tribunal Militar Internacional de Núremberg, sentencia de 1-10-1946, «The Law of the Charter» (El derecho del Estatuto))</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t xml:space="preserve"> (Código Penal, art. 127 quater.1.a)</w:t>
      </w:r>
      <w:r>
        <w:t>. La ley ya presume, salvo prueba en contrario, que el tercero lo sabía cuando los bienes «le hubieran sido transferidos a título gratuito o por un precio inferior al real de mercado»</w:t>
      </w:r>
      <w:r>
        <w:t xml:space="preserve"> (art. 127 quater.2)</w:t>
      </w:r>
      <w:r>
        <w:t>.</w:t>
      </w:r>
    </w:p>
    <w:p>
      <w:pPr>
        <w:spacing w:after="60"/>
        <w:ind w:left="510" w:hanging="397"/>
      </w:pPr>
      <w:r>
        <w:rPr>
          <w:b w:val="0"/>
        </w:rPr>
        <w:t xml:space="preserve">4. </w:t>
      </w:r>
      <w:r>
        <w:rPr>
          <w:b/>
        </w:rPr>
        <w:t>Y nunca por apellido ni por parentesco:</w:t>
      </w:r>
      <w:r>
        <w:t xml:space="preserve"> «el hijo no llevará por el pecado del padre»</w:t>
      </w:r>
      <w:r>
        <w:t xml:space="preserve"> (Ez 18:20)</w:t>
      </w:r>
      <w:r>
        <w:t>. Es el principio de que cada uno responde de lo suyo (</w:t>
      </w:r>
      <w:r>
        <w:t>3.2</w:t>
      </w:r>
      <w:r>
        <w:t>, P7).</w:t>
      </w:r>
    </w:p>
    <w:p>
      <w:r>
        <w:t>[00.0-5.9, corregido: la ley no dice «sabían o debían sospechar»; sentencia de Núremberg leída en el Avalon Project; Código Penal leído en el BOE]</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xml:space="preserve"> [original: «the maxim nullum crimen sine lege is not a limitation of sovereignty, but is in general a principle of justice»]</w:t>
      </w:r>
      <w:r>
        <w:t>. Y que castigar a quien había atacado a sus vecinos violando tratados no era injusto, porque «en tales circunstancias el atacante debe saber que obra mal»</w:t>
      </w:r>
      <w:r>
        <w:t xml:space="preserve"> [original: «in such circumstances the attacker must know that he is doing wrong»]</w:t>
      </w:r>
      <w:r>
        <w:t xml:space="preserve"> (ídem)</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t xml:space="preserve"> (Ley de Enjuiciamiento Civil, art. 607.1)</w:t>
      </w:r>
      <w:r>
        <w:t xml:space="preserve">. </w:t>
      </w:r>
      <w:r>
        <w:t>[00.0-5.10; Ley de Enjuiciamiento Civil leída en el BOE]</w:t>
      </w:r>
    </w:p>
    <w:p>
      <w:r>
        <w:rPr>
          <w:b/>
        </w:rPr>
        <w:t>Los hijos.</w:t>
      </w:r>
      <w:r>
        <w:t xml:space="preserve"> No pagan por sus padres: «no mató á los hijos de los que le mataron, conforme á lo que está escrito en el libro de la ley de Moisés»</w:t>
      </w:r>
      <w:r>
        <w:t xml:space="preserve"> (2 R 14:6)</w:t>
      </w:r>
      <w:r>
        <w:t>. Pero tampoco conservan lo que sus padres no podían dejarles. La herencia comprende «todos los bienes, derechos y obligaciones de una persona que no se extingan por su muerte»</w:t>
      </w:r>
      <w:r>
        <w:t xml:space="preserve"> (Código Civil, art. 659)</w:t>
      </w:r>
      <w:r>
        <w:t>, y quien la acepta a beneficio de inventario responde de sus cargas solo «hasta donde alcancen los bienes de la misma»</w:t>
      </w:r>
      <w:r>
        <w:t xml:space="preserve"> (art. 1023)</w:t>
      </w:r>
      <w:r>
        <w:t xml:space="preserve">. Lo heredado de origen ilícito se devuelve, hasta donde alcance la herencia, y lo que los hijos ganaron con su trabajo es suyo. Quien demuestre haber servido al bien común verá valorada esa conducta, después de restituir. </w:t>
      </w:r>
      <w:r>
        <w:t>[00.0-5.10; Código Civil leído en el BOE; 2 R 14:6 en la Reina-Valera Antigua]</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xml:space="preserve">). Es la raíz de la propia palabra del poder, y sirve de medida: ¿hace crecer este sistema a quienes lo sostienen? </w:t>
      </w:r>
      <w:r>
        <w:t>[00.0-5.6; glosario 7.3]</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t xml:space="preserve"> (Decreto 2065/1974, art. 154.1.b)</w:t>
      </w:r>
      <w:r>
        <w:t>. Desde 1985, quince</w:t>
      </w:r>
      <w:r>
        <w:t xml:space="preserve"> (Ley 26/1985, art. 2.1)</w:t>
      </w:r>
      <w:r>
        <w:t>, como hoy: «Tener cubierto un período mínimo de cotización de quince años»</w:t>
      </w:r>
      <w:r>
        <w:t xml:space="preserve"> (Ley General de la Seguridad Social, art. 205.1.b)</w:t>
      </w:r>
      <w:r>
        <w:t>.</w:t>
      </w:r>
    </w:p>
    <w:p>
      <w:pPr>
        <w:pStyle w:val="ListBullet"/>
      </w:pPr>
      <w:r>
        <w:rPr>
          <w:b/>
        </w:rPr>
        <w:t>El paso de diez a quince</w:t>
      </w:r>
      <w:r>
        <w:t xml:space="preserve"> fue gradual: la ley de 1985 sumaba al mínimo anterior «la mitad del tiempo transcurrido» desde su entrada en vigor, «hasta que el período así determinado alcance los quince años»</w:t>
      </w:r>
      <w:r>
        <w:t xml:space="preserve"> (Ley 26/1985, disposición transitoria segunda)</w:t>
      </w:r>
      <w:r>
        <w:t>. Y la de 1974 pedía además que setecientos días estuvieran dentro de los siete años anteriores</w:t>
      </w:r>
      <w:r>
        <w:t xml:space="preserve"> (Decreto 2065/1974, art. 154.1.b)</w:t>
      </w:r>
      <w:r>
        <w:t>.</w:t>
      </w:r>
    </w:p>
    <w:p>
      <w:pPr>
        <w:pStyle w:val="ListBullet"/>
      </w:pPr>
      <w:r>
        <w:rPr>
          <w:b/>
        </w:rPr>
        <w:t>Para calcularla:</w:t>
      </w:r>
      <w:r>
        <w:t xml:space="preserve"> en 1985, con los últimos ocho años: «las bases de cotización del interesado durante los noventa y seis meses inmediatamente anteriores»</w:t>
      </w:r>
      <w:r>
        <w:t xml:space="preserve"> (Ley 26/1985, art. 3.1)</w:t>
      </w:r>
      <w:r>
        <w:t>; desde 2026, con las 302 mejores bases de los últimos 304 meses, unos 25 años</w:t>
      </w:r>
      <w:r>
        <w:t xml:space="preserve"> (Ley General de la Seguridad Social, disposición transitoria cuadragésima)</w:t>
      </w:r>
      <w:r>
        <w:t>; y desde 2037, con las 324 mejores de los últimos 348 meses: los 27 mejores años de los últimos 29</w:t>
      </w:r>
      <w:r>
        <w:t xml:space="preserve"> (art. 209.1)</w:t>
      </w:r>
      <w:r>
        <w:t>.</w:t>
      </w:r>
    </w:p>
    <w:p>
      <w:pPr>
        <w:pStyle w:val="ListBullet"/>
      </w:pPr>
      <w:r>
        <w:rPr>
          <w:b/>
        </w:rPr>
        <w:t>Para cobrarla entera:</w:t>
      </w:r>
      <w:r>
        <w:t xml:space="preserve"> desde 2027, 37 años cotizados: el 50 % por los primeros quince, y el resto mes a mes</w:t>
      </w:r>
      <w:r>
        <w:t xml:space="preserve"> (art. 210.1 y disposición transitoria novena; cálculo de la obra)</w:t>
      </w:r>
      <w:r>
        <w:t>.</w:t>
      </w:r>
    </w:p>
    <w:p>
      <w:pPr>
        <w:pStyle w:val="ListBullet"/>
      </w:pPr>
      <w:r>
        <w:rPr>
          <w:b/>
        </w:rPr>
        <w:t>La edad:</w:t>
      </w:r>
      <w:r>
        <w:t xml:space="preserve"> «Haber cumplido sesenta y siete años de edad, o sesenta y cinco años cuando se acrediten treinta y ocho años y seis meses de cotización»</w:t>
      </w:r>
      <w:r>
        <w:t xml:space="preserve"> (art. 205.1.a)</w:t>
      </w:r>
      <w:r>
        <w:t>. La subida desde los 65 se completa en 2027</w:t>
      </w:r>
      <w:r>
        <w:t xml:space="preserve"> (disposición transitoria séptima)</w:t>
      </w:r>
      <w:r>
        <w:t>.</w:t>
      </w:r>
    </w:p>
    <w:p>
      <w:r>
        <w:t>[21.00-16.6; leyes leídas en el BOE]</w:t>
      </w:r>
    </w:p>
    <w:p>
      <w:r>
        <w:rPr>
          <w:b/>
        </w:rPr>
        <w:t>Más carga.</w:t>
      </w:r>
    </w:p>
    <w:p>
      <w:pPr>
        <w:pStyle w:val="ListBullet"/>
      </w:pPr>
      <w:r>
        <w:rPr>
          <w:b/>
        </w:rPr>
        <w:t>Impuestos y cotizaciones:</w:t>
      </w:r>
      <w:r>
        <w:t xml:space="preserve"> lo que pasa por las administraciones por esas dos vías era el 32,3 % del PIB en 1995 y fue el 37,3 % en 2024</w:t>
      </w:r>
      <w:r>
        <w:t xml:space="preserve"> (Eurostat, gov_10a_taxag)</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t xml:space="preserve"> (Eurostat, cuentas de las administraciones públicas (gov_10a_main))</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t xml:space="preserve"> (OCDE, Taxing Wages)</w:t>
      </w:r>
      <w:r>
        <w:t xml:space="preserve"> (</w:t>
      </w:r>
      <w:r>
        <w:t>8.4</w:t>
      </w:r>
      <w:r>
        <w:t>), sin el IVA, los tributos municipales ni los impuestos especiales.</w:t>
      </w:r>
    </w:p>
    <w:p>
      <w:r>
        <w:t>[21.00-16.3 a 16.5; OCDE y Eurostat leídos en sus datos oficiales; IPC y población del INE y de Eurostat]</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t xml:space="preserve"> (Instituto de Estudios Económicos, Revista del IEE, n.º 4/2022, pp. 16 y 26; estudio privado)</w:t>
      </w:r>
      <w:r>
        <w:t>. Solo esa mitad ya supera lo que se gasta en gobierno, parlamentos y hacienda: el 1,3 % del PIB en 2024</w:t>
      </w:r>
      <w:r>
        <w:t xml:space="preserve"> (Eurostat, gasto por funciones (gov_10a_exp), grupo GF0101)</w:t>
      </w:r>
      <w:r>
        <w:t xml:space="preserve">. </w:t>
      </w:r>
      <w:r>
        <w:t>[21.00-16.7 y 16.8, corregido: el 1,5-2,5 % no es el total de las cargas, sino la parte que el Instituto atribuye a la fragmentación de normas]</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t xml:space="preserve"> [original: «struggles with the people by strategems of Law, to obtain little summes, which not sufficing, he is fain at last violently to open the way for present supply, or Perish»]</w:t>
      </w:r>
      <w:r>
        <w:t xml:space="preserve"> (Hobbes, Leviatán, cap. XXIX)</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t xml:space="preserve"> (Orden EHA/3565/2008, anexo IV, concepto 391, subconcepto 391.20)</w:t>
      </w:r>
      <w:r>
        <w:t>. El Ayuntamiento de Madrid previó 211,4 millones de euros por multas de circulación en 2024 y reconoció 220,2, un 4,1 % más; en 2023, 199,3 previstos y 213,4 reconocidos, un 7,1 % más</w:t>
      </w:r>
      <w:r>
        <w:t xml:space="preserve"> (Ayuntamiento de Madrid, ejecución del presupuesto de ingresos, datos abiertos)</w:t>
      </w:r>
      <w:r>
        <w:t>. El castigo que se presupuesta antes de cometerse la infracción es lo que las tradiciones separaron del negocio (</w:t>
      </w:r>
      <w:r>
        <w:t>3.2</w:t>
      </w:r>
      <w:r>
        <w:t>, P8).</w:t>
      </w:r>
    </w:p>
    <w:p>
      <w:r>
        <w:t>[21.00-16.10, 16.11 y 16.29; Hobbes leído en inglés (Gutenberg); Orden EHA/3565/2008 leída en el BOE; datos abiertos de Madrid leídos en el original]</w:t>
      </w:r>
    </w:p>
    <w:p>
      <w:r>
        <w:rPr>
          <w:b/>
        </w:rPr>
        <w:t>Lo que hay que reconocer.</w:t>
      </w:r>
    </w:p>
    <w:p>
      <w:pPr>
        <w:pStyle w:val="ListBullet"/>
      </w:pPr>
      <w:r>
        <w:rPr>
          <w:b/>
        </w:rPr>
        <w:t>Se vive más.</w:t>
      </w:r>
      <w:r>
        <w:t xml:space="preserve"> La esperanza de vida a los 65 años pasó de 15,8 años en 1978 a 21,9 en 2024</w:t>
      </w:r>
      <w:r>
        <w:t xml:space="preserve"> (INE, tabla 1415)</w:t>
      </w:r>
      <w:r>
        <w:t>: la pensión se cobra más años, y la edad de jubilación ha subido dos. El gasto en pensiones de vejez es el que más crece: del 6,6 % del PIB en 1995 al 10,4 % en 2024, todavía provisional</w:t>
      </w:r>
      <w:r>
        <w:t xml:space="preserve"> (Eurostat, gasto por funciones (gov_10a_exp))</w:t>
      </w:r>
      <w:r>
        <w:t>.</w:t>
      </w:r>
    </w:p>
    <w:p>
      <w:pPr>
        <w:pStyle w:val="ListBullet"/>
      </w:pPr>
      <w:r>
        <w:rPr>
          <w:b/>
        </w:rPr>
        <w:t>La estructura no crece.</w:t>
      </w:r>
      <w:r>
        <w:t xml:space="preserve"> Lo que se gasta en gobierno, parlamentos y hacienda baja: del 1,5 % del PIB en 1995 al 1,3 % en 2024</w:t>
      </w:r>
      <w:r>
        <w:t xml:space="preserve"> (ídem)</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t xml:space="preserve"> (Comín, «Sector público y crecimiento económico en la dictadura de Franco», Ayer, 21, 1996, p. 167)</w:t>
      </w:r>
      <w:r>
        <w:t>. La forma cambia; el patrón de una estructura que se sostiene sobre la persona permanece.</w:t>
      </w:r>
    </w:p>
    <w:p>
      <w:r>
        <w:t>[21.00-16.12 a 16.15; INE, Eurostat y Comín leídos en el original]</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 </w:t>
      </w:r>
      <w:r>
        <w:t>[00.0-5.6; 21.00-16.29]</w:t>
      </w:r>
    </w:p>
    <w:p>
      <w:r>
        <w:rPr>
          <w:b/>
        </w:rPr>
        <w:t>Lectura del autor:</w:t>
      </w:r>
      <w:r>
        <w:t xml:space="preserve"> ha llegado a su final. Ha perdido su </w:t>
      </w:r>
      <w:r>
        <w:rPr>
          <w:i/>
        </w:rPr>
        <w:t>auctoritas</w:t>
      </w:r>
      <w:r>
        <w:t xml:space="preserve">,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 </w:t>
      </w:r>
      <w:r>
        <w:t>[00.0-5.7; 21.00-16.30]</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r>
        <w:t>[21.00-16.18 a 16.24; 21.00-16.24, corregido: «ya no será ley», como en 1.1; la deuda por habitante, con los datos de 2025, como el resto del apartado]</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xml:space="preserve"> [original: «King of the Proud»]</w:t>
      </w:r>
      <w:r>
        <w:t>. Y sigue: «pero porque es mortal y está sujeto a la decadencia, como todas las demás criaturas terrenas, y porque hay algo en el cielo, aunque no en la tierra, a lo que debe temer y cuyas leyes debe obedecer»</w:t>
      </w:r>
      <w:r>
        <w:t xml:space="preserve"> [original: «But because he is mortall, and subject to decay, as all other Earthly creatures are; and because there is that in heaven, (though not on earth) that he should stand in fear of, and whose Lawes he ought to obey»]</w:t>
      </w:r>
      <w:r>
        <w:t>, dedicará los capítulos siguientes a «sus enfermedades y las causas de su mortalidad, y a qué leyes de la naturaleza está obligado a obedecer»</w:t>
      </w:r>
      <w:r>
        <w:t xml:space="preserve"> [original: «his Diseases, and the causes of his Mortality; and of what Lawes of Nature he is bound to obey»]</w:t>
      </w:r>
      <w:r>
        <w:t xml:space="preserve"> (Hobbes, Leviatán, final del cap. XXVIII)</w:t>
      </w:r>
      <w:r>
        <w:t>. La portada de 1651 recoge el versículo cortado (</w:t>
      </w:r>
      <w:r>
        <w:t>6.1</w:t>
      </w:r>
      <w:r>
        <w:t xml:space="preserve">); la Vulgata continúa: «qui factus est ut nullum timeret» (que fue hecho para no temer a nadie) (Job 41:24). </w:t>
      </w:r>
      <w:r>
        <w:t>[00.0-5.12; 21.00-16.24; Hobbes leído en inglés (Gutenberg)]</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t xml:space="preserve"> (Heb 4:12)</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t xml:space="preserve"> (Mt 13:29)</w:t>
      </w:r>
      <w:r>
        <w:t xml:space="preserve">. Se separa caso a caso, con pruebas; la siega final no es nuestra. </w:t>
      </w:r>
      <w:r>
        <w:t>[00.0-5.12 y 5.13; Heb 4:12, Mt 3:12 y Mt 13:29 en la Reina-Valera Antigua]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t xml:space="preserve"> (Ley 22/2015, de Auditoría de Cuentas, art. 5.1.e)</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 xml:space="preserve">). </w:t>
      </w:r>
      <w:r>
        <w:t>[00.0-5.15; 00.0-6.10; Ley 22/2015 leída en el BOE]</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 </w:t>
      </w:r>
      <w:r>
        <w:t>[00.0-5.14 y 5.15]</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xml:space="preserve">): es el diagnóstico que funda la reforma, no una orden de desobediencia. </w:t>
      </w:r>
      <w:r>
        <w:t>[00.0-5.16 y 5.17]</w:t>
      </w:r>
    </w:p>
    <w:p>
      <w:r>
        <w:t>[Dónde está la prueba, según el Pórtico: 21.00, sección 12; 20.00; 22.00; 24.00; 25.00; y la auditoría de España, 14.00 a 19.00 (00.0-5.18)]</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t xml:space="preserve"> (Encyclopaedia Britannica, «Asante empire» y «Ghana»; fuente secundaria)</w:t>
      </w:r>
      <w:r>
        <w:t>. Los iroqueses, divididos en la guerra de independencia de Estados Unidos, cedieron en 1784 «todo derecho sobre el territorio» al oeste de la nueva frontera</w:t>
      </w:r>
      <w:r>
        <w:t xml:space="preserve"> [original: «all claims to the country west of the said boundary»]</w:t>
      </w:r>
      <w:r>
        <w:t xml:space="preserve"> (tratado de Fort Stanwix, 22-10-1784, art. III (Avalon Project))</w:t>
      </w:r>
      <w:r>
        <w:t xml:space="preserve">. Corregirse por dentro y resistir la fuerza de fuera son dos problemas distintos, y ninguno de los pueblos estudiados resolvió los dos a la vez. </w:t>
      </w:r>
      <w:r>
        <w:t>[19.00-11.1, corregido: el 7.5 cuenta cuatro, con los incas; el «procedimiento de garantías» de Qumrán no se ha leído; fechas leídas en Britannica y en el tratado]</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xml:space="preserve">). Diez casos, cada uno con su fecha y su fuente, como hecho histórico comparado y no como manual de instrucciones: cada uno tuvo su causa, su proceso y sus consecuencias, y no todos terminaron igual de bien para quienes participaron. </w:t>
      </w:r>
      <w:r>
        <w:t>[19.00-12.1]</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t xml:space="preserve"> (Parlamento del Reino Unido, «The reign of James II» (El reinado de Jacobo II); fuente secundaria)</w:t>
      </w:r>
      <w:r>
        <w:t>. El 30 de junio de 1688, siete ingleses destacados escribieron a Guillermo de Orange para invitarle a venir; el rey no se atrevió a arriesgar su ejército en una batalla y huyó el 23 de diciembre</w:t>
      </w:r>
      <w:r>
        <w:t xml:space="preserve"> (Encyclopaedia Britannica, «James II»; fuente secundaria)</w:t>
      </w:r>
      <w:r>
        <w:t>. En 1689, la Declaración de Derechos dejó escrito «que el pretendido poder de suspender las leyes o su ejecución por autoridad real, sin consentimiento del Parlamento, es ilegal»</w:t>
      </w:r>
      <w:r>
        <w:t xml:space="preserve"> [original: «That the pretended Power of Suspending of Laws or the Execution of Laws by Regall Authority without Consent of Parlyament is illegall»]</w:t>
      </w:r>
      <w:r>
        <w:t xml:space="preserve"> (Bill of Rights, 1688 c. 2 (legislation.gov.uk))</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t xml:space="preserve"> (Encyclopaedia Britannica, «Salt March» (La marcha de la sal); fuente secundaria)</w:t>
      </w:r>
      <w:r>
        <w:t>. A finales de año, unas 60.000 personas estaban en la cárcel</w:t>
      </w:r>
      <w:r>
        <w:t xml:space="preserve"> (ídem)</w:t>
      </w:r>
      <w:r>
        <w:t>; a él lo detuvieron el 5 de mayo</w:t>
      </w:r>
      <w:r>
        <w:t xml:space="preserve"> (Gandhi Heritage Portal (archivo del áshram de Sabarmati); fuente secundaria)</w:t>
      </w:r>
      <w:r>
        <w:t>. Diecisiete años después, una ley británica dispuso que desde el 15 de agosto de 1947 se establecieran «dos dominios independientes», la India y Pakistán</w:t>
      </w:r>
      <w:r>
        <w:t xml:space="preserve"> [original: «two independent Dominions shall be set up in India, to be known respectively as India and Pakistan»]</w:t>
      </w:r>
      <w:r>
        <w:t xml:space="preserve"> (Indian Independence Act 1947, sección 1.1 (legislation.gov.uk))</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t xml:space="preserve"> [original: «nowych, samorządnych związków zawodowych»]</w:t>
      </w:r>
      <w:r>
        <w:t xml:space="preserve"> (Instituto de la Memoria Nacional de Polonia (IPN); fuente secundaria)</w:t>
      </w:r>
      <w:r>
        <w:t>. Solidaridad fue el primer sindicato independiente en un país del bloque soviético</w:t>
      </w:r>
      <w:r>
        <w:t xml:space="preserve"> (Encyclopaedia Britannica, «Solidarity»; fuente secundaria)</w:t>
      </w:r>
      <w:r>
        <w:t>. Con la ley marcial, implantada el 13 de diciembre de 1981</w:t>
      </w:r>
      <w:r>
        <w:t xml:space="preserve"> (Consejo de Estado, resolución de 12-12-1981 (ISAP))</w:t>
      </w:r>
      <w:r>
        <w:t>, fue declarado ilegal</w:t>
      </w:r>
      <w:r>
        <w:t xml:space="preserve"> (Britannica; fuente secundaria)</w:t>
      </w:r>
      <w:r>
        <w:t>, y una ley de 8 de octubre de 1982 anuló todos los registros sindicales anteriores</w:t>
      </w:r>
      <w:r>
        <w:t xml:space="preserve"> (ley de sindicatos de 8-10-1982, art. 52 (ISAP))</w:t>
      </w:r>
      <w:r>
        <w:t>. La Mesa Redonda (6 de febrero a 5 de abril de 1989) llevó a las elecciones «parcialmente democráticas» del 4 de junio</w:t>
      </w:r>
      <w:r>
        <w:t xml:space="preserve"> [original: «częściowo demokratycznych wyborów»]</w:t>
      </w:r>
      <w:r>
        <w:t xml:space="preserve"> (Sejm, resolución de 14-3-2014)</w:t>
      </w:r>
      <w:r>
        <w:t>, y el 24 de agosto fue nombrado el primer jefe de Gobierno no comunista de un país de Europa del Este desde finales de los años cuarenta</w:t>
      </w:r>
      <w:r>
        <w:t xml:space="preserve"> (Encyclopaedia Britannica, «Tadeusz Mazowiecki»; Ministerio de Educación de Polonia (zpe.gov.pl); fuentes secundarias)</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t xml:space="preserve"> (Agencia Federal de Educación Cívica (bpb), crónica del 7-5-1989; fuente secundaria)</w:t>
      </w:r>
      <w:r>
        <w:t>. Desde el 4 de septiembre hubo manifestaciones cada lunes en Leipzig; el 9 de octubre, unas 75.000 personas, y la policía no intervino</w:t>
      </w:r>
      <w:r>
        <w:t xml:space="preserve"> (bpb, crónicas del 4-9 y del 9-10-1989)</w:t>
      </w:r>
      <w:r>
        <w:t>. El 9 de noviembre, un portavoz del Gobierno dijo en directo que las nuevas normas de viaje entraban en vigor «inmediatamente», cuando su nota decía que se publicaran al día siguiente</w:t>
      </w:r>
      <w:r>
        <w:t xml:space="preserve"> (transcripción de la rueda de prensa y nota del portavoz (Crónica del Muro))</w:t>
      </w:r>
      <w:r>
        <w:t>; esa noche, ante la multitud, el oficial al mando del paso de Bornholmer Straße decidió abrirlo</w:t>
      </w:r>
      <w:r>
        <w:t xml:space="preserve"> (Crónica del Muro; bpb; fuentes secundarias)</w:t>
      </w:r>
      <w:r>
        <w:t>. La Unión Soviética se disolvió en diciembre de 1991</w:t>
      </w:r>
      <w:r>
        <w:t xml:space="preserve"> (Oficina del Historiador, Departamento de Estado de EE. UU.; Britannica)</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t xml:space="preserve"> (Encyclopaedia Britannica, «Velvet Revolution» (La revolución de terciopelo); Presidencia de la República Checa; fuentes secundarias)</w:t>
      </w:r>
      <w:r>
        <w:t>. Siguieron las protestas y, el 27, una huelga general</w:t>
      </w:r>
      <w:r>
        <w:t xml:space="preserve"> (ídem; ÚSTR)</w:t>
      </w:r>
      <w:r>
        <w:t>. El 29 de noviembre, a propuesta del Gobierno, la Asamblea Federal suprimió de la Constitución el papel dirigente del Partido Comunista, sin ningún voto en contra ni abstención</w:t>
      </w:r>
      <w:r>
        <w:t xml:space="preserve"> (Asamblea Federal, proyecto 217 y acta de la sesión de 29-11-1989)</w:t>
      </w:r>
      <w:r>
        <w:t>. Václav Havel, detenido en enero de ese mismo año</w:t>
      </w:r>
      <w:r>
        <w:t xml:space="preserve"> (ÚSTR, Paměť a dějiny, 2019/3; fuente secundaria)</w:t>
      </w:r>
      <w:r>
        <w:t>, fue elegido presidente por la Asamblea Federal el 29 de diciembre</w:t>
      </w:r>
      <w:r>
        <w:t xml:space="preserve"> (acta de la sesión de 29-12-1989)</w:t>
      </w:r>
      <w:r>
        <w:t>.</w:t>
      </w:r>
    </w:p>
    <w:p>
      <w:pPr>
        <w:spacing w:after="60"/>
        <w:ind w:left="510" w:hanging="397"/>
      </w:pPr>
      <w:r>
        <w:rPr>
          <w:b w:val="0"/>
        </w:rPr>
        <w:t xml:space="preserve">6. </w:t>
      </w:r>
      <w:r>
        <w:rPr>
          <w:b/>
        </w:rPr>
        <w:t>Filipinas, 1986.</w:t>
      </w:r>
      <w:r>
        <w:t xml:space="preserve"> Ferdinand Marcos era presidente desde el 30 de diciembre de 1965</w:t>
      </w:r>
      <w:r>
        <w:t xml:space="preserve"> (Encyclopaedia Britannica, «Ferdinand Marcos»; fuente secundaria)</w:t>
      </w:r>
      <w:r>
        <w:t>. De las elecciones del 7 de febrero de 1986, el Gobierno de Estados Unidos, aliado suyo, dijo que quedaron «empañadas por un fraude y una violencia generalizados, cometidos sobre todo por el partido del Gobierno»</w:t>
      </w:r>
      <w:r>
        <w:t xml:space="preserve"> [original: «the elections were marred by widespread fraud and violence perpetrated largely by the ruling party»]</w:t>
      </w:r>
      <w:r>
        <w:t xml:space="preserve"> (declaración del presidente de EE. UU., 15-2-1986 (Biblioteca Reagan))</w:t>
      </w:r>
      <w:r>
        <w:t>. El 22 de febrero, el ministro de Defensa y el jefe del Estado Mayor dimitieron por ese fraude</w:t>
      </w:r>
      <w:r>
        <w:t xml:space="preserve"> (Casa Blanca, declaración de 22-2-1986)</w:t>
      </w:r>
      <w:r>
        <w:t>. Durante cuatro días, cientos de miles de personas se reunieron en la avenida EDSA de Manila, y millones en todo el país, según la Gaceta Oficial filipina</w:t>
      </w:r>
      <w:r>
        <w:t xml:space="preserve"> (Gaceta Oficial de Filipinas, páginas de EDSA (copia del Internet Archive); fuente secundaria)</w:t>
      </w:r>
      <w:r>
        <w:t>. El 25, Corazón Aquino juró como presidenta y Marcos salió del país</w:t>
      </w:r>
      <w:r>
        <w:t xml:space="preserve"> (Encyclopaedia Britannica, «Corazon Aquino» y «Ferdinand Marcos»; fuente secundaria)</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t xml:space="preserve"> [original: «the Government has taken a firm decision to release Mr Mandela unconditionally»]</w:t>
      </w:r>
      <w:r>
        <w:t xml:space="preserve"> (discurso de F. W. de Klerk, 2-2-1990 (archivo O'Malley))</w:t>
      </w:r>
      <w:r>
        <w:t>. Mandela salió de la cárcel el 11 de febrero, tras veintisiete años y medio</w:t>
      </w:r>
      <w:r>
        <w:t xml:space="preserve"> (Encyclopaedia Britannica, «Nelson Mandela»; fuente secundaria)</w:t>
      </w:r>
      <w:r>
        <w:t>. En las primeras elecciones no raciales, el 27 de abril de 1994, el Congreso Nacional Africano obtuvo el 62,6 % de los votos, y el 9 de mayo la Asamblea Nacional eligió presidente a Mandela, por unanimidad</w:t>
      </w:r>
      <w:r>
        <w:t xml:space="preserve"> (Biblioteca del Congreso de EE. UU., estudio de país (copia en countrystudies.us); South African History Online; fuentes secundarias)</w:t>
      </w:r>
      <w:r>
        <w:t>.</w:t>
      </w:r>
    </w:p>
    <w:p>
      <w:pPr>
        <w:spacing w:after="60"/>
        <w:ind w:left="510" w:hanging="397"/>
      </w:pPr>
      <w:r>
        <w:rPr>
          <w:b w:val="0"/>
        </w:rPr>
        <w:t xml:space="preserve">8. </w:t>
      </w:r>
      <w:r>
        <w:rPr>
          <w:b/>
        </w:rPr>
        <w:t>Indonesia, 1998.</w:t>
      </w:r>
      <w:r>
        <w:t xml:space="preserve"> En 1997, una crisis monetaria que barría el sudeste asiático alcanzó a Indonesia</w:t>
      </w:r>
      <w:r>
        <w:t xml:space="preserve"> (Encyclopaedia Britannica, «Suharto»; fuente secundaria)</w:t>
      </w:r>
      <w:r>
        <w:t>. Suharto llevaba treinta y dos años en el poder, contando desde que tomó el control efectivo del Gobierno en 1966</w:t>
      </w:r>
      <w:r>
        <w:t xml:space="preserve"> (ídem; Forrester y May (eds.), The Fall of Soeharto (La caída de Suharto), Universidad Nacional Australiana, 1998)</w:t>
      </w:r>
      <w:r>
        <w:t>. Los estudiantes ocuparon el Parlamento desde el 18 de mayo de 1998, y el 21 Suharto dimitió</w:t>
      </w:r>
      <w:r>
        <w:t xml:space="preserve"> (ídem)</w:t>
      </w:r>
      <w:r>
        <w:t xml:space="preserve">. Siguió la época llamada </w:t>
      </w:r>
      <w:r>
        <w:rPr>
          <w:i/>
        </w:rPr>
        <w:t>reformasi</w:t>
      </w:r>
      <w:r>
        <w:t>, la reforma</w:t>
      </w:r>
      <w:r>
        <w:t xml:space="preserve"> (Britannica)</w:t>
      </w:r>
      <w:r>
        <w:t>, y el 7 de junio de 1999, según los observadores internacionales, Indonesia celebró «sus primeras elecciones competitivas desde 1955»</w:t>
      </w:r>
      <w:r>
        <w:t xml:space="preserve"> [original: «its first competitive elections since 1955»]</w:t>
      </w:r>
      <w:r>
        <w:t xml:space="preserve"> (declaración de la misión de observación del NDI y el Centro Carter, 9-6-1999)</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t xml:space="preserve"> [original: «widespread and systematic election fraud»]</w:t>
      </w:r>
      <w:r>
        <w:t xml:space="preserve"> (OSCE/ODIHR, informe final, 28-1-2004, p. 1)</w:t>
      </w:r>
      <w:r>
        <w:t>. Siguieron las protestas, con una rosa en la mano en lugar de un arma; de ahí el nombre de Revolución de las Rosas</w:t>
      </w:r>
      <w:r>
        <w:t xml:space="preserve"> (Columbia Magazine, «Rose revolutionary»; fuente secundaria)</w:t>
      </w:r>
      <w:r>
        <w:t>. El 22 de noviembre, los manifestantes impidieron que se constituyera el nuevo Parlamento, y el 23 dimitió el presidente Shevardnadze</w:t>
      </w:r>
      <w:r>
        <w:t xml:space="preserve"> (OSCE/ODIHR, informe final, p. 21)</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t xml:space="preserve"> [original: «a banking sector collapse that is globally unprecedented in scale (relative to the domestic economy)»]</w:t>
      </w:r>
      <w:r>
        <w:t xml:space="preserve"> (FMI, informe de país n.º 08/362, párrs. 4 y 31)</w:t>
      </w:r>
      <w:r>
        <w:t>. Hubo protestas ante el Parlamento, golpeando cacerolas</w:t>
      </w:r>
      <w:r>
        <w:t xml:space="preserve"> (Encyclopaedia Britannica, «Iceland»; fuente secundaria)</w:t>
      </w:r>
      <w:r>
        <w:t>. El 26 de enero de 2009 dimitió el Gobierno</w:t>
      </w:r>
      <w:r>
        <w:t xml:space="preserve"> (Gobierno de Islandia, nota de 26-1-2009)</w:t>
      </w:r>
      <w:r>
        <w:t>, y el 25 de abril hubo elecciones</w:t>
      </w:r>
      <w:r>
        <w:t xml:space="preserve"> (Instituto de Estadística de Islandia)</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t xml:space="preserve"> (Comisión Investigadora Especial, informe de 12-4-2010, cap. 2, p. 18)</w:t>
      </w:r>
      <w:r>
        <w:t>.</w:t>
      </w:r>
    </w:p>
    <w:p>
      <w:r>
        <w:t>[19.00-13.1 a 22.2, corregido: la invitación no fue del Parlamento (no estaba reunido), sino de siete notables; la ley de 1947 es la Indian Independence Act; en Polonia, las elecciones «parcialmente democráticas» y un jefe de Gobierno no comunista en un Gobierno de coalición; en Praga, el 29 de noviembre, no el 28; en Sudáfrica las ganó el CNA; en Indonesia, las primeras competitivas desde 1955; en Georgia, irrupción el 22 y dimisión el 23; en Islandia, el superlativo es del FMI. Fuentes leídas en el original; las secundarias, marcadas]</w:t>
      </w:r>
    </w:p>
    <w:p>
      <w:r>
        <w:rPr>
          <w:b/>
        </w:rPr>
        <w:t>Precisiones de fecha y de fuente.</w:t>
      </w:r>
    </w:p>
    <w:p>
      <w:pPr>
        <w:pStyle w:val="ListBullet"/>
      </w:pPr>
      <w:r>
        <w:rPr>
          <w:b/>
        </w:rPr>
        <w:t>Inglaterra.</w:t>
      </w:r>
      <w:r>
        <w:t xml:space="preserve"> Lo que se reunió después, el 22 de enero de 1689, fue una Convención de lores y diputados, que «no se llamó Parlamento porque no la convocó el rey»</w:t>
      </w:r>
      <w:r>
        <w:t xml:space="preserve"> [original: «not called a Parliament, as it was not summoned by the King»]</w:t>
      </w:r>
      <w:r>
        <w:t xml:space="preserve"> (Parlamento del Reino Unido; fuente secundaria)</w:t>
      </w:r>
      <w:r>
        <w:t>. Las fuentes no coinciden en quiénes firmaron la invitación: «un obispo y seis políticos destacados»</w:t>
      </w:r>
      <w:r>
        <w:t xml:space="preserve"> [original: «one bishop and six prominent politicians»]</w:t>
      </w:r>
      <w:r>
        <w:t xml:space="preserve"> (Encyclopaedia Britannica, «Glorious Revolution»; fuente secundaria)</w:t>
      </w:r>
      <w:r>
        <w:t>, según Britannica; «siete pares»</w:t>
      </w:r>
      <w:r>
        <w:t xml:space="preserve"> [original: «seven peers»]</w:t>
      </w:r>
      <w:r>
        <w:t xml:space="preserve"> (Parlamento del Reino Unido; fuente secundaria)</w:t>
      </w:r>
      <w:r>
        <w:t>, según la web del Parlamento. Y la revolución, poco sangrienta en Inglaterra, «fue muy sangrienta en Irlanda y Escocia»</w:t>
      </w:r>
      <w:r>
        <w:t xml:space="preserve"> [original: «became very bloody in Ireland and Scotland»]</w:t>
      </w:r>
      <w:r>
        <w:t xml:space="preserve"> (ídem)</w:t>
      </w:r>
      <w:r>
        <w:t>. La ley se titula «1688» porque entonces el año empezaba el 25 de marzo: en el calendario de hoy, 1689.</w:t>
      </w:r>
    </w:p>
    <w:p>
      <w:pPr>
        <w:pStyle w:val="ListBullet"/>
      </w:pPr>
      <w:r>
        <w:rPr>
          <w:b/>
        </w:rPr>
        <w:t>La India.</w:t>
      </w:r>
      <w:r>
        <w:t xml:space="preserve"> La Oficina de Prensa del Gobierno indio da 241 millas, unos 388 kilómetros</w:t>
      </w:r>
      <w:r>
        <w:t xml:space="preserve"> (Oficina de Prensa del Gobierno de la India, 2021; fuente secundaria)</w:t>
      </w:r>
      <w:r>
        <w:t>. La cifra de presos tiene una sola fuente secundaria.</w:t>
      </w:r>
    </w:p>
    <w:p>
      <w:pPr>
        <w:pStyle w:val="ListBullet"/>
      </w:pPr>
      <w:r>
        <w:rPr>
          <w:b/>
        </w:rPr>
        <w:t>Polonia.</w:t>
      </w:r>
      <w:r>
        <w:t xml:space="preserve"> La Unión Soviética ya había elegido en marzo de 1989, con varios candidatos, a parte de su Congreso de Diputados del Pueblo; lo que dicen las fuentes de Solidaridad es que fue «el primer movimiento de oposición que participó en elecciones libres en un país del bloque soviético desde los años cuarenta»</w:t>
      </w:r>
      <w:r>
        <w:t xml:space="preserve"> [original: «the first opposition movement to participate in free elections in a Soviet-bloc nation since the 1940s»]</w:t>
      </w:r>
      <w:r>
        <w:t xml:space="preserve"> (Encyclopaedia Britannica, «Solidarity»)</w:t>
      </w:r>
      <w:r>
        <w:t>. El Gobierno de Mazowiecki, nombrado el 12 de septiembre, era de coalición con el Partido Obrero Unificado, que tenía ministros</w:t>
      </w:r>
      <w:r>
        <w:t xml:space="preserve"> (ídem; Sejm, resolución de 12-9-2014)</w:t>
      </w:r>
      <w:r>
        <w:t>.</w:t>
      </w:r>
    </w:p>
    <w:p>
      <w:pPr>
        <w:pStyle w:val="ListBullet"/>
      </w:pPr>
      <w:r>
        <w:rPr>
          <w:b/>
        </w:rPr>
        <w:t>La RDA.</w:t>
      </w:r>
      <w:r>
        <w:t xml:space="preserve"> La hora de apertura del paso varía según la fuente: las 23.14 (bpb) o las 23.30 (Crónica del Muro). La disolución de la Unión Soviética se fecha el 25 de diciembre, cuando dimitió su presidente y se arrió la bandera, o el 31, según la fuente.</w:t>
      </w:r>
    </w:p>
    <w:p>
      <w:pPr>
        <w:pStyle w:val="ListBullet"/>
      </w:pPr>
      <w:r>
        <w:rPr>
          <w:b/>
        </w:rPr>
        <w:t>Checoslovaquia.</w:t>
      </w:r>
      <w:r>
        <w:t xml:space="preserve"> El Partido Comunista siguió en el Gobierno hasta el Gobierno de transición y la dimisión del presidente Husák, el 10 de diciembre</w:t>
      </w:r>
      <w:r>
        <w:t xml:space="preserve"> (Britannica; fuente secundaria)</w:t>
      </w:r>
      <w:r>
        <w:t>.</w:t>
      </w:r>
    </w:p>
    <w:p>
      <w:pPr>
        <w:pStyle w:val="ListBullet"/>
      </w:pPr>
      <w:r>
        <w:rPr>
          <w:b/>
        </w:rPr>
        <w:t>Filipinas.</w:t>
      </w:r>
      <w:r>
        <w:t xml:space="preserve"> Ese mismo 25 de febrero, Marcos también juró ante los suyos</w:t>
      </w:r>
      <w:r>
        <w:t xml:space="preserve"> (Britannica, «Corazon Aquino»)</w:t>
      </w:r>
      <w:r>
        <w:t>. Que esa noche volara a una base dentro del país y saliera hacia Guam al día siguiente solo consta en prensa, y no entra.</w:t>
      </w:r>
    </w:p>
    <w:p>
      <w:pPr>
        <w:pStyle w:val="ListBullet"/>
      </w:pPr>
      <w:r>
        <w:rPr>
          <w:b/>
        </w:rPr>
        <w:t>Sudáfrica.</w:t>
      </w:r>
      <w:r>
        <w:t xml:space="preserve"> El 27 de abril fue el día general: los ancianos y las personas con discapacidad votaron el 26, y la votación se alargó hasta el 29</w:t>
      </w:r>
      <w:r>
        <w:t xml:space="preserve"> (South African History Online; Biblioteca del Congreso de EE. UU.; fuentes secundarias)</w:t>
      </w:r>
      <w:r>
        <w:t>.</w:t>
      </w:r>
    </w:p>
    <w:p>
      <w:pPr>
        <w:pStyle w:val="ListBullet"/>
      </w:pPr>
      <w:r>
        <w:rPr>
          <w:b/>
        </w:rPr>
        <w:t>Indonesia.</w:t>
      </w:r>
      <w:r>
        <w:t xml:space="preserve"> Fue presidente interino desde marzo de 1967 y elegido en marzo de 1968: contando desde 1967, serían treinta y un años</w:t>
      </w:r>
      <w:r>
        <w:t xml:space="preserve"> (Britannica)</w:t>
      </w:r>
      <w:r>
        <w:t>. La ocupación del Parlamento duró hasta la madrugada del 23 de mayo</w:t>
      </w:r>
      <w:r>
        <w:t xml:space="preserve"> (Forrester y May)</w:t>
      </w:r>
      <w:r>
        <w:t>. El texto de su discurso de dimisión solo se ha hallado en prensa.</w:t>
      </w:r>
    </w:p>
    <w:p>
      <w:pPr>
        <w:pStyle w:val="ListBullet"/>
      </w:pPr>
      <w:r>
        <w:rPr>
          <w:b/>
        </w:rPr>
        <w:t>Islandia.</w:t>
      </w:r>
      <w:r>
        <w:t xml:space="preserve"> La fecha exacta de las cacerolas no consta en las fuentes leídas.</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 </w:t>
      </w:r>
      <w:r>
        <w:t>[19.00-23.1, corregido: de 1688 a 2009 van más de tres siglos; ninguno de los diez es de la Primavera Árabe; las duraciones, con las fechas de los propios casos]</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 </w:t>
      </w:r>
      <w:r>
        <w:t>[19.00-11.1 y 23.1]</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xml:space="preserve">). Lo que quiere es que la segunda no sea una retirada a ciegas, sino la constancia escrita de lo que falta, el juicio de la verdad y la reforma por la puerta que la propia Constitución dejó abierta (capítulos 10 y 11). </w:t>
      </w:r>
      <w:r>
        <w:t>[00.0-5.16; 19.00-23.1; redacción nueva, aprobada por Kiko el 6-oct]</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 xml:space="preserve">). </w:t>
      </w:r>
      <w:r>
        <w:t>[19.00-23.1]</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r>
        <w:t>[00.0-6.3 y 6.4]</w:t>
      </w:r>
    </w:p>
    <w:p>
      <w:pPr>
        <w:pStyle w:val="ListBullet"/>
      </w:pPr>
      <w:r>
        <w:rPr>
          <w:b/>
        </w:rPr>
        <w:t>El dictamen no tiene valor oficial.</w:t>
      </w:r>
      <w:r>
        <w:t xml:space="preserve"> La obra no es un auditor inscrito ni un órgano de control; usa el formato de la ley para que su conclusión se lea con categorías conocidas. </w:t>
      </w:r>
      <w:r>
        <w:t>[00.0-6.9 y 6.10]</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r>
        <w:t>[14.00-8.10]</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r>
        <w:t>[18.00-7.12; 34.00-13.12]</w:t>
      </w:r>
    </w:p>
    <w:p>
      <w:pPr>
        <w:pStyle w:val="ListBullet"/>
      </w:pPr>
      <w:r>
        <w:rPr>
          <w:b/>
        </w:rPr>
        <w:t>«El sistema creó los problemas» es lectura del autor,</w:t>
      </w:r>
      <w:r>
        <w:t xml:space="preserve"> no conclusión de los datos (</w:t>
      </w:r>
      <w:r>
        <w:t>8.9</w:t>
      </w:r>
      <w:r>
        <w:t xml:space="preserve">). </w:t>
      </w:r>
      <w:r>
        <w:t>[29.00-8.8]</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t>. El decomiso ampliado del Código Penal exige una condena: se ordena sobre los bienes de «una persona condenada por alguno de los siguientes delitos»</w:t>
      </w:r>
      <w:r>
        <w:t xml:space="preserve"> (Código Penal, art. 127 bis.1)</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t xml:space="preserve">. </w:t>
      </w:r>
      <w:r>
        <w:t>[00.00-11.4; Código Penal, Constitución y Código Civil leídos en el BOE]</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r>
        <w:t>[19.00-23.1; 19.00-35.4]</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t>. A Tízoc no lo destituyeron: lo mataron, según las crónicas</w:t>
      </w:r>
      <w:r>
        <w:t xml:space="preserve"> (Torquemada, Monarquía indiana, 1615, lib. II, cap. LXII)</w:t>
      </w:r>
      <w:r>
        <w:t xml:space="preserve">. La fuente maya del Registro no se ha leído en el original, y no entra. </w:t>
      </w:r>
      <w:r>
        <w:t>[19.00-0.1 y 11.1; leídos en la UNAM]</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r>
        <w:t>[clasificación de las defensas, aprobada, 11.4 y capítulo 10; 00.0-6.1 a 6.14; 00.00-11.4; 13.00-13.16; 14.00-8.10; 18.00-7.10 y 7.12; 19.00-35.1 a 35.5; 29.00-8.4 y 8.8; 34.00-13.12]</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r>
        <w:br w:type="page"/>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en cursiva también en la fórmula del modelo que cita 10.4, para que siga igual a la de D (07/herramientas/aplicar_cinco_de_forma.py).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11 (borrador B16). Ninguna otra palabra cambia. Cambio del 12-oct-2026 (Kiko, chat de 08.18, 06:3x, pasado por 08.18 tal cual, a «¿das el sí a los nueve cambios de 07.6?»: «si»; borrador B13, el barrido de los cuantificadores vagos en las frases con dato): en 10.4, «se reclama siempre (o nunca) a la Administración, no al empleado» lleva su alcance, el de la Ley 40/2015, art. 36.1: «por el daño de un servicio público» (la responsabilidad patrimonial); y se añade el art. 37.1, leído en local: si hubo delito, la responsabilidad penal del empleado y la civil que nace de él se exigen por la ley penal. Ninguna otra palabra cambia. Cambio del 10-oct-2026 (Kiko, chat de 08.7, 23:1x, pasado por 08.7 tal cual: «¿Qué semilla estás cultivando y qué árbol estás creando?» y, a la pregunta de ponerla en 10.9 con remisión a J.1 sin tocar J.1, «SI»): en 10.9, «Lectura del autor», esa pregunta entra como primera de las preguntas de espejo, con «(J.1)», y su trazabilidad. Ninguna otra palabra cambia; la pregunta de cierre, la misma de G.0 y 11.6, tampoco. Cambio del 10-oct-2026 (Kiko, chat de 08.7, 22:5x a 23:0x, pasado por 08.7 tal cual: «Mi recomendación, ahora que lo he visto entero: la salida 3. OK»; pregunta 8 de 08/11, las remisiones a los anexos): en 10.9, «Por qué aquí», la segunda de las dos remisiones al anexo J, «y que el anexo J deja anunciada para aquí», pasa a «y que el propio anexo deja anunciada para aquí (J.1)»: lleva a J.1, donde J anuncia la brújula, y no otra vez al principio del anexo. Ninguna otra palabra cambia. Cambio del 9-oct-2026 (Kiko, chat de 07: «yo unificaría el lenguaje»; retoque de A10): en 10.2, en «un Estado, pero no un Gobierno», la frase de las auditorías pasa al lenguaje de la obra, mérito y frutos: «por mérito propio y por sus frutos, quien vale se debe quedar, y quien no cumple esto no puede estar en esa función, porque no la cumple». Cambio del 9-oct-2026 (Kiko, chat de 07: «Bien, perfecto. Puedes ponerlo. Lo veo bien», con sus tres decisiones; fila A10 de 03b): en 10.2, entre «La metamorfosis» y «Ya hay quien lo ha escrito», tres párrafos: «Lectura del autor, el árbol que hay que podar» (con la administración de funcionarios por mérito), «Lo que ya dice la ley» (Constitución, arts. 97, 103.1 y 104.1; Estatuto Básico del Empleado Público, arts. 20.1, 95.2.c y 96.1.a, leídos en el BOE) y «Lectura del autor, un Estado, pero no un Gobierno» (jefes elegidos por sus compañeros por mérito y una asamblea de departamentos con un coordinador; lectura del autor, no propuesta de la obra: queda para un parlamento aparte). «La idea» de 10.2 no cambia. Cambio del 9-oct-2026 (Kiko, chat de 07: «la frase que más invita a reflexionar es…»; tras proponerle armonizar la serie de preguntas, y su «en todos los sitios»): en 10.9, al final de las preguntas del espejo del autor (que se quedan como estaban), la misma pregunta que cierra G.0 y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B6 con las tres recomendaciones» y «sí al B6»; filas 37 de 04p; borrador B6 de la carpeta 07, escrito por la ventana que acompaña): en 10.8, el paso 2 del plan dice cómo se mide la imparcialidad del jurado (voto razonado y público, sin conflicto de interés, con recusación y sin examen de ideas) y remite a 11.1; y en 10.2, un cuarto punto en la respuesta de la obra: la imparcialidad no se presume por el sorteo, se mide después. Cambio del 9-oct-2026 (Kiko: «Sí al B5, aplícalo»; filas 15 y 16 de 04p; borrador B5 de la carpeta 07, escrito por la ventana que acompaña): en 10.3, «La idea» (media frase más) y un bloque nuevo, «Quién puede corregir, y con qué medida» (cuatro condiciones: consentimiento, el bien del corregido, la medida justa y un rumbo; con Platón, Mencio, el Daodejing, la Gita y Lucas 13, y la imagen del médico); un apartado nuevo, 10.9 «La brújula», que cierra el capítulo y cumple lo que el anexo J anunciaba; una línea en 10.0, un punto en «En pocas palabras», otro en «Para recordar» y otro en «Límite honesto de la prueba». Cambio del 9-oct-2026 (Kiko, decisión Q16 del bloque 04n, «sí a todas»; fila 5 de 04p): en «Lo que no prueba» del principio convergente, «por su derecho positivo» pasa a «por su ley escrita». Nada más cambia. Cambio del 8-oct-2026 (lectura de la dirección de la obra, aviso PASO 4.8): en la respuesta de la obra a la defensa del sistema que se corrige, «la pieza lo dice con esas mismas palabras» pasa a «lo reconoce con esas mismas palabras». ESTADO: APROBADO por Kiko el 6-oct-2026, por la noche («si a las 3 preguntas»: el capítulo, la errata nueva del jurado y lo que se queda fuera). Su material está marcado en el inventario (04 CAPITULOS/marcas/marcas del capitulo 10.txt). Cualquier cambio posterior, con su aprobación. REPUESTO el 7-oct (lo verificado que se omitió por error se repone sin pedir permiso; Kiko, 7-oct), hallado con herramientas/flecos_en_local.py: en 10.2, el «perro guardián» del TEDH (00.00-8.1), leído en el original en el paso 2 (10 FUENTES LEIDAS/c9c, Observer y Guardian, § 59, fila de 00.00-24.2); y en el jurado, el año y las 99 personas de la asamblea irlandesa (00.00-9.11), leídos en c9d (citizensassembly.ie, la página de la asamblea 2016-2018: la muestra de 99 personas y la resolución de julio de 2016). Redactado en el paso 3 solo con lo comprobado en los pasos 2 y 2 bis: al redactar no se ha descargado nada; lo que falta se apunta en la libreta 75 (7 bis). Sin agentes. Escrito en tres niveles y con remisiones enlazables. Cambiado el 7-oct-2026, después de aprobar: los quince pilares salen de la obra (decisión de Kiko; libreta 72, punto 183). Fuera el apartado 10.8 y el verbo «declarar»; el Registro de los frutos pasa de 10.8 a 10.8.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Las piezas de origen conservan su título histórico solo aquí (la 30.00 se llamaba «Mapa de sustitución»: glosario 8.1). Leído hoy en su original (pasos 2 y 2 bis, 6-oct; cada dato tiene su pasaje en 12 COMPROBADO EN EL PASO 2 y en 14 ARCHIVO DE PASAJES): - BOE: Constitución (arts. 9.1, 9.2, 9.3, 10.2, 14, 20.1.d, 20.2, 24.2, 29, 33, 47, 53.1, 103.1, 106.2, 121 y 125); Código Civil (arts. 1.2, 6.4, 7, 364, 384, 434, 444, 454, 455, 457 y 1902); Código Penal (arts. 20.4, 20.5, 116.1, 404 y 410.2); Ley 39/2015 (arts. 21, 24, 35, 39, 47.2, 53.1, 53.2.b, 97.1, 106, 115.2, 117, 123 y 124); Ley 40/2015 (arts. 32 y 36); Ley 29/1998 (arts. 23.1, 26, 27, 29, 30, 34, 37.2, 46, 110, 111 y 139.1); Ley Orgánica 4/2001 (arts. 3, 4.2, 6, 8, 9.1, 11 y 12); Ley 19/2013 (arts. 5.1, 8.1.a, 18.1, 20 y 24); Ley General Tributaria (arts. 167, 211.4, 223 y 224); Ley de Enjuiciamiento Civil (arts. 250.1.4.º y 607); Ley de Tráfico (arts. 94 y 95.1); Ley Orgánica del Poder Judicial (arts. 6, 19 y 292 a 297); Ley Orgánica 5/1995 (art. 13); Ley Orgánica 3/1981 (art. 15); Ley Orgánica 2/1986 (art. 5.1.d); Estatuto Básico del Empleado Público (art. 54.3); Ley General de la Seguridad Social (art. 214); Ley de Expropiación Forzosa de 1954 (art. 121); Ley de Enjuiciamiento Criminal (art. 800.3) y Ley Orgánica 1/2025; Real Decreto-ley 16/2025. - Europa e internacional: Tratado de la Unión Europea (art. 5.2); Tratado de Funcionamiento de la UE (art. 3.1.c); Carta de los Derechos Fundamentales de la UE (arts. 17, 20, 41, 47, 48, 49 y 52.1); Reglamento (UE) 2024/1083 (arts. 6.1, 25.2 y 29); Directiva (UE) 2024/2853 (art. 21); Convenio Europeo de Derechos Humanos (arts. 6 y 10, y art. 1 del Protocolo n.º 1); Declaración Universal (arts. 7, 8, 10, 11 y 12); Pacto Internacional de Derechos Civiles y Políticos (art. 14.2); Constitución de Bolivia (art. 8.I); Asamblea Ciudadana de Irlanda. - Sentencias: SSTC 11/1981, 18/1981, 42/1989, 76/1990, 10/1991, 257/1993, 35/1994, 66/1995, 55/1996, 207/1996, 5/2004, 59/2017, 148/2021, 182/2021, 125/2022, 121/2025 y 184/2025; SSTS de 21-6-1996 y de 22-3-1996, 932/2021, 1182/2024, 3259/2025, 3465/2025, 1063/2025, 1785, 1786 y 1796/2025, y de 7-7-2026; SSTJUE de 22-2-2024 y de 14-4-2026; SSTEDH Casa di Cura Valle Fiorita c. Italia (13-12-2018) y Papachela y Amazon c. Grecia (3-12-2020). - Organismos y datos: Ministerio del Interior (criminalidad de 2024); CGPJ (La Justicia dato a dato, 2025); Tribunal Constitucional (Memoria de 2025); Consejo de Transparencia (reclamaciones de 2025); Eurostat (gasto de 2025); Idealista (análisis de sus anuncios, tercer trimestre de 2025: dato de una empresa privada). - Biblia, Reina-Valera Antigua (Mt 13:29-30; Mt 22:21; Rm 12:17-21; Rm 13:1-7; Hch 5:29; Lc 12:48; Stg 4:17; Jn 8:44; Dt 27:17); Corán 4:58-59, trad. de Julio Cortés. Fuente secundaria (se marca): Alonso-Cuevillas (2016), el título de su artículo. Hallado al escribir: erratas de la Biblioteca que la edición lleva corregidas (07 FE DE ERRATAS): - 00.00-7.1: Mt 13:29-30 y Rm 12:17-21 van en la RVA literal; las comillas de la pieza encerraban un resumen. - 20.00-7.1: la Carta, art. 52.1, dice «deberá ser establecida por la ley» y «respetar el contenido esencial»; la frase atribuida a la STC 18/1981 no está en ella (la edición dice lo que sí dice). 20.00-7.2: es la Carta de 2007 (DOUE-Z-2007-70004). - 20.00-9.1: las SSTS de diciembre de 2025 dicen «el consumidor debe quedar indemne económicamente», no «patrimonialmente indemne». - 20.00-9.3: las comillas de la STS de 21-6-1996 encerraban un resumen: van sus palabras. - 20.00-31.1: Dt 27:17 en la RVA («el término»); «maniobras o estratagemas…» no está en la STS de 25-9-1996: no entra; el art. 7.2 del Código Civil, con su texto entero («las medidas judiciales o administrativas que impidan…»). - 33.00-4.4: los quince días son para señalar el juicio oral, no para resolver; las «primeras 48 horas» no están en la ley: no entran. - 32.00-13.2: es el art. 94 de la Ley de Tráfico; 00.0-7.8: art. 97.1 de la Ley 39/2015; 32.00-22.2: la LO 4/2001 obliga a indicar el órgano competente cuando la petición tiene otro procedimiento (art. 9.1). - 33.00-7.1: la «STC de 10 de octubre de 2022» es la STC 125/2022; la doctrina de la STC 35/1994 viene de la 223/1988. - 20.00-31.1: la accesión invertida, con la STS de 22-3-1996, que la arranca en la de 31-5-1949 (la de 1908, sin fuente oficial en línea). Y al redactar (libreta 75, 7 bis), sin descargar nada: - ERRATA NUEVA, aprobada con el capítulo (al 07): 00.00-9.11 y 11.9 dicen que el jurado interviene «en torno al 0,3 %» de los asuntos penales; con la memoria del CGPJ de 2025 (c9c), 465 sentencias del jurado de 599.492 sentencias penales son menos del 0,1 %. - La criba dio por verificadas las cifras de vivienda social de 33.00-8.1 y 9.11 (1,5-3,3 %, 8-10,5 %, 50,7 %, 90,3 %) porque el mismo número salía en otro dato («4.090,3», «50,7 %» de la capa 4, «1,5-2,5 %» del IEE). No tienen fuente leída: no entran. Lección para la libreta 76. - La criba no veía los hechos sin cifra ni cita: no tienen fila en el registro y no entran el Tribunal Russell y el Tribunal Permanente de los Pueblos (00.00-10.1), el Auto 71/1993 (00.0-7.5; en su lugar, el art. 9.1 de la Constitución), el Ombudsman sueco y el Justicia Mayor (00.00-9.4 y 33.00-2.1), el «perro guardián» del TEDH (00.00-8.1; repuesto el 7-oct: estaba leído), las leyes hititas, la Lex Aquilia y el pacto del Sinaí (31.00-1 y 2), Terminus, Aristóteles y la «graphḕ hýbreōs» (20.00-31.1; de MacDowell solo se ha comprobado que el artículo existe), el caso IVIMA (33.00-5.1), los relatores de la ONU, el Comisionado del Consejo de Europa y la Ley Corcuera (33.00-1.1), los 50.000 euros del Consejo de Estado (20.00-9.4) y las 99 personas y el año de la asamblea irlandesa (00.00-9.11; repuestos el 7-oct: estaban leídos). No entra (flecos, 05; DECIDIDO por Kiko el 6-oct para los del capítulo 10): Paracelso; la frase de «uno de los redactores» de la Declaración Universal; los «20 meses» y «veinte meses» de los desahucios; Funcas y Cáritas; el expediente INFR(2026)4005; la cita académica de 20.00-9.2 y las de 31.00-6.2; las cifras del Colegio de Economistas de Cataluña y el Institut Cerdà (33.00-4.3, solo en prensa). Remisiones (hacia atrás): la ley de Dios primero (1.2); la costumbre y sus tribunales (1.5); el ente sin cuerpo (2.1); la buena fe y «el que no entendió» (2.5); los avales (2.4); la pata coja y Rm 13:1 (3.4); el Corán 4:58 (3.2); el padre de la mentira (4.4); lo que se da por supuesto (5.1, n.º 9 y 19; 5.2); la autoproclamación y el contrato que nadie firmó (6.1 y 6.2); los 93 artículos (7.1); la presunción en lo sancionador (7.5, n.º 3); la palabra del inspector (7.6); Torrejón de Ardoz (7.7, n.º 1); las tradiciones que hicieron institución la corrección (7.5); la carga (8.4); la quiebra camuflada y la compensación (9.1); la forma sin sustancia (9.2). Conceptos que ancla: la metamorfosis del Estado (10.2); la depuración sin venganza (10.3); la constancia escrita y la pregunta (10.4); el botiquín (10.5); el deslinde (10.7); el Registro de los frutos (10.8).</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t xml:space="preserve"> (Constitución, art. 9.1)</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t xml:space="preserve"> (Rm 13:1 y 6)</w:t>
      </w:r>
      <w:r>
        <w:t>. Y en el mismo capítulo, la razón: la autoridad «es ministro de Dios para tu bien»</w:t>
      </w:r>
      <w:r>
        <w:t xml:space="preserve"> (Rm 13:4)</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t xml:space="preserve"> (Corán 4:59, trad. de Julio Cortés)</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t>[00.0-7.1 y 7.2; Reina-Valera Antigua; Corán, trad. de Julio Cortés]</w:t>
      </w:r>
    </w:p>
    <w:p>
      <w:r>
        <w:rPr>
          <w:b/>
        </w:rPr>
        <w:t>Conclusión, lo que arrojan los datos:</w:t>
      </w:r>
      <w:r>
        <w:t xml:space="preserve"> los textos que mandan pagar y obedecer no lo mandan sin condición: la autoridad lo es para el bien de quien obedece, y por encima de ella está Dios. </w:t>
      </w:r>
      <w:r>
        <w:t>[00.0-7.2]</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 xml:space="preserve">). </w:t>
      </w:r>
      <w:r>
        <w:t>[00.0-7.4 y 7.6]</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t xml:space="preserve"> (Lc 12:48)</w:t>
      </w:r>
      <w:r>
        <w:t xml:space="preserve"> (</w:t>
      </w:r>
      <w:r>
        <w:t>2.5</w:t>
      </w:r>
      <w:r>
        <w:t>). Pero quien ya sabe tiene una tarea: «El pecado, pues, está en aquel que sabe hacer lo bueno, y no lo hace»</w:t>
      </w:r>
      <w:r>
        <w:t xml:space="preserve"> (Stg 4:17)</w:t>
      </w:r>
      <w:r>
        <w:t>. Esa tarea no es dejar de pagar, porque la obligación vigente sigue vigente (Constitución, art. 9.1), sino dejar de consentir en silencio: pedir la motivación, saber a dónde va el dinero y dejar constancia por escrito (</w:t>
      </w:r>
      <w:r>
        <w:t>10.4</w:t>
      </w:r>
      <w:r>
        <w:t xml:space="preserve">). </w:t>
      </w:r>
      <w:r>
        <w:t>[00.0-7.5]</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 xml:space="preserve">). </w:t>
      </w:r>
      <w:r>
        <w:t>[00.0-7.7 y 7.9; glosario 8.1]</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t xml:space="preserve"> (Constitución, art. 103.1)</w:t>
      </w:r>
      <w:r>
        <w:t>, y no puede ejecutar ninguna actuación material sin la resolución previa que le sirva de fundamento jurídico</w:t>
      </w:r>
      <w:r>
        <w:t xml:space="preserve"> (Ley 39/2015, art. 97.1)</w:t>
      </w:r>
      <w:r>
        <w:t xml:space="preserve">. Se desarrolla en </w:t>
      </w:r>
      <w:r>
        <w:t>10.4</w:t>
      </w:r>
      <w:r>
        <w:t xml:space="preserve">. </w:t>
      </w:r>
      <w:r>
        <w:t>[00.0-7.8; glosario 8.7]</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xml:space="preserve">).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 </w:t>
      </w:r>
      <w:r>
        <w:t>[00.00-9.1; glosario 8.1]</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t xml:space="preserve"> (Constitución, art. 103.1)</w:t>
      </w:r>
      <w:r>
        <w:t>; el Gobierno «dirige la política interior y exterior, la Administración civil y militar y la defensa del Estado»</w:t>
      </w:r>
      <w:r>
        <w:t xml:space="preserve"> (Constitución, art. 97)</w:t>
      </w:r>
      <w:r>
        <w:t>, y la policía está «bajo la dependencia del Gobierno»</w:t>
      </w:r>
      <w:r>
        <w:t xml:space="preserve"> (Constitución, art. 104.1)</w:t>
      </w:r>
      <w:r>
        <w:t>. Pero la misma ley ya pide lo que el autor pide para cada empleado: que las administraciones «establecerán sistemas que permitan la evaluación del desempeño de sus empleados»</w:t>
      </w:r>
      <w:r>
        <w:t xml:space="preserve"> (Estatuto Básico del Empleado Público, art. 20.1)</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t xml:space="preserve"> (Estatuto Básico del Empleado Público, arts. 95.2.c y 96.1.a)</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t>[palabras de Kiko, 6-oct-2026 (libreta de flecos, sección 6) y 9-oct-2026 (chat de 07); 03b, A10; Constitución, arts. 97, 103.1 y 104.1, y Estatuto Básico del Empleado Público, arts. 20.1, 95.2.c y 96.1.a, leídos en el BOE, en local (c5)]</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t xml:space="preserve"> (Constitución de Bolivia, art. 8.I)</w:t>
      </w:r>
      <w:r>
        <w:t xml:space="preserve">. Se cita el texto, no se valora la práctica de ningún gobierno. </w:t>
      </w:r>
      <w:r>
        <w:t>[00.0-4.10]</w:t>
      </w:r>
    </w:p>
    <w:p>
      <w:r>
        <w:t xml:space="preserve">Lo que sigue son las propuestas del autor. Cada una separa lo que ya existe, con su fuente, de lo que se propone. </w:t>
      </w:r>
      <w:r>
        <w:t>[00.00-9.2]</w:t>
      </w:r>
    </w:p>
    <w:p>
      <w:pPr>
        <w:pStyle w:val="Heading3"/>
      </w:pPr>
      <w:r>
        <w:t>1. La prensa, libre y auditada</w:t>
      </w:r>
    </w:p>
    <w:p>
      <w:r>
        <w:rPr>
          <w:b/>
        </w:rPr>
        <w:t>Hechos.</w:t>
      </w:r>
      <w:r>
        <w:t xml:space="preserve"> La Constitución reconoce el derecho «a comunicar o recibir libremente información veraz por cualquier medio de difusión»</w:t>
      </w:r>
      <w:r>
        <w:t xml:space="preserve"> (Constitución, art. 20.1.d)</w:t>
      </w:r>
      <w:r>
        <w:t>, y prohíbe «ningún tipo de censura previa»</w:t>
      </w:r>
      <w:r>
        <w:t xml:space="preserve"> (Constitución, art. 20.2)</w:t>
      </w:r>
      <w:r>
        <w:t>. El Tribunal Europeo de Derechos Humanos llama a la prensa el «perro guardián» público: si el público no tuviera derecho a recibir esas informaciones, la prensa no podría cumplir ese papel vital</w:t>
      </w:r>
      <w:r>
        <w:t xml:space="preserve"> [original: «Were it otherwise, the press would be unable to play its vital role of "public watchdog"»]</w:t>
      </w:r>
      <w:r>
        <w:t xml:space="preserve"> (TEDH, Observer y Guardian c. Reino Unido, n.º 13585/88, sentencia de 26-11-1991, § 59)</w:t>
      </w:r>
      <w:r>
        <w:t>. Desde el 8 de agosto de 2025, el Reglamento europeo de libertad de los medios obliga a cada medio a hacer públicos sus dueños y el dinero público que recibe en publicidad estatal</w:t>
      </w:r>
      <w:r>
        <w:t xml:space="preserve"> (Reglamento (UE) 2024/1083, arts. 6.1 y 29)</w:t>
      </w:r>
      <w:r>
        <w:t>, y a cada administración a publicar cada año lo que gasta en publicidad en cada medio</w:t>
      </w:r>
      <w:r>
        <w:t xml:space="preserve"> (ídem, art. 25.2)</w:t>
      </w:r>
      <w:r>
        <w:t xml:space="preserve">. </w:t>
      </w:r>
      <w:r>
        <w:t>[00.00-8.1]</w:t>
      </w:r>
    </w:p>
    <w:p>
      <w:r>
        <w:rPr>
          <w:b/>
        </w:rPr>
        <w:t>Conclusión, lo que arrojan los datos:</w:t>
      </w:r>
      <w:r>
        <w:t xml:space="preserve"> la ley ya obliga a que se sepa quién es dueño de cada medio y cuánto dinero público recibe. Cualquiera puede comprobarlo. </w:t>
      </w:r>
      <w:r>
        <w:t>[00.00-8.2]</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 </w:t>
      </w:r>
      <w:r>
        <w:t>[00.00-8.3]</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t xml:space="preserve"> (Ley 19/2013, art. 5.1)</w:t>
      </w:r>
      <w:r>
        <w:t>, incluidos «todos los contratos», con su importe y su adjudicatario</w:t>
      </w:r>
      <w:r>
        <w:t xml:space="preserve"> (ídem, art. 8.1.a)</w:t>
      </w:r>
      <w:r>
        <w:t>. Y la pensión ya es compatible con seguir trabajando</w:t>
      </w:r>
      <w:r>
        <w:t xml:space="preserve"> (Ley General de la Seguridad Social, art. 214)</w:t>
      </w:r>
      <w:r>
        <w:t xml:space="preserve">. </w:t>
      </w:r>
      <w:r>
        <w:t>[00.00-9.4]</w:t>
      </w:r>
    </w:p>
    <w:p>
      <w:r>
        <w:rPr>
          <w:b/>
        </w:rPr>
        <w:t>Conclusión, lo que arrojan los datos:</w:t>
      </w:r>
      <w:r>
        <w:t xml:space="preserve"> la información existe y es pública, pero llega tarde y casi nadie la mira de forma organizada. </w:t>
      </w:r>
      <w:r>
        <w:t>[00.00-9.5]</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 </w:t>
      </w:r>
      <w:r>
        <w:t>[00.00-9.6]</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 </w:t>
      </w:r>
      <w:r>
        <w:t>[00.00-11.6]</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t xml:space="preserve"> (Consejo de Transparencia, reclamaciones de 2025)</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r>
        <w:t>[00.00-11.7]</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t xml:space="preserve"> (Tratado de Funcionamiento de la UE, art. 3.1.c)</w:t>
      </w:r>
      <w:r>
        <w:t>. Y desde hace siglos se advierte que devaluar es un tributo disfrazado (</w:t>
      </w:r>
      <w:r>
        <w:t>8.2</w:t>
      </w:r>
      <w:r>
        <w:t xml:space="preserve">). </w:t>
      </w:r>
      <w:r>
        <w:t>[00.00-9.8]</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xml:space="preserve">,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 </w:t>
      </w:r>
      <w:r>
        <w:t>[00.00-9.9]</w:t>
      </w:r>
    </w:p>
    <w:p>
      <w:r>
        <w:rPr>
          <w:b/>
        </w:rPr>
        <w:t>La objeción: «El diezmo no alcanza».</w:t>
      </w:r>
      <w:r>
        <w:t xml:space="preserve"> El gasto de todas las administraciones fue de 764.884 millones de euros en 2025</w:t>
      </w:r>
      <w:r>
        <w:t xml:space="preserve"> (Eurostat, gov_10a_main)</w:t>
      </w:r>
      <w:r>
        <w:t xml:space="preserve">, y solo las pensiones del régimen general y de Clases Pasivas suman unos 228.000 millones al año, alrededor del 30 % de ese gasto (cálculo de la obra: la nómina mensual de las dos, por catorce pagas). </w:t>
      </w:r>
      <w:r>
        <w:t>[00.00-11.2]</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t>[00.00-11.3]</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 </w:t>
      </w:r>
      <w:r>
        <w:t>[00.00-11.4]</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r>
        <w:t>[00.00-11.5]</w:t>
      </w:r>
    </w:p>
    <w:p>
      <w:pPr>
        <w:pStyle w:val="Heading3"/>
      </w:pPr>
      <w:r>
        <w:t>4. Jurados por generaciones</w:t>
      </w:r>
    </w:p>
    <w:p>
      <w:r>
        <w:rPr>
          <w:b/>
        </w:rPr>
        <w:t>Hechos.</w:t>
      </w:r>
      <w:r>
        <w:t xml:space="preserve"> Hoy el jurado se forma por sorteo del censo electoral</w:t>
      </w:r>
      <w:r>
        <w:t xml:space="preserve"> (Ley Orgánica 5/1995, art. 13)</w:t>
      </w:r>
      <w:r>
        <w:t>, sin ningún reparto por edades, y su peso es pequeño: en 2025 dictó 465 sentencias, frente a 599.492 sentencias penales, menos del 0,1 %</w:t>
      </w:r>
      <w:r>
        <w:t xml:space="preserve"> (CGPJ, La Justicia dato a dato, 2025; cálculo de la obra)</w:t>
      </w:r>
      <w:r>
        <w:t>. Irlanda formó en 2016 una Asamblea Ciudadana con una muestra representativa de 99 personas del público, elegidas al azar, «ampliamente representativas de la sociedad tal como la refleja el censo»</w:t>
      </w:r>
      <w:r>
        <w:t xml:space="preserve"> [original: «a representative sample of 99 members of the public»; «approved by Resolution of both Houses of the Oireachtas in July 2016»; «broadly representative of society as reflected in the Census»]</w:t>
      </w:r>
      <w:r>
        <w:t xml:space="preserve"> (Citizens' Assembly, Irlanda, 2016-2018)</w:t>
      </w:r>
      <w:r>
        <w:t xml:space="preserve">. </w:t>
      </w:r>
      <w:r>
        <w:t>[00.00-9.11; 07: el «0,3 %» de la pieza]</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 </w:t>
      </w:r>
      <w:r>
        <w:t>[00.00-9.12]</w:t>
      </w:r>
    </w:p>
    <w:p>
      <w:r>
        <w:rPr>
          <w:b/>
        </w:rPr>
        <w:t>La objeción: «El jurado por sorteo ya es imparcial».</w:t>
      </w:r>
      <w:r>
        <w:t xml:space="preserve"> El jurado actual se forma por sorteo del censo, que es la garantía de imparcialidad: repartirlo por edades no añade nada. </w:t>
      </w:r>
      <w:r>
        <w:t>[00.00-11.8]</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r>
        <w:t>[00.00-11.9]</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t xml:space="preserve"> (Mt 13:29-30)</w:t>
      </w:r>
      <w:r>
        <w:t>. Y: «No paguéis á nadie mal por mal […] No os venguéis vosotros mismos […] No seas vencido de lo malo; mas vence con el bien el mal»</w:t>
      </w:r>
      <w:r>
        <w:t xml:space="preserve"> (Rm 12:17, 19 y 21)</w:t>
      </w:r>
      <w:r>
        <w:t>. Es discernir, separar el grano de la paja (</w:t>
      </w:r>
      <w:r>
        <w:t>1.3</w:t>
      </w:r>
      <w:r>
        <w:t xml:space="preserve">), aplicado a las responsabilidades. </w:t>
      </w:r>
      <w:r>
        <w:t>[00.00-7.1; glosario 8.3; 07: las citas, en la RVA literal]</w:t>
      </w:r>
    </w:p>
    <w:p>
      <w:r>
        <w:rPr>
          <w:b/>
        </w:rPr>
        <w:t>La regla.</w:t>
      </w:r>
      <w:r>
        <w:t xml:space="preserve"> La responsabilidad de las personas se establece por acto y con fuente, nunca por pertenecer a un colectivo: un informe interno es fuente, no sentencia. </w:t>
      </w:r>
      <w:r>
        <w:t>[00.00-7.3]</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 xml:space="preserve">). </w:t>
      </w:r>
      <w:r>
        <w:t>[00.00-7.4]</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 xml:space="preserve">). </w:t>
      </w:r>
      <w:r>
        <w:t>[04d, 2d; 04l, apartado 2; Kiko, 8-oct: «Sí a las tres»]</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 xml:space="preserve">). </w:t>
      </w:r>
      <w:r>
        <w:t>[04l, 2a]</w:t>
      </w:r>
    </w:p>
    <w:p>
      <w:r>
        <w:rPr>
          <w:b/>
        </w:rPr>
        <w:t>2. Que busque el bien del corregido, y no el suyo.</w:t>
      </w:r>
      <w:r>
        <w:t xml:space="preserve"> Platón lo dice del médico y lo extiende a todo el que manda: «ningún médico, en cuanto médico, considera su propio bien en lo que prescribe, sino el de su paciente»</w:t>
      </w:r>
      <w:r>
        <w:t xml:space="preserve"> [original: «no physician, in so far as he is a physician, considers his own good in what he prescribes, but the good of his patient», en la traducción inglesa de Jowett]</w:t>
      </w:r>
      <w:r>
        <w:t xml:space="preserve"> (Platón, República I, traducción inglesa de Jowett)</w:t>
      </w:r>
      <w:r>
        <w:t>; y lo mismo el piloto y el gobernante: «nadie, en ningún gobierno, en cuanto gobierna, considera ni prescribe lo que le conviene a él, sino siempre lo que conviene a su gobernado»</w:t>
      </w:r>
      <w:r>
        <w:t xml:space="preserve"> [original: «there is no one in any rule who, in so far as he is a ruler, considers or enjoins what is for his own interest, but always what is for the interest of his subject», en la traducción inglesa de Jowett]</w:t>
      </w:r>
      <w:r>
        <w:t xml:space="preserve"> (Platón, República I, traducción inglesa de Jowett)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 xml:space="preserve">). </w:t>
      </w:r>
      <w:r>
        <w:t>[04l, 2b; Jowett leído en 07/fuentes/platon_republica_gutenberg, huella 3d2e397122881d77]</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t xml:space="preserve"> [original: «其子趨而往視之，苗則槁矣»; Legge: «His son ran to look at it, and found the corn all withered»]</w:t>
      </w:r>
      <w:r>
        <w:t xml:space="preserve"> (Mencio 2A, 2, en la traducción inglesa de James Legge)</w:t>
      </w:r>
      <w:r>
        <w:t>. Y concluye: «quien lo ayuda a crecer, arranca los brotes»</w:t>
      </w:r>
      <w:r>
        <w:t xml:space="preserve"> [original: «助之長者，揠苗者也»; Legge: «They who assist it to grow long, pull out their corn»]</w:t>
      </w:r>
      <w:r>
        <w:t xml:space="preserve"> (Mencio 2A, 2, en la traducción inglesa de James Legge)</w:t>
      </w:r>
      <w:r>
        <w:t>. El Daodejing lo dice del Estado: «Gobernar un gran Estado es como cocinar pececillos»</w:t>
      </w:r>
      <w:r>
        <w:t xml:space="preserve"> [original: «治大國，若烹小鮮»; Legge: «Governing a great state is like cooking small fish»]</w:t>
      </w:r>
      <w:r>
        <w:t xml:space="preserve"> (Daodejing 60, en la traducción inglesa de James Legge, Sacred Books of the East, vol. 39, 1891)</w:t>
      </w:r>
      <w:r>
        <w:t>: cuantas más vueltas se les da, más se deshacen.</w:t>
      </w:r>
    </w:p>
    <w:p>
      <w:pPr>
        <w:pStyle w:val="ListBullet"/>
      </w:pPr>
      <w:r>
        <w:rPr>
          <w:b/>
        </w:rPr>
        <w:t>La India.</w:t>
      </w:r>
      <w:r>
        <w:t xml:space="preserve"> La Gita pide al que sabe que obre «sin sembrar en esos corazones sencillos y afanosos semilla de desesperanza»</w:t>
      </w:r>
      <w:r>
        <w:t xml:space="preserve"> [original: «Not sowing in those simple, busy hearts Seed of despair», en la traducción inglesa de Arnold]</w:t>
      </w:r>
      <w:r>
        <w:t xml:space="preserve"> (Bhagavad Gita III, 25-29, en la traducción de Edwin Arnold)</w:t>
      </w:r>
      <w:r>
        <w:t>, y que a los que no saben «no los hagas tropezar, tú que tienes la luz»</w:t>
      </w:r>
      <w:r>
        <w:t xml:space="preserve"> [original: «Those make thou not to stumble, having the light», en la traducción inglesa de Arnold]</w:t>
      </w:r>
      <w:r>
        <w:t xml:space="preserve"> (Bhagavad Gita III, 25-29, en la traducción de Edwin Arnold)</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t xml:space="preserve"> (Lc 13:8-9)</w:t>
      </w:r>
      <w:r>
        <w:t>. El orden de la corrección es ese: primero cuidar; solo después, si no hay fruto, cortar.</w:t>
      </w:r>
    </w:p>
    <w:p>
      <w:r>
        <w:t>[04l, 2c: Mencio, finales del siglo IV a. C.; la Gita, siglos II-I a. C. lo más habitual; Lucas, 80-90 d. C. (04k); Mencio en 07/fuentes/mencio_legge_wikisource/chapter03.txt, huella e7e260d20f5f9fa2; el Daodejing en taoismo_legge_sacredtexts/sbe39067.htm.txt, huella e0008da6407d5378; la Gita en gita_arnold_gutenberg/pg2388.txt, huella 85b22401a9d25617; Lucas en la Reina-Valera 1909 de 06]</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 xml:space="preserve">). </w:t>
      </w:r>
      <w:r>
        <w:t>[04l, 2d; Kiko, 8-oct: el rumbo es el Arca y el centro de cada dial]</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t xml:space="preserve"> (Mt 18:15)</w:t>
      </w:r>
      <w:r>
        <w:t>; «mas si no [te] oyere, toma aún contigo uno ó dos»</w:t>
      </w:r>
      <w:r>
        <w:t xml:space="preserve"> (Mt 18:16)</w:t>
      </w:r>
      <w:r>
        <w:t>; «y si no oyere á ellos, dilo á la iglesia»</w:t>
      </w:r>
      <w:r>
        <w:t xml:space="preserve"> (Mt 18:17)</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t>[04l, apartados 3 y 4; Mt 18:15-17 en la Reina-Valera 1909 de 06; el reverso de Ez 34:16, con el texto en el anexo J]</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 </w:t>
      </w:r>
      <w:r>
        <w:t>[00.00-7.2]</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xml:space="preserve">, punto 4); el aval es solo para el consejo que propone correcciones. </w:t>
      </w:r>
      <w:r>
        <w:t>[00.00-7.2; remitido a 2.4]</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xml:space="preserve">). La estrategia es la misma en todo: nunca el enfrentamiento directo. Se responde por escrito, en plazo y con la ley en la mano. </w:t>
      </w:r>
      <w:r>
        <w:t>[32.00-11.1; glosario 8.5]</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t xml:space="preserve"> (Código Civil, art. 1.2)</w:t>
      </w:r>
      <w:r>
        <w:t>; las disposiciones administrativas que vulneren la Constitución o las leyes son «nulas de pleno derecho»</w:t>
      </w:r>
      <w:r>
        <w:t xml:space="preserve"> (Ley 39/2015, art. 47.2)</w:t>
      </w:r>
      <w:r>
        <w:t>, y los jueces no las aplican</w:t>
      </w:r>
      <w:r>
        <w:t xml:space="preserve"> (Ley Orgánica del Poder Judicial, art. 6)</w:t>
      </w:r>
      <w:r>
        <w:t>.</w:t>
      </w:r>
    </w:p>
    <w:p>
      <w:pPr>
        <w:pStyle w:val="ListBullet"/>
      </w:pPr>
      <w:r>
        <w:t>Por el daño de un servicio público, el particular reclama a la Administración, no al funcionario</w:t>
      </w:r>
      <w:r>
        <w:t xml:space="preserve"> (Ley 40/2015, art. 36.1)</w:t>
      </w:r>
      <w:r>
        <w:t>; la Administración que indemniza debe exigir después la responsabilidad de quien actuó con dolo, o culpa o negligencia graves</w:t>
      </w:r>
      <w:r>
        <w:t xml:space="preserve"> (ídem, art. 36.2)</w:t>
      </w:r>
      <w:r>
        <w:t>; y si hubo delito, la responsabilidad penal del empleado y la civil que nace de él se exigen por la ley penal</w:t>
      </w:r>
      <w:r>
        <w:t xml:space="preserve"> (ídem, art. 37.1)</w:t>
      </w:r>
      <w:r>
        <w:t>.</w:t>
      </w:r>
    </w:p>
    <w:p>
      <w:pPr>
        <w:pStyle w:val="ListBullet"/>
      </w:pPr>
      <w:r>
        <w:t>La autoridad o funcionario que, «a sabiendas de su injusticia», dicta una resolución arbitraria comete prevaricación</w:t>
      </w:r>
      <w:r>
        <w:t xml:space="preserve"> (Código Penal, art. 404)</w:t>
      </w:r>
      <w:r>
        <w:t>, y quien es responsable penalmente lo es también civilmente</w:t>
      </w:r>
      <w:r>
        <w:t xml:space="preserve"> (ídem, art. 116.1)</w:t>
      </w:r>
      <w:r>
        <w:t>.</w:t>
      </w:r>
    </w:p>
    <w:p>
      <w:pPr>
        <w:pStyle w:val="ListBullet"/>
      </w:pPr>
      <w:r>
        <w:t>La ley no ampara la obediencia a lo manifiestamente ilegal</w:t>
      </w:r>
      <w:r>
        <w:t xml:space="preserve"> (Código Penal, art. 410.2; Estatuto Básico del Empleado Público, art. 54.3; Ley Orgánica 2/1986, art. 5.1.d)</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t xml:space="preserve"> (Ley 39/2015, art. 53.1.b)</w:t>
      </w:r>
      <w:r>
        <w:t>.</w:t>
      </w:r>
    </w:p>
    <w:p>
      <w:r>
        <w:t>[32.00-19.1]</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 </w:t>
      </w:r>
      <w:r>
        <w:t>[32.00-19.2]</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 xml:space="preserve">). </w:t>
      </w:r>
      <w:r>
        <w:t>[32.00-19.3]</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xml:space="preserve">):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 </w:t>
      </w:r>
      <w:r>
        <w:t>[32.00-19.4 y 19.5]</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xml:space="preserve">; aquí, lo que lo sostiene. </w:t>
      </w:r>
      <w:r>
        <w:t>[32.00-6.2; glosario 8.7]</w:t>
      </w:r>
    </w:p>
    <w:p>
      <w:r>
        <w:rPr>
          <w:b/>
        </w:rPr>
        <w:t>Lo que el escrito no hace.</w:t>
      </w:r>
      <w:r>
        <w:t xml:space="preserve"> No declara una «aceptación condicionada» ni pretende que el silencio equivalga a aceptación: el silencio tiene su régimen legal tasado</w:t>
      </w:r>
      <w:r>
        <w:t xml:space="preserve"> (Ley 39/2015, art. 24)</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xml:space="preserve">). Y no amenaza al funcionario que actúa dentro de su cargo. La regla de oro: todo lo que afirma se puede comprobar, y todo lo que pide se puede conceder. </w:t>
      </w:r>
      <w:r>
        <w:t>[32.00-1.1 a 1.5; 32.00-27.1]</w:t>
      </w:r>
    </w:p>
    <w:p>
      <w:r>
        <w:rPr>
          <w:b/>
        </w:rPr>
        <w:t>En qué derechos se apoya.</w:t>
      </w:r>
    </w:p>
    <w:p>
      <w:pPr>
        <w:pStyle w:val="ListBullet"/>
      </w:pPr>
      <w:r>
        <w:t>El derecho de petición: toda persona puede dirigir peticiones a los poderes públicos, y la Administración está obligada a acusar recibo y a contestar</w:t>
      </w:r>
      <w:r>
        <w:t xml:space="preserve"> (Constitución, art. 29; Ley Orgánica 4/2001)</w:t>
      </w:r>
      <w:r>
        <w:t>.</w:t>
      </w:r>
    </w:p>
    <w:p>
      <w:pPr>
        <w:pStyle w:val="ListBullet"/>
      </w:pPr>
      <w:r>
        <w:t>El deber de motivación: los actos que limiten derechos, resuelvan procedimientos o se aparten del criterio anterior deben motivarse, con sucinta referencia de hechos y fundamentos de derecho</w:t>
      </w:r>
      <w:r>
        <w:t xml:space="preserve"> (Ley 39/2015, art. 35)</w:t>
      </w:r>
      <w:r>
        <w:t>. Una motivación de plantilla no cumple ese deber.</w:t>
      </w:r>
    </w:p>
    <w:p>
      <w:pPr>
        <w:pStyle w:val="ListBullet"/>
      </w:pPr>
      <w:r>
        <w:t>El acceso a la información pública, con sus plazos y su reclamación ante el Consejo de Transparencia</w:t>
      </w:r>
      <w:r>
        <w:t xml:space="preserve"> (Ley 19/2013)</w:t>
      </w:r>
      <w:r>
        <w:t>.</w:t>
      </w:r>
    </w:p>
    <w:p>
      <w:pPr>
        <w:pStyle w:val="ListBullet"/>
      </w:pPr>
      <w:r>
        <w:t>La buena administración, como estándar europeo de referencia: tratamiento imparcial y equitativo, en un plazo razonable, con obligación de motivar</w:t>
      </w:r>
      <w:r>
        <w:t xml:space="preserve"> (Carta de los Derechos Fundamentales de la UE, art. 41)</w:t>
      </w:r>
      <w:r>
        <w:t>. Precisión honesta: vincula a las instituciones de la Unión, no directamente a un ayuntamiento.</w:t>
      </w:r>
    </w:p>
    <w:p>
      <w:r>
        <w:t>[32.00-5.1 a 5.5]</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t xml:space="preserve"> (Ley 39/2015, art. 97.1)</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t xml:space="preserve"> (SSTC 66/1995, 207/1996 y 55/1996)</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t xml:space="preserve"> (Ley 39/2015, art. 53.1.a)</w:t>
      </w:r>
      <w:r>
        <w:t>.</w:t>
      </w:r>
    </w:p>
    <w:p>
      <w:pPr>
        <w:spacing w:after="60"/>
        <w:ind w:left="510" w:hanging="397"/>
      </w:pPr>
      <w:r>
        <w:rPr>
          <w:b w:val="0"/>
        </w:rPr>
        <w:t xml:space="preserve">6. </w:t>
      </w:r>
      <w:r>
        <w:t>Que se identifique a quien tramita el procedimiento</w:t>
      </w:r>
      <w:r>
        <w:t xml:space="preserve"> (ídem, art. 53.1.b)</w:t>
      </w:r>
      <w:r>
        <w:t xml:space="preserve"> y que, si se continúa, se haga constar por escrito con la norma y la resolución que lo amparan.</w:t>
      </w:r>
    </w:p>
    <w:p>
      <w:r>
        <w:t xml:space="preserve">Cada petición debe poder contestarse con un documento o con una cita normativa; si no, se elimina. Y los hechos, cada uno con su fuente: si un dato no se puede acreditar, se retira. Es mejor un escrito de diez líneas sólidas que uno de cinco páginas con una afirmación indefendible. </w:t>
      </w:r>
      <w:r>
        <w:t>[32.00-4.1 y 4.2; 32.00-6.1 a 6.9]</w:t>
      </w:r>
    </w:p>
    <w:p>
      <w:r>
        <w:rPr>
          <w:b/>
        </w:rPr>
        <w:t>El domicilio.</w:t>
      </w:r>
      <w:r>
        <w:t xml:space="preserve"> Designarlo de forma expresa tiene efecto real: la Administración debe notificar en el domicilio que el interesado ha designado</w:t>
      </w:r>
      <w:r>
        <w:t xml:space="preserve"> (STS 3259/2025, de 1 de julio)</w:t>
      </w:r>
      <w:r>
        <w:t xml:space="preserve">. </w:t>
      </w:r>
      <w:r>
        <w:t>[32.00-3.5]</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xml:space="preserve">): dejar constancia de la voluntad de rectificar es lo contrario del dolo. </w:t>
      </w:r>
      <w:r>
        <w:t>[32.00-7.1 y 7.2; 07.00-19.1 y 19.2]</w:t>
      </w:r>
    </w:p>
    <w:p>
      <w:r>
        <w:rPr>
          <w:b/>
        </w:rPr>
        <w:t>La firma.</w:t>
      </w:r>
      <w:r>
        <w:t xml:space="preserve"> El nombre legal completo y la firma habitual. Sin anotaciones, sin siglas, sin huella, sin tinta de color: cualquier añadido de ese tipo convierte un escrito impecable en uno descalificable. </w:t>
      </w:r>
      <w:r>
        <w:t>[32.00-9.1 y 9.2]</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t xml:space="preserve"> (Ley Orgánica 4/2001, art. 6)</w:t>
      </w:r>
      <w:r>
        <w:t xml:space="preserve">, y </w:t>
      </w:r>
      <w:r>
        <w:rPr>
          <w:b/>
        </w:rPr>
        <w:t>contestación motivada</w:t>
      </w:r>
      <w:r>
        <w:t xml:space="preserve"> en tres meses como máximo</w:t>
      </w:r>
      <w:r>
        <w:t xml:space="preserve"> (ídem, art. 11)</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t xml:space="preserve"> (ídem, art. 12; Constitución, art. 53.2)</w:t>
      </w:r>
      <w:r>
        <w:t>.</w:t>
      </w:r>
    </w:p>
    <w:p>
      <w:pPr>
        <w:pStyle w:val="ListBullet"/>
      </w:pPr>
      <w:r>
        <w:rPr>
          <w:b/>
        </w:rPr>
        <w:t>Información pública:</w:t>
      </w:r>
      <w:r>
        <w:t xml:space="preserve"> un mes, ampliable otro; sin respuesta, se entiende desestimada, y cabe reclamar ante el Consejo de Transparencia en un mes</w:t>
      </w:r>
      <w:r>
        <w:t xml:space="preserve"> (Ley 19/2013, arts. 20 y 24)</w:t>
      </w:r>
      <w:r>
        <w:t>.</w:t>
      </w:r>
    </w:p>
    <w:p>
      <w:pPr>
        <w:pStyle w:val="ListBullet"/>
      </w:pPr>
      <w:r>
        <w:rPr>
          <w:b/>
        </w:rPr>
        <w:t>En cualquier procedimiento</w:t>
      </w:r>
      <w:r>
        <w:t>, la Administración debe resolver de forma expresa</w:t>
      </w:r>
      <w:r>
        <w:t xml:space="preserve"> (Ley 39/2015, art. 21.1)</w:t>
      </w:r>
      <w:r>
        <w:t>, en tres meses si su norma no fija otro plazo</w:t>
      </w:r>
      <w:r>
        <w:t xml:space="preserve"> (ídem, art. 21.3)</w:t>
      </w:r>
      <w:r>
        <w:t>. El silencio en una petición del art. 29 es desestimatorio</w:t>
      </w:r>
      <w:r>
        <w:t xml:space="preserve"> (ídem, art. 24.1)</w:t>
      </w:r>
      <w:r>
        <w:t>: no da la razón, pero deja abierta la vía de recurso.</w:t>
      </w:r>
    </w:p>
    <w:p>
      <w:pPr>
        <w:pStyle w:val="ListBullet"/>
      </w:pPr>
      <w:r>
        <w:rPr>
          <w:b/>
        </w:rPr>
        <w:t>El Defensor del Pueblo</w:t>
      </w:r>
      <w:r>
        <w:t>, gratuito y sin abogado ni procurador</w:t>
      </w:r>
      <w:r>
        <w:t xml:space="preserve"> (Ley Orgánica 3/1981, art. 15)</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t xml:space="preserve"> (Ley 29/1998, arts. 29, 30 y 46)</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 xml:space="preserve">). </w:t>
      </w:r>
      <w:r>
        <w:t>[32.00-10.1 a 10.10]</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r>
        <w:t>[20.00-9.1]</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t xml:space="preserve"> (SSTC 59/2017 y 182/2021)</w:t>
      </w:r>
      <w:r>
        <w:t>, con efectos solo hacia adelante (</w:t>
      </w:r>
      <w:r>
        <w:t>5.1</w:t>
      </w:r>
      <w:r>
        <w:t xml:space="preserve">, n.º 9). </w:t>
      </w:r>
      <w:r>
        <w:t>[20.00-9.1]</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t xml:space="preserve"> (STS 3259/2025, de 1 de julio; Ley General Tributaria, art. 211.4)</w:t>
      </w:r>
      <w:r>
        <w:t xml:space="preserve">. </w:t>
      </w:r>
      <w:r>
        <w:t>[20.00-9.1]</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t xml:space="preserve"> (STC 184/2025, de 2 de diciembre)</w:t>
      </w:r>
      <w:r>
        <w:t xml:space="preserve"> (</w:t>
      </w:r>
      <w:r>
        <w:t>5.2</w:t>
      </w:r>
      <w:r>
        <w:t xml:space="preserve">). </w:t>
      </w:r>
      <w:r>
        <w:t>[20.00-9.1]</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t xml:space="preserve"> (STS 3465/2025, de 17 de julio)</w:t>
      </w:r>
      <w:r>
        <w:t xml:space="preserve">. </w:t>
      </w:r>
      <w:r>
        <w:t>[20.00-9.1]</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t xml:space="preserve"> (STC 121/2025, de 26 de mayo)</w:t>
      </w:r>
      <w:r>
        <w:t>, y el Supremo la corrigió en pleno: «el consumidor debe quedar indemne económicamente»</w:t>
      </w:r>
      <w:r>
        <w:t xml:space="preserve"> (SSTS 1785, 1786 y 1796/2025, de 4 y 5 de diciembre)</w:t>
      </w:r>
      <w:r>
        <w:t xml:space="preserve">. </w:t>
      </w:r>
      <w:r>
        <w:t>[20.00-9.1; 07: no dicen «patrimonialmente indemne»]</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t xml:space="preserve"> (STS 1063/2025, de 21 de julio)</w:t>
      </w:r>
      <w:r>
        <w:t>. Y Hacienda no puede seguir por la vía penal una deuda ya prescrita en la administrativa</w:t>
      </w:r>
      <w:r>
        <w:t xml:space="preserve"> (STS 1182/2024, de 7 de enero de 2025)</w:t>
      </w:r>
      <w:r>
        <w:t xml:space="preserve">. </w:t>
      </w:r>
      <w:r>
        <w:t>[20.00-9.1]</w:t>
      </w:r>
    </w:p>
    <w:p>
      <w:r>
        <w:rPr>
          <w:b/>
        </w:rPr>
        <w:t>Contra un reglamento ilegal.</w:t>
      </w:r>
      <w:r>
        <w:t xml:space="preserve"> El plazo de dos meses para recurrir un reglamento vence pronto, pero cada acto nuevo que lo aplique abre un plazo nuevo: es el recurso indirecto</w:t>
      </w:r>
      <w:r>
        <w:t xml:space="preserve"> (Ley 29/1998, art. 26)</w:t>
      </w:r>
      <w:r>
        <w:t>. Hace falta que la ilegalidad del reglamento tenga que ver con el acto recurrido: no cabe impugnar la norma «en abstracto»</w:t>
      </w:r>
      <w:r>
        <w:t xml:space="preserve"> (STS 932/2021, de 28 de junio)</w:t>
      </w:r>
      <w:r>
        <w:t>. Si el juez lo estima, la cuestión de ilegalidad lleva la norma al tribunal que puede anularla para todos</w:t>
      </w:r>
      <w:r>
        <w:t xml:space="preserve"> (Ley 29/1998, art. 27)</w:t>
      </w:r>
      <w:r>
        <w:t>. Las disposiciones nulas lo son sin plazo, pero el ciudadano solo puede pedir de parte la revisión de los actos; la de las disposiciones generales es de oficio</w:t>
      </w:r>
      <w:r>
        <w:t xml:space="preserve"> (Ley 39/2015, arts. 47.2 y 106)</w:t>
      </w:r>
      <w:r>
        <w:t xml:space="preserve">: frente a un reglamento nulo, su vía fuerte sigue siendo el recurso indirecto. </w:t>
      </w:r>
      <w:r>
        <w:t>[20.00-24.1]</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t xml:space="preserve"> (Ley 40/2015, art. 36)</w:t>
      </w:r>
      <w:r>
        <w:t>. Para el error judicial, primero una decisión que lo reconozca, pedida en tres meses al Supremo, y después la reclamación al Ministerio de Justicia</w:t>
      </w:r>
      <w:r>
        <w:t xml:space="preserve"> (Ley Orgánica del Poder Judicial, arts. 292 y 293)</w:t>
      </w:r>
      <w:r>
        <w:t xml:space="preserve">. Ninguna de estas vías es una fórmula mágica: son el mapa de lo que el propio ordenamiento ya permite. </w:t>
      </w:r>
      <w:r>
        <w:t>[20.00-24.1]</w:t>
      </w:r>
    </w:p>
    <w:p>
      <w:pPr>
        <w:pStyle w:val="Heading3"/>
      </w:pPr>
      <w:r>
        <w:t>Defenderse juntos</w:t>
      </w:r>
    </w:p>
    <w:p>
      <w:r>
        <w:rPr>
          <w:b/>
        </w:rPr>
        <w:t>Hechos.</w:t>
      </w:r>
      <w:r>
        <w:t xml:space="preserve"> La ley permite acumular los recursos sobre un mismo acto o sobre actos conectados</w:t>
      </w:r>
      <w:r>
        <w:t xml:space="preserve"> (Ley 29/1998, art. 34)</w:t>
      </w:r>
      <w:r>
        <w:t>; si hay muchos con idéntico objeto, el juez puede tramitar uno como pleito testigo y suspender los demás</w:t>
      </w:r>
      <w:r>
        <w:t xml:space="preserve"> (ídem, art. 37.2)</w:t>
      </w:r>
      <w:r>
        <w:t>; y en materia tributaria, quienes estén en idéntica situación pueden pedir que se les extiendan los efectos de una sentencia firme en el plazo de un año</w:t>
      </w:r>
      <w:r>
        <w:t xml:space="preserve"> (ídem, art. 110)</w:t>
      </w:r>
      <w:r>
        <w:t>. Ante un juzgado unipersonal, el procurador es opcional</w:t>
      </w:r>
      <w:r>
        <w:t xml:space="preserve"> (ídem, art. 23.1)</w:t>
      </w:r>
      <w:r>
        <w:t>. Y si se pierde del todo, el juez impone las costas a quien recurrió, salvo serias dudas</w:t>
      </w:r>
      <w:r>
        <w:t xml:space="preserve"> (ídem, art. 139.1)</w:t>
      </w:r>
      <w:r>
        <w:t xml:space="preserve">. </w:t>
      </w:r>
      <w:r>
        <w:t>[32.00-20.1]</w:t>
      </w:r>
    </w:p>
    <w:p>
      <w:r>
        <w:rPr>
          <w:b/>
        </w:rPr>
        <w:t>Conclusión, lo que arrojan los datos:</w:t>
      </w:r>
      <w:r>
        <w:t xml:space="preserve"> los cauces para defenderse en grupo ya existen. Lo que falta es encontrar a quien tiene el mismo problema. </w:t>
      </w:r>
      <w:r>
        <w:t>[32.00-20.2]</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t xml:space="preserve"> (Reglamento General de Protección de Datos, art. 6.1.a)</w:t>
      </w:r>
      <w:r>
        <w:t xml:space="preserve">.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 </w:t>
      </w:r>
      <w:r>
        <w:t>[32.00-20.3 a 20.7]</w:t>
      </w:r>
    </w:p>
    <w:p>
      <w:pPr>
        <w:pStyle w:val="Heading3"/>
      </w:pPr>
      <w:r>
        <w:t>La respuesta probable de la Administración</w:t>
      </w:r>
    </w:p>
    <w:p>
      <w:r>
        <w:t xml:space="preserve">Conocer la respuesta probable antes de presentar el escrito es parte de la buena fe. Estas son las cinco, con lo que responde la obra. </w:t>
      </w:r>
      <w:r>
        <w:t>[32.00-22.1 a 26.2; clasificación de las defensas, 5]</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t xml:space="preserve"> (Ley Orgánica 4/2001, art. 3)</w:t>
      </w:r>
      <w:r>
        <w:t xml:space="preserve"> e inadmite las peticiones sobre un procedimiento ya iniciado</w:t>
      </w:r>
      <w:r>
        <w:t xml:space="preserve"> (ídem, art. 8)</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t xml:space="preserve"> (ídem, art. 9.1)</w:t>
      </w:r>
      <w:r>
        <w:t>. Además, el nombre que se dé al escrito no lo invalida</w:t>
      </w:r>
      <w:r>
        <w:t xml:space="preserve"> (Ley 39/2015, art. 115.2)</w:t>
      </w:r>
      <w:r>
        <w:t>.</w:t>
      </w:r>
    </w:p>
    <w:p>
      <w:pPr>
        <w:spacing w:after="60"/>
        <w:ind w:left="510" w:hanging="397"/>
      </w:pPr>
      <w:r>
        <w:rPr>
          <w:b w:val="0"/>
        </w:rPr>
        <w:t xml:space="preserve">2. </w:t>
      </w:r>
      <w:r>
        <w:rPr>
          <w:b/>
        </w:rPr>
        <w:t>«El acto ya cita su norma, y basta una motivación sucinta.»</w:t>
      </w:r>
      <w:r>
        <w:t xml:space="preserve"> (Ley 39/2015, art. 35)</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t xml:space="preserve"> (Ley 19/2013, art. 18.1.c)</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t xml:space="preserve"> (Ley 19/2013, art. 20.4)</w:t>
      </w:r>
      <w:r>
        <w:t xml:space="preserve"> </w:t>
      </w:r>
      <w:r>
        <w:rPr>
          <w:i/>
        </w:rPr>
        <w:t>La respuesta de la obra:</w:t>
      </w:r>
      <w:r>
        <w:t xml:space="preserve"> el silencio no libera de resolver</w:t>
      </w:r>
      <w:r>
        <w:t xml:space="preserve"> (Ley 39/2015, art. 21.1)</w:t>
      </w:r>
      <w:r>
        <w:t>, y la resolución tardía se dicta «sin vinculación alguna al sentido del silencio»</w:t>
      </w:r>
      <w:r>
        <w:t xml:space="preserve"> (ídem, art. 24.3.b)</w:t>
      </w:r>
      <w:r>
        <w:t>. El silencio no da la razón a nadie: es un hecho documentado.</w:t>
      </w:r>
    </w:p>
    <w:p>
      <w:pPr>
        <w:spacing w:after="60"/>
        <w:ind w:left="510" w:hanging="397"/>
      </w:pPr>
      <w:r>
        <w:rPr>
          <w:b w:val="0"/>
        </w:rPr>
        <w:t xml:space="preserve">5. </w:t>
      </w:r>
      <w:r>
        <w:rPr>
          <w:b/>
        </w:rPr>
        <w:t>«Una avalancha de escritos idénticos es abusiva.»</w:t>
      </w:r>
      <w:r>
        <w:t xml:space="preserve"> (Ley 19/2013, art. 18.1.e)</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 xml:space="preserve">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 </w:t>
      </w:r>
      <w:r>
        <w:t>[36.00, índice]</w:t>
      </w:r>
    </w:p>
    <w:p>
      <w:r>
        <w:rPr>
          <w:b/>
        </w:rPr>
        <w:t>Algunos plazos que conviene saber antes de abrirlo</w:t>
      </w:r>
      <w:r>
        <w:t xml:space="preserve"> (los fundamentos de cada modelo, en el </w:t>
      </w:r>
      <w:r>
        <w:t>anexo D</w:t>
      </w:r>
      <w:r>
        <w:t>):</w:t>
      </w:r>
    </w:p>
    <w:p>
      <w:pPr>
        <w:pStyle w:val="ListBullet"/>
      </w:pPr>
      <w:r>
        <w:t>Notificada una denuncia de tráfico, hay veinte días naturales para alegar</w:t>
      </w:r>
      <w:r>
        <w:t xml:space="preserve"> (Ley de Tráfico, art. 95.1)</w:t>
      </w:r>
      <w:r>
        <w:t>. Pagar en ese plazo reduce la multa a la mitad, pero las alegaciones «se tendrán por no presentadas» y la vía administrativa se agota</w:t>
      </w:r>
      <w:r>
        <w:t xml:space="preserve"> (ídem, art. 94)</w:t>
      </w:r>
      <w:r>
        <w:t xml:space="preserve">: o se paga con la reducción, o se alega. </w:t>
      </w:r>
      <w:r>
        <w:t>[32.00-13.1 y 13.2; 07: es el art. 94]</w:t>
      </w:r>
    </w:p>
    <w:p>
      <w:pPr>
        <w:pStyle w:val="ListBullet"/>
      </w:pPr>
      <w:r>
        <w:t>El recurso de reposición, en un mes, y otro mes para resolverlo</w:t>
      </w:r>
      <w:r>
        <w:t xml:space="preserve"> (Ley 39/2015, arts. 123 y 124)</w:t>
      </w:r>
      <w:r>
        <w:t>. Recurrir no suspende por sí solo, pero se puede pedir la suspensión, y si no se resuelve en un mes, «la ejecución del acto impugnado se entenderá suspendida»</w:t>
      </w:r>
      <w:r>
        <w:t xml:space="preserve"> (ídem, art. 117)</w:t>
      </w:r>
      <w:r>
        <w:t xml:space="preserve">. </w:t>
      </w:r>
      <w:r>
        <w:t>[32.00-14.1 y 14.2]</w:t>
      </w:r>
    </w:p>
    <w:p>
      <w:pPr>
        <w:pStyle w:val="ListBullet"/>
      </w:pPr>
      <w:r>
        <w:t>La providencia de apremio tiene «la misma fuerza ejecutiva que la sentencia judicial», y solo admite cinco motivos de oposición</w:t>
      </w:r>
      <w:r>
        <w:t xml:space="preserve"> (Ley General Tributaria, art. 167)</w:t>
      </w:r>
      <w:r>
        <w:t>. La reposición tributaria, en un mes, nunca empeora la situación de quien recurre, y si lo recurrido es una sanción se suspende sin garantía</w:t>
      </w:r>
      <w:r>
        <w:t xml:space="preserve"> (ídem, arts. 223 y 224.1)</w:t>
      </w:r>
      <w:r>
        <w:t xml:space="preserve">. </w:t>
      </w:r>
      <w:r>
        <w:t>[32.00-15.1 y 15.2]</w:t>
      </w:r>
    </w:p>
    <w:p>
      <w:pPr>
        <w:pStyle w:val="ListBullet"/>
      </w:pPr>
      <w:r>
        <w:t>No se puede embargar el sueldo o la pensión que no exceda del salario mínimo</w:t>
      </w:r>
      <w:r>
        <w:t xml:space="preserve"> (Ley de Enjuiciamiento Civil, art. 607.1)</w:t>
      </w:r>
      <w:r>
        <w:t xml:space="preserve">. </w:t>
      </w:r>
      <w:r>
        <w:t>[32.00-16.1]</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 </w:t>
      </w:r>
      <w:r>
        <w:t>[32.00-16.2; 32.00-27.2; 07.00-29.1]</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xml:space="preserve">). Este apartado dice qué compensación ya reconoce la ley. </w:t>
      </w:r>
      <w:r>
        <w:t>[glosario 8.4]</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t xml:space="preserve"> (Código Civil, art. 1902)</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t xml:space="preserve"> (Ley de 16 de diciembre de 1954, art. 121)</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xml:space="preserve"> (Constitución, art. 106.2; Ley 40/2015, art. 32)</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t xml:space="preserve"> (Constitución, art. 121; Ley Orgánica del Poder Judicial, arts. 292 a 297)</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t xml:space="preserve"> (Ley 40/2015, art. 32.8)</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t xml:space="preserve"> (Directiva (UE) 2024/2853, art. 21)</w:t>
      </w:r>
      <w:r>
        <w:t>.</w:t>
      </w:r>
    </w:p>
    <w:p>
      <w:r>
        <w:t>[31.00-3.1; 31.00-4.1 a 4.4; 31.00-5.1 a 5.6]</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t xml:space="preserve"> (Ley 40/2015, art. 32.3)</w:t>
      </w:r>
      <w:r>
        <w:t xml:space="preserve">. </w:t>
      </w:r>
      <w:r>
        <w:t>[31.00-6.1]</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 </w:t>
      </w:r>
      <w:r>
        <w:t>[31.00-7.1 y 7.2]</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t xml:space="preserve"> (STS de 21 de junio de 1996, FJ 4)</w:t>
      </w:r>
      <w:r>
        <w:t>; hace falta una tardanza que, vista la complejidad del caso, sea impropia de un Estado que «propugna como uno de sus valores superiores la justicia»</w:t>
      </w:r>
      <w:r>
        <w:t xml:space="preserve"> (ídem)</w:t>
      </w:r>
      <w:r>
        <w:t xml:space="preserve">.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 </w:t>
      </w:r>
      <w:r>
        <w:t>[20.00-9.2 a 9.4; 07: las palabras del Supremo]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t xml:space="preserve"> (Código Civil, art. 384)</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t xml:space="preserve"> (Código Civil, art. 364)</w:t>
      </w:r>
      <w:r>
        <w:t>, pero esa tolerancia no le quita la propiedad: «los actos meramente tolerados […] no afectan a la posesión»</w:t>
      </w:r>
      <w:r>
        <w:t xml:space="preserve"> (ídem, art. 444)</w:t>
      </w:r>
      <w:r>
        <w:t xml:space="preserve">. Queda lo único que queda cuando hubo tolerancia por ambas partes: marcar otra vez el límite y compensar lo tomado de más. </w:t>
      </w:r>
      <w:r>
        <w:t>[20.00-31.1; 33.00-2.1; 32.00-17.2; glosario 8.8]</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t xml:space="preserve"> (Tratado de la Unión Europea, art. 5.2)</w:t>
      </w:r>
      <w:r>
        <w:t xml:space="preserve">. </w:t>
      </w:r>
      <w:r>
        <w:t>[32.00-17.1; 20.00-31.1]</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xml:space="preserve">), y es el ciudadano quien tiene que recurrir para que se le enseñe el título. La misma persona jurídica sostiene dos doctrinas sobre el poder prestado, según la silla en que se siente. No hace falta llamarlo de ningún modo: basta ponerlo en dos columnas. </w:t>
      </w:r>
      <w:r>
        <w:t>[20.00-31.1]</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xml:space="preserve">). Por eso lo que se pide es un deslinde, no una condena. </w:t>
      </w:r>
      <w:r>
        <w:t>[20.00-31.1]</w:t>
      </w:r>
    </w:p>
    <w:p>
      <w:pPr>
        <w:pStyle w:val="Heading3"/>
      </w:pPr>
      <w:r>
        <w:t>La medida: el exceso que contamina el acto entero</w:t>
      </w:r>
    </w:p>
    <w:p>
      <w:r>
        <w:t xml:space="preserve">El criterio no es que el derecho castigue sobrepasar, que sería obvio, sino algo más raro: sitios donde el poder era legítimo, se ejerció más allá de su medida, y el exceso contamina el acto entero, no solo la parte sobrante. </w:t>
      </w:r>
      <w:r>
        <w:t>[20.00-31.1]</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t xml:space="preserve"> (Código Civil, art. 7)</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t xml:space="preserve"> (Código Civil, art. 6.4)</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t xml:space="preserve"> (STC 66/1995)</w:t>
      </w:r>
      <w:r>
        <w:t>, al legislador</w:t>
      </w:r>
      <w:r>
        <w:t xml:space="preserve"> (STC 55/1996)</w:t>
      </w:r>
      <w:r>
        <w:t xml:space="preserve"> y a los jueces</w:t>
      </w:r>
      <w:r>
        <w:t xml:space="preserve"> (STC 207/1996)</w:t>
      </w:r>
      <w:r>
        <w:t>.</w:t>
      </w:r>
    </w:p>
    <w:p>
      <w:pPr>
        <w:pStyle w:val="ListBullet"/>
      </w:pPr>
      <w:r>
        <w:rPr>
          <w:b/>
        </w:rPr>
        <w:t>La piedra que la ley no puede mover:</w:t>
      </w:r>
      <w:r>
        <w:t xml:space="preserve"> el «contenido esencial» de los derechos</w:t>
      </w:r>
      <w:r>
        <w:t xml:space="preserve"> (Constitución, art. 53.1; STC 11/1981)</w:t>
      </w:r>
      <w:r>
        <w:t>, y la «interdicción de la arbitrariedad de los poderes públicos»</w:t>
      </w:r>
      <w:r>
        <w:t xml:space="preserve"> (Constitución, art. 9.3)</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t xml:space="preserve"> (Carta de los Derechos Fundamentales de la UE, art. 52.1)</w:t>
      </w:r>
      <w:r>
        <w:t xml:space="preserve">. No son alternativas: se cumplen las cuatro o la limitación no vale. La presunción de inocencia, también en lo administrativo, ya se vio en </w:t>
      </w:r>
      <w:r>
        <w:t>5.2</w:t>
      </w:r>
      <w:r>
        <w:t xml:space="preserve"> y </w:t>
      </w:r>
      <w:r>
        <w:t>7.5</w:t>
      </w:r>
      <w:r>
        <w:t xml:space="preserve">, n.º 3. </w:t>
      </w:r>
      <w:r>
        <w:t>[20.00-7.1; 07: las palabras de la Carta]</w:t>
      </w:r>
    </w:p>
    <w:p>
      <w:pPr>
        <w:pStyle w:val="ListBullet"/>
      </w:pPr>
      <w:r>
        <w:rPr>
          <w:b/>
        </w:rPr>
        <w:t>El techo dentro de la excepción:</w:t>
      </w:r>
      <w:r>
        <w:t xml:space="preserve"> la legítima defensa exige «necesidad racional del medio empleado»</w:t>
      </w:r>
      <w:r>
        <w:t xml:space="preserve"> (Código Penal, art. 20.4)</w:t>
      </w:r>
      <w:r>
        <w:t>, y el estado de necesidad, «que el mal causado no sea mayor que el que se trate de evitar»</w:t>
      </w:r>
      <w:r>
        <w:t xml:space="preserve"> (ídem, art. 20.5)</w:t>
      </w:r>
      <w:r>
        <w:t>.</w:t>
      </w:r>
    </w:p>
    <w:p>
      <w:pPr>
        <w:pStyle w:val="ListBullet"/>
      </w:pPr>
      <w:r>
        <w:rPr>
          <w:b/>
        </w:rPr>
        <w:t>La tradición:</w:t>
      </w:r>
      <w:r>
        <w:t xml:space="preserve"> «Maldito el que redujere el término de su prójimo. Y dirá todo el pueblo: Amén»</w:t>
      </w:r>
      <w:r>
        <w:t xml:space="preserve"> (Dt 27:17)</w:t>
      </w:r>
      <w:r>
        <w:t>, entre las maldiciones del monte Ebal, junto a la de quien deshonra a sus padres y la de quien pervierte el derecho del extranjero, del huérfano y de la viuda. Mover el límite se juzga junto al abandono del más débil.</w:t>
      </w:r>
    </w:p>
    <w:p>
      <w:r>
        <w:t>[20.00-31.1 y 31.2; 07: el art. 7.2 con su texto entero y Dt 27:17 en la RVA]</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t xml:space="preserve"> (STS de 22 de marzo de 1996)</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t xml:space="preserve"> (STS de 7 de julio de 2026, recurso de casación 1823/2024)</w:t>
      </w:r>
      <w:r>
        <w:t>.</w:t>
      </w:r>
    </w:p>
    <w:p>
      <w:r>
        <w:t xml:space="preserve">Un patrón con sus excepciones reconocidas es un patrón; sin ellas sería propaganda. </w:t>
      </w:r>
      <w:r>
        <w:t>[20.00-31.1; 07: la STS de 1908 no tiene fuente oficial en línea]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t xml:space="preserve"> (Declaración Universal, arts. 7, 8 y 10)</w:t>
      </w:r>
      <w:r>
        <w:t>; la Carta de la Unión, la propiedad, la igualdad y la tutela judicial efectiva</w:t>
      </w:r>
      <w:r>
        <w:t xml:space="preserve"> (Carta de los Derechos Fundamentales, arts. 17, 20 y 47)</w:t>
      </w:r>
      <w:r>
        <w:t>; y el Convenio Europeo, el juicio en un plazo razonable y la propiedad</w:t>
      </w:r>
      <w:r>
        <w:t xml:space="preserve"> (Convenio Europeo de Derechos Humanos, art. 6.1, y Protocolo n.º 1, art. 1)</w:t>
      </w:r>
      <w:r>
        <w:t>.</w:t>
      </w:r>
    </w:p>
    <w:p>
      <w:pPr>
        <w:pStyle w:val="ListBullet"/>
      </w:pPr>
      <w:r>
        <w:t>El Tribunal Europeo de Derechos Humanos condenó a Italia porque sus autoridades tardaron demasiado en ejecutar el desalojo de unos ocupantes ilegales</w:t>
      </w:r>
      <w:r>
        <w:t xml:space="preserve"> (STEDH Casa di Cura Valle Fiorita c. Italia, 13-12-2018)</w:t>
      </w:r>
      <w:r>
        <w:t>, y a Grecia, por no actuar durante más de tres años frente a la ocupación de un hotel</w:t>
      </w:r>
      <w:r>
        <w:t xml:space="preserve"> (STEDH Papachela y Amazon c. Grecia, 3-12-2020)</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t xml:space="preserve"> (STC 125/2022, de 10 de octubre)</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t xml:space="preserve"> (STC 10/1991)</w:t>
      </w:r>
      <w:r>
        <w:t>; la demora tiene que ser injustificada.</w:t>
      </w:r>
    </w:p>
    <w:p>
      <w:pPr>
        <w:pStyle w:val="ListBullet"/>
      </w:pPr>
      <w:r>
        <w:t>El Código Civil: el poseedor de mala fe abona los frutos percibidos y los que el poseedor legítimo hubiera podido percibir</w:t>
      </w:r>
      <w:r>
        <w:t xml:space="preserve"> (Código Civil, art. 455)</w:t>
      </w:r>
      <w:r>
        <w:t>, responde del deterioro</w:t>
      </w:r>
      <w:r>
        <w:t xml:space="preserve"> (ídem, art. 457)</w:t>
      </w:r>
      <w:r>
        <w:t xml:space="preserve"> y no cobra las mejoras de lujo</w:t>
      </w:r>
      <w:r>
        <w:t xml:space="preserve"> (ídem, art. 454)</w:t>
      </w:r>
      <w:r>
        <w:t>.</w:t>
      </w:r>
    </w:p>
    <w:p>
      <w:r>
        <w:t>[33.00-7.1 y 7.2; 33.00-5.1; 07: la STC de 2022 es la 125/2022]</w:t>
      </w:r>
    </w:p>
    <w:p>
      <w:r>
        <w:rPr>
          <w:b/>
        </w:rPr>
        <w:t>La ocupación, con su cifra.</w:t>
      </w:r>
      <w:r>
        <w:t xml:space="preserve"> El Ministerio del Interior contabilizó 16.426 delitos de usurpación y allanamiento de morada en 2024, un 7,4 % más que el año anterior y la tercera cifra más alta de la serie</w:t>
      </w:r>
      <w:r>
        <w:t xml:space="preserve"> (Ministerio del Interior, balance de criminalidad de 2024)</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t xml:space="preserve"> (Idealista, análisis de sus anuncios, tercer trimestre de 2025)</w:t>
      </w:r>
      <w:r>
        <w:t>. El CGPJ mide aparte los juicios verbales para recuperar una vivienda ocupada, una vía civil que solo pueden usar la persona física propietaria o poseedora legítima, las entidades sin ánimo de lucro y las entidades públicas de vivienda social</w:t>
      </w:r>
      <w:r>
        <w:t xml:space="preserve"> (Ley de Enjuiciamiento Civil, art. 250.1.4.º)</w:t>
      </w:r>
      <w:r>
        <w:t>; los delitos van por la vía penal. Cada categoría mide su trozo; nadie mide el total. Y desde el 3 de abril de 2025, la usurpación y el allanamiento van por juicio rápido, en el que el juicio oral se señala «dentro de los quince días siguientes»</w:t>
      </w:r>
      <w:r>
        <w:t xml:space="preserve"> (Ley de Enjuiciamiento Criminal, art. 800.3, tras la Ley Orgánica 1/2025)</w:t>
      </w:r>
      <w:r>
        <w:t xml:space="preserve">. </w:t>
      </w:r>
      <w:r>
        <w:t>[33.00-4.1, 4.2 y 4.4; 07: los quince días son para señalar el juicio, no para resolver]</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xml:space="preserve">, n.º 1). </w:t>
      </w:r>
      <w:r>
        <w:t>[33.00-4.1; 33.00-6.1]</w:t>
      </w:r>
    </w:p>
    <w:p>
      <w:r>
        <w:rPr>
          <w:b/>
        </w:rPr>
        <w:t>La tensión, dicha sin elegir bando.</w:t>
      </w:r>
      <w:r>
        <w:t xml:space="preserve"> Proteger a quien es vulnerable no vulnera la igualdad: la Constitución obliga a los poderes públicos a que la libertad y la igualdad sean «reales y efectivas»</w:t>
      </w:r>
      <w:r>
        <w:t xml:space="preserve"> (Constitución, art. 9.2)</w:t>
      </w:r>
      <w:r>
        <w:t>, y la protección frente a los desahucios de hogares vulnerables se ha prorrogado hasta el 31 de diciembre de 2026</w:t>
      </w:r>
      <w:r>
        <w:t xml:space="preserve"> (Real Decreto-ley 16/2025)</w:t>
      </w:r>
      <w:r>
        <w:t>. El problema real es otro: la buena fe se presume por igual en quien la merece y en quien no (</w:t>
      </w:r>
      <w:r>
        <w:t>2.5</w:t>
      </w:r>
      <w:r>
        <w:t xml:space="preserve">),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 </w:t>
      </w:r>
      <w:r>
        <w:t>[33.00-7.1]</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t xml:space="preserve"> (STC 148/2021)</w:t>
      </w:r>
      <w:r>
        <w:t xml:space="preserve"> (</w:t>
      </w:r>
      <w:r>
        <w:t>7.2</w:t>
      </w:r>
      <w:r>
        <w:t>, n.º 9). Y la Unión obliga: el Tribunal de Justicia declaró en 2024 que las medidas españolas contra el abuso de la temporalidad en el empleo público no se ajustan al Derecho de la Unión</w:t>
      </w:r>
      <w:r>
        <w:t xml:space="preserve"> (STJUE de 22 de febrero de 2024, asuntos C-59/22, C-110/22 y C-159/22)</w:t>
      </w:r>
      <w:r>
        <w:t>, y en 2026 lo repitió: llamar «indefinido no fijo» al trabajador no elimina por sí solo el abuso</w:t>
      </w:r>
      <w:r>
        <w:t xml:space="preserve"> (STJUE de 14 de abril de 2026, asunto C-418/24)</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t xml:space="preserve"> (Constitución, arts. 47 y 53.3)</w:t>
      </w:r>
      <w:r>
        <w:t xml:space="preserve">. </w:t>
      </w:r>
      <w:r>
        <w:t>[33.00-1.1; 33.00-8.1]</w:t>
      </w:r>
    </w:p>
    <w:p>
      <w:pPr>
        <w:pStyle w:val="Heading3"/>
      </w:pPr>
      <w:r>
        <w:t>La petición de deslinde</w:t>
      </w:r>
    </w:p>
    <w:p>
      <w:r>
        <w:t xml:space="preserve">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 </w:t>
      </w:r>
      <w:r>
        <w:t>[33.00-3.1 y 3.2]</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xml:space="preserve">). Ninguno espera al colapso: todos actúan con el poder todavía en pie, pidiendo que se corrija. </w:t>
      </w:r>
      <w:r>
        <w:t>[33.00-0.1; 33.00-2.1]</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 </w:t>
      </w:r>
      <w:r>
        <w:t>[33.00-10.1]</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t xml:space="preserve"> (Ley Orgánica 4/2001, art. 8)</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t xml:space="preserve"> (ídem, art. 9.1)</w:t>
      </w:r>
      <w:r>
        <w:t>. Por eso el pliego de cargos va institución por institución (</w:t>
      </w:r>
      <w:r>
        <w:t>11.3</w:t>
      </w:r>
      <w:r>
        <w:t xml:space="preserve">). </w:t>
      </w:r>
      <w:r>
        <w:t>[33.00-9.2 y 9.3]</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r>
        <w:t>[33.00-9.4 y 9.5]</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t xml:space="preserve"> (Constitución, art. 10.2)</w:t>
      </w:r>
      <w:r>
        <w:t xml:space="preserve">. </w:t>
      </w:r>
      <w:r>
        <w:t>[33.00-9.6 y 9.7]</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r>
        <w:t>[33.00-9.8 y 9.9]</w:t>
      </w:r>
    </w:p>
    <w:p>
      <w:pPr>
        <w:spacing w:after="60"/>
        <w:ind w:left="510" w:hanging="397"/>
      </w:pPr>
      <w:r>
        <w:rPr>
          <w:b w:val="0"/>
        </w:rPr>
        <w:t xml:space="preserve">5. </w:t>
      </w:r>
      <w:r>
        <w:rPr>
          <w:b/>
        </w:rPr>
        <w:t>«La vivienda social es competencia de las comunidades autónomas.»</w:t>
      </w:r>
      <w:r>
        <w:t xml:space="preserve"> (Constitución, art. 148.1.3.ª)</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r>
        <w:t>[33.00-9.10 y 9.11; sin las cifras de vivienda social, que no tienen fuente leída]</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xml:space="preserve"> (Constitución, art. 125)</w:t>
      </w:r>
      <w:r>
        <w:t>. La ley reconoce tribunales de la costumbre que siguen funcionando, como el Tribunal de las Aguas de la Vega Valenciana</w:t>
      </w:r>
      <w:r>
        <w:t xml:space="preserve"> (Ley Orgánica del Poder Judicial, art. 19)</w:t>
      </w:r>
      <w:r>
        <w:t xml:space="preserve"> (</w:t>
      </w:r>
      <w:r>
        <w:t>1.5</w:t>
      </w:r>
      <w:r>
        <w:t>). La petición puede ser colectiva, firmada por todos</w:t>
      </w:r>
      <w:r>
        <w:t xml:space="preserve"> (Ley Orgánica 4/2001, art. 4.2)</w:t>
      </w:r>
      <w:r>
        <w:t>, y los tribunales pueden juzgar un caso testigo y extender sus efectos a otros iguales</w:t>
      </w:r>
      <w:r>
        <w:t xml:space="preserve"> (Ley 29/1998, arts. 37.2, 110 y 111)</w:t>
      </w:r>
      <w:r>
        <w:t xml:space="preserve">. </w:t>
      </w:r>
      <w:r>
        <w:t>[00.00-10.1]</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xml:space="preserve">, n.º 19). Pero la ley ya reconoce otras puertas: el jurado, la costumbre, la petición colectiva y el caso testigo. </w:t>
      </w:r>
      <w:r>
        <w:t>[00.00-10.2]</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t>[00.00-10.3 a 10.6; glosario 8.6]</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 </w:t>
      </w:r>
      <w:r>
        <w:t>[00.00-10.7]</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 xml:space="preserve">). </w:t>
      </w:r>
      <w:r>
        <w:t>[04d, 2e; 2.4, «La brújula viene dada»; anexo J, «se explica al cerrar el capítulo 10»; 04o, punto 6; 04c, las preguntas de espejo]</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 xml:space="preserve">). </w:t>
      </w:r>
      <w:r>
        <w:t>[04d, 2c y 2d; anexo J]</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t>[04d, 2e (Kiko, 8-oct: «esa es la brújula»); 04c (Kiko, 8-oct: el otro «no es ni más ni menos que otro»)]</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xml:space="preserve">), o engañado. Por eso la brújula funciona con dos lecturas a la vez: lo que dicen los frutos, con su fuente, y lo que uno siente. Si no coinciden, esa diferencia ya es información. </w:t>
      </w:r>
      <w:r>
        <w:t>[Kiko, 9-oct, chat de 08: «la brújula se confirma con el corazón, traducido al lenguaje llano de los endurecidos por el sistema, se llama el resentir o, más llano, cómo te hace sentir… en función de tu nivel de endurecimiento y desconexión»; 04d, 2e, el matiz]</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 xml:space="preserve">). </w:t>
      </w:r>
      <w:r>
        <w:t>[Kiko, 9-oct, chat de 08: «son diferentes niveles de percepción que indican el nivel del daño colateral del sistema; uno solo se endurece como armadura ante la incertidumbre de qué es la verdad y qué es lo real, postura legítima de autodefensa; en la naturaleza solo existen algunas maniobras ante el peligro extremo, el miedo: una, lucha, enfréntate; otra, huye; otra, hazte el muerto; llamamiento a: y llegará el día que los justos resuciten»; Kiko, 10-oct, chat de 08.7: «¿Qué semilla estás cultivando y qué árbol estás creando?», y «SI» a ponerla aquí con remisión a J.1; 04c, las preguntas de espejo, con la fórmula de 4.4]</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r>
        <w:br w:type="page"/>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keepNext/>
      </w:pPr>
      <w:r>
        <w:rPr>
          <w:rFonts w:ascii="Segoe UI" w:hAnsi="Segoe UI" w:eastAsia="Segoe UI" w:cs="Segoe UI"/>
          <w:b/>
          <w:color w:val="6B665E"/>
          <w:sz w:val="20"/>
        </w:rPr>
        <w:t>Notas de trabajo (estado y trazabilidad)</w:t>
      </w:r>
    </w:p>
    <w:p>
      <w:r>
        <w:t>Cambio del 12-oct-2026, el cierre, dentro del paso 3 (alcance de la cifra; orden de 08.30, fila 724 de 08/01): en 11.4, donde resume 8.9, «mayor que hace una década» pasa a «mayor que hace doce años», como dice ya el párrafo de datos de 8.9 (4,74 en 2014; 5,58 en 2026) (07/herramientas/aplicar_doce_anios_8_9.py). Ninguna otra palabra cambia. Cambio del 12-oct-2026, el cierre, dentro del paso 3 (alcance de la cifra; hallado por 10.36, orden de 08.29, fila 716 de 08/01): en 11.1, «once millones de pensionistas (8.6)» pasa a «once millones de pensiones (8.6)», porque 8.6 cuenta pensiones, no personas, y una persona puede cobrar más de una; así lo dice ya 5.5 (07/herramientas/aplicar_pensiones_11_1.py).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Mc 10:45 ya no se da por no leído: está en la Reina-Valera Antigua en local (10 FUENTES LEIDAS/biblia_rv1909: «Porque el Hijo del hombre tampoco vino para ser servido, mas para servir») y dice lo mismo que Mt 20:28, que es el que se cita (3.6). En la línea de trazabilidad de 11.6 y en «La lista de lo que no entra».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la cabecera, en una traza y en la lista de lo que no entra del límite honesto, el séptimo sello (Ap 8:1) ya no se da por no leído («su texto no está en local»): no entra aquí, y lo que dice el texto, leído en la Reina-Valera Antigua y en el griego, está en 3.7. Sin dato nuevo en este capítulo. Ninguna otra palabra cambia. Cambio del 12-oct-2026 (Kiko, chat de 08.19, 08:5x, pasado por 08.19 tal cual, a «¿entran así los tres textos, el de 0.2, el llamamiento y estas líneas de cierre?»: «si entran»; parlamento del hilo de la poda, 08/20, con la forma que Kiko decidió a las 08:0x): en 11.6, detrás de «A los ángeles», dos párrafos de lectura del autor (borrador B14 v2): quiénes son los ángeles de este llamamiento (la gente que colabora por el beneficio de la humanidad, los aprendices, las potestades celestiales como aliento y guía; la siega no es nuestra, Mt 13:39-41; nos toca separar el grano de la paja) y podar el árbol en todos los campos (el mismo método en cada ciencia y en lo económico, lo administrativo y lo judicial; se buscan métodos mejores; esto es solo el principio del llamamiento). Sin dato ni cita nueva. Ninguna otra palabra cambia. Cambio del 12-oct-2026 (Kiko, chat de 08.18, 06:3x, pasado por 08.18 tal cual, a «¿das el sí a los nueve cambios de 07.6?»: «si»; borrador B13, el barrido de los cuantificadores vagos en las frases con dato): en 11.2 («Las imágenes y las palabras») y en el cargo 26, «se reclama a la Administración, nunca al empleado» lleva su alcance, «por el daño de un servicio público» (Ley 40/2015, art. 36.1; la responsabilidad penal y la civil del delito van por la ley penal, art. 37.1, en 10.4); en 11.2 («La vara»), «civilizaciones que nunca se hablaron» pasa a «sin contacto documentado entre sí»; en el cargo 7, «la mayoría paga confiando en que la ley es válida» (sin dato) pasa a «quien pagó sin recurrir, confiando en que la ley era válida, no recupera lo pagado»; y en el cargo 14, «Toda tradición pone un límite a la deuda […] la deuda no se perdona nunca» pasa a «Las tradiciones ponen un límite a la deuda (Mesopotamia, Israel, Atenas y el islam) […] no hay remisión periódica, y la deuda del Estado se paga con deuda nueva». Ninguna otra palabra cambia. Cambio del 11-oct-2026 (Kiko, chat de 08.16, 22:1x, pasado por 08.16 tal cual: «Pues tendré que decirlo dentro de su contexto. 6 de cada 10 incumple con el ciudadano. Y no que invente, que está todos los datos ya recogidos.»): en 11.6, «lo que la Constitución promete al pueblo se incumple en el 62,1 % de sus artículos» pasa a «se incumple el 62,1 % de los artículos de la Constitución que afectan al ciudadano», la forma de 7.4: el 62,1 % es de los 66 artículos del bien común, no de los 169. Entró el 7-oct (c319eb9); la misma confusión se corrigió el 10-oct en otra frase de este capítulo. Ninguna otra palabra cambia. Cambio del 10-oct-2026 (Kiko, chat de 08.7, 23:2x, pasado por 08.7 tal cual: «SI», a quitar la coletilla «; la serie completa, en el anexo A» del Límite honesto del cargo 12; pregunta 8 de 08/11, las remisiones a los anexos): en el cargo 12, «La urgencia», el «Límite honesto» termina en «…hecho con datos del BOE.»; la remisión de «Dónde está probado», «en el anexo A (art. 86)», se queda. Ninguna otra palabra cambia. Cambio del 10-oct-2026 (Kiko, chat de 08.6, 22:2x, pasado por 08.6 tal cual: «si»; lo halló 09.1 al cotejar la portada de la web, debate 08/13): en el cargo de «No faltan recursos para todo por igual», «se incumple el 62,1 % de lo prometido» pasa a «se incumple el 62,1 % de los artículos que afectan al ciudadano (7.4)», la forma de 7: el 62,1 % es de los 66 artículos del bien común, no de todo lo prometido. Ninguna cifra cambia. Cambio del 9-oct-2026 (Kiko, chat de 07: «la frase que más invita a reflexionar es…»; tras proponerle armonizar la serie de preguntas, y su «en todos los sitios»): en 11.6, como última línea del llamamiento, después de «Quien tiene oídos para oír, oiga» y antes del límite honesto, la misma pregunta que cierra G.0 y 10.9. Cambio del 9-oct-2026 (Kiko, chat de 07, tras varios dictados; su redacción última): la pregunta pasa a «Ahora que nadie te mira y ves tu reflejo interior, la pregunta que surge: ¿cuáles serán tus frutos? ¿Qué vas a hacer tú?», en lugar de la primera versión. Cambio del 9-oct-2026 (Kiko, chat de 07, tras ver qué preguntas quedaban en el aire): en 11.6, a continuación de esa pregunta, la del legado, con sus palabras: «¿Qué vas a dejar para la gran tribu humana, para que viva en el mundo en que te gustaría vivir?». Solo va en 11.6. Cambio del 9-oct-2026 (Kiko: «a las tres que sí» y «se llama prueba documental»; fila A4 de 03b, la documentación para el juicio): en 11.1, un bloque nuevo, «La documentación del juicio», entre «Qué es» y «Las reglas del jurado»: la obra entera es la documentación que se aporta a este juicio, su prueba documental (Ley de Enjuiciamiento Civil, arts. 265.1.1.º, 265.2 y 289.3, y Constitución, art. 29.1, leídos en el BOE); la frase de Kiko, con «su sistema» donde dijo «el sistema de sus gobernantes», va como «Lectura del autor». «La idea» de 11.1 y el título del capítulo no cambian. Cambio del 9-oct-2026 (Kiko: «sí a P-11.6» en el chat de 07; propuesta de 08; fila 41, parte c, de 04p): al final del párrafo «Con tu misma vida, serías tú», en 11.6, una línea que remite a 8.10, donde se miden con datos la salud y la familia. La pregunta final sigue sin cifras. Cambio del 9-oct-2026 (Kiko: «Sí al B6 con las tres recomendaciones» y «sí al B6»; filas 37 y 38 de 04p; borrador B6 de la carpeta 07, escrito por la ventana que acompaña): en 11.1, «La idea» y un bloque nuevo, «Las reglas del jurado» (Ley Orgánica 5/1995 y Constitución, leídas en el BOE): voto razonado por escrito y público, nadie juzga donde tiene interés, la institución juzgada puede recusar con causa y sin causa como la ley, y ningún examen de ideas; una remisión a 5.4 en el cargo 3 y en 11.2 n.º 19 (la piedra que sostiene la obra); y el primer punto de «Para recordar». Cambio del 9-oct-2026 (Kiko: «Sí al B5, aplícalo»; fila 17 de 04p; borrador B5): en 11.6, «La idea» (el final), un párrafo nuevo con las improntas y la pregunta final «¿en serio este es el rumbo?», sin cifras (4.4 y 10.9), un párrafo de «Lectura del autor» con el matiz sobre el «Cristo» de Ef 5:14 (palabras de Kiko) y el último punto de «Para recordar». Cambio del 9-oct-2026 (cierre de los avisos de las patas del Arca, tras el informe del agente de fuentes; Kiko: «sigue con el agente y cierra lo pendiente»): en el cargo donde se oye la Gran Ley de la Paz iroquesa,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al B1, aplícalo en 06»; borrador B1 de la carpeta 07; filas 3, 4 y 36 de 04p y definición de «ley escrita»): en el cargo 3 («La soberanía del pueblo»), la pregunta pasa de una a dos: se añade la pregunta por el hecho de partida de la presunción de que el pueblo consintió (0.4). Cambio del 9-oct-2026 (Kiko: «sí a las tres» el 8-oct y «para todo lo demás, queda confirmado» el 9-oct; filas 6 a 11 de 04p, ajustes 1 a 6 de la línea del tiempo): en el cargo donde se oye la Gran Ley de la Paz iroquesa, un aviso corto: su fecha se discute y su texto escrito es del siglo XIX.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Fuero Nuevo de Navarra, en el cargo 1, punto 4, remitía a 1.2 (La ley de Dios) y está en 1.1. Cambio del 8-oct-2026 (fase de reparación, auditoría de las citas): puesto el original inglés junto a la cita de Stigler (1971, p. 3), leído en Carrigan y Coglianese. Cambio del 8-oct-2026 (fase de reparación, auditoría de la fe de erratas): en 11.3, cargo 1, «ya no es ley» pasa a «ya no será ley» (Aquino, I-II q. 95 a. 2, «iam non erit lex»; erratas 21.00-16.24). Cambio del 8-oct-2026 (parlamento sobre los mitos; Kiko: «sí a las tres, con tus recomendaciones» y el añadido del método de medir): en 11.2, la cuestión previa n.º 23 (y su defensa y respuesta) y dos cargos dejan de hablar de «los mitos» y del «movimiento soberano»: hablan de «esas afirmaciones sin documento» y de «presunciones». No cambia ningún dato. ESTADO: APROBADO entero por Kiko el 7-oct-2026 (por partes; paso 3, desde el 6-oct por la noche). PARTE 2 (11.3, cargos 1 a 9) APROBADA por Kiko el 6-oct por la noche («si a las dos preguntas»); sus marcas, en 04 CAPITULOS/marcas/marcas del capitulo 11 - parte 2.txt. Parte 1 (la cabecera del capítulo, 11.0, 11.1 y 11.2) APROBADA por Kiko el 6-oct por la noche («si a las tres»: la parte, el orden de tandas, la errata de BOSCO y una sola última palabra al final de 11.2; la errata de Montevideo, con su «SI»); sus marcas, en 04 CAPITULOS/marcas/marcas del capitulo 11 - parte 1.txt. PARTE 3 (cargos 10 a 16) APROBADA por Kiko el 7-oct de madrugada («si a las tres»); sus marcas, en 04 CAPITULOS/marcas/marcas del capitulo 11 - parte 3.txt. PARTE 4 (cargos 17 a 23) APROBADA por Kiko el 7-oct («si apruebo la parte cuatro»); sus marcas, en 04 CAPITULOS/marcas/marcas del capitulo 11 - parte 4.txt. PARTE 5 (cargos 24 a 28) APROBADA por Kiko el 7-oct («si a las tres preguntas»); sus marcas, en 04 CAPITULOS/marcas/marcas del capitulo 11 - parte 5.txt. PARTE 6 (el cierre de 11.3, 11.4 a 11.6, el límite honesto y «Para recordar») APROBADA por Kiko el 7-oct («sí» a la parte y a «clama al cielo»; la dependencia, como cuarto clamor firmado por el autor); sus marcas, en 04 CAPITULOS/marcas/marcas del capitulo 11 - parte 6.txt. CAPÍTULO 11 COMPLETO Y APROBADO. Redactado solo con lo comprobado en los pasos 2 y 2 bis y en los capítulos 0 a 10 aprobados: al redactar no se ha descargado nada; lo que falta se apunta en la libreta 75 (7 bis). Sin agentes. Cambio aprobado por Kiko el 7-oct-2026 («si a las dos», después de aprobar el anexo F): en el cargo 1, el contrapunto 4 («La costumbre no es cosa del pasado»: Navarra, el xeer y el tikanga, con su remisión a 1.2 y F.7), que había quedado fuera por no estar leído (07.00-24.2), y su concesión en «Dónde aguanta» (el tikanga lo reconoce un tribunal del Estado). El Althing, no: hoy es un parlamento que escribe leyes, y que «sigue funcionando» no tiene fuente leída.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Antes de redactar: comprobación estricta de cifras (libreta 76, lección 31): herramientas/separar_cifras.py y cifras_revisadas_11.py -&gt; herramientas/cifras_revisadas_11.tsv (375 cifras: 363 son el mismo dato ya verificado, 9 no entran y 3 van con la versión de la fe de erratas). Leído hoy en su original (en local; libreta 75, 7 bis n.º 9): - BOE: Constitución (preámbulo y arts. 1, 9, 10, 16, 18, 20, 22, 24, 53 y 136); Código Civil (art. 1); Ley de Enjuiciamiento Criminal (art. 739); Ley 39/2015 (art. 39.1). - Del registro de los pasos 2 y 2 bis (con su pasaje): Mill, Sobre la libertad, cap. I (Gutenberg; c9d, entradas 89 a 94); Agustín, Tratado 42 sobre el Evangelio de Juan, n.º 10 y 15 (augustinus.it, latín y traducción publicada; c9d, 103 a 105); Tomás de Aquino, Suma teológica II-II, q. 58, a. 7, ad 2 (corpusthomisticum; c9d, 100); Código Penal, art. 31 quinquies.1; Ley General Tributaria, art. 167.2; Ley 29/1998, art. 30; Ley 39/2015, art. 97.1; Constitución, arts. 9.2, 10.2, 47, 71.4 y 168. - Fuente secundaria (se marca): Hart, «contenido mínimo del derecho natural» (artículo de la UNAM, 2025; c9d, 99); Stigler (1971), en Carrigan y Coglianese (c9d, 98). Hallado al escribir: erratas de la Biblioteca que la edición lleva corregidas (07 FE DE ERRATAS): - 01.00-17.7: Aquino no distingue el bien común de «la mayoría numérica», sino del bien de una sola persona; va con sus palabras. - 03.00-34.3 y 26.00-8.7 (en los cargos): el salario real de la OCDE, con la serie actual (20.00-35.5). Y al redactar (libreta 75, 7 bis n.º 9), sin descargar nada: - 23.00-6.7: la frase «es la creencia la que constituye la legitimidad» no está así en Weber (6.3); va lo que sí dice. - 04.00-8.5: de Hobbes solo «ese dios mortal» tiene fuente leída (6.1); «an Artificiall Man», no. - 01.00-14.2: la frase de Mill sobre la tiranía social es condicional en el original («si dicta mandatos injustos»), y «la tiranía de la mayoría» la cita él como expresión ya corriente; así se dice. - ERRATA NUEVA, APROBADA por Kiko (6-oct, noche: «SI»): 04.00-8.9 dice que el Estado existe «por el control efectivo y el reconocimiento entre pares»; la Convención de Montevideo dice que su existencia «es independiente de su reconocimiento por los demás Estados» (art. 3; 6.2). Sobran solo esas palabras: «sin ningún título superior» se sostiene. La edición lleva el art. 3 entero (facsímil de la OEA, p. 3) y que la firmaron veinte Estados americanos, sin España: ni la firmó ni la ratificó, ni se adhirió después (OEA, estado de firmas, A-40, leído el 6-oct por pregunta de Kiko; c6). - ERRATA MENOR NUEVA, APROBADA por Kiko (6-oct): 09.00-7.3, los «siete años de litigio» de BOSCO; entre la resolución del Consejo de Transparencia (febrero de 2019) y la STS 1119/2025 pasaron «más de seis años» (8.5). - 04.00-8.11: Robbers Cave, con lo que dice 4.1 (el contacto no bastó; sí, las metas comunes), no «con más fuerza». No entra (sin fila en el registro o sin fuente leída): el Tribunal Russell y el Tribunal Permanente de los Pueblos (00.00-11.11; ya fuera en 10.8); la frase de Dworkin y los «triunfos» (01.00-14.3: solo fragmentos, sin su texto); que las corporaciones «no pudieran ser excomulgadas» (04.00-8.7); que la Casa del Rey no publique su plantilla (09.00-7.3; 20.00, §14, sin leer: anexo C); el presidente de la Reserva Federal y el del Bundesbank (25.00-11.9); la tradición mesoamericana descartada (05.00-12.9); que la revisión total del art. 168 «nunca se ha activado» (10.00-18.13); la sentencia «en suspenso desde 2022» (29.00-8.3). PARTE 2 (11.3, cargos 1 a 9), al redactar (libreta 75, 7 bis n.º 9): - Leído hoy en local: Ley Orgánica del Poder Judicial, art. 219.10.ª; Ley 40/2015, art. 23.2.a; Declaración Universal, art. 30; Constitución, arts. 6, 50 y 87.3, y que la palabra «ahorro» no aparece en ella. - Las citas bíblicas del pliego (37.00), en la Reina-Valera Antigua, como ya están en los capítulos 1 a 5 (las erratas menores del 07: Hch 5:29, Mt 22:21, 1 Sam 8:15, Mt 20:25-26, Is 10:1-2, Mt 23:23, Lc 11:46 y Jer 31:29-30). - Con su dato nuevo: la vivienda, 8,36 años en junio de 2026 (8.8), en lugar de los 7,7 de 2025; la pregunta del cargo 8, con las 894 normas de 2024 y las 396.115 páginas de lo vigente en lugar de las 259 normas. - Después de aprobada, a petición de Kiko (6-oct, noche), sin descargar nada: en el cargo 4, la aritmética del ahorro de 8.8 (25 años para la entrada, más de 80 para el precio entero: «ese dato no se puede perder»); en el cargo 8, las normas aprobadas en 2024 (894: 719 del Estado y 175 de las comunidades) y que no todo lo publicado es norma (128.071 de las 259.445 páginas del BOE son disposiciones), leído hoy en local en el informe de la CEOE (c5, pp. 2 y 5 a 7). - No entra (sin fila en el registro o sin leer): las 259 normas del Consejo de Ministros fuera de su Plan Anual Normativo; la reserva de 1983 a la Convención sobre la mujer; «autobloqueo» y que la revisión total «nunca se ha activado» en «cuarenta y ocho años»; los «quince días» de la Mesa del Congreso; el xeer, el Althing y el tikanga (al anexo F); la frase de Rousseau leída como justificación del Terror; las sanciones del Tribunal de Cuentas a los partidos desde 2012 y su graduación de 2015; los 105 millones de la Jefatura del Estado y la plantilla de la Casa del Rey (anexo C); «las tres reformas, sin referéndum»; «ninguno de los grandes casos de corrupción surgió de sus fiscalizaciones»; la abolición en la Península en 1837; los nueve códigos con sus páginas y la sentencia de las cláusulas suelo; los 40 decretos-leyes (van al cargo 12); el salario mediano y «casi cuatro veces». PARTE 3 (11.3, cargos 10 a 16), APROBADA por Kiko el 7-oct-2026 de madrugada («si a las tres»: la parte con los cambios de los cargos 4 y 8, la errata y las demás defensas del cargo 10 en el nivel completo; libreta 75, 7 bis n.º 9): - Leído hoy en local: Constitución, arts. 14, 33, 35.1, 86 y 139.1, disposición adicional primera, y que «prioridad absoluta» solo aparece en el art. 135.3; el informe de la CEOE (c5, p. 3: decretos-leyes y leyes de 2013 a 2024); la STC 61/2018 (c10: síntesis y fallo). - CORREGIDO (Kiko, 7-oct): el borrador recuperaba las dos defensas de la pieza retirada 06.00 («el trato igual» y «la desigualdad legítima»), porque el capítulo 3 las prometía en el cargo 10. Esa pieza se retiró por consenso, por no concluyente: sus defensas no se recuperan, y la promesa se quitó del capítulo 3. Los capítulos que prometen defensas en el cargo 10 son dos: el 2 y el 8. - ERRATA NUEVA, APROBADA (al registro con «(paso 3)» y al 07): 37.00-16.6, 00.1-4.6 y 00.2-12.15 dicen que el Constitucional anuló por no justificar la urgencia el decreto-ley de la amnistía fiscal de 2012; la STC 73/2017 lo anuló porque «uno de los deberes cuya afectación está vedada al decreto-ley es el deber de contribuir al sostenimiento de los gastos públicos». La anulación por falta de urgencia es la de la STC 61/2018 (y la STC 14/2020), ya en el 07. - No entra (sin fila en el registro o sin fuente leída): los 40 decretos-leyes frente a 74 leyes (sin fuente oficial; van las cifras de la CEOE); los tres decretos-leyes derogados entre 2024 y 2026; «en menos de dos semanas» (la obra tiene las fechas de las votaciones, no la de la propuesta); «las cuatro reformas, sin referéndum»; que «casi nadie» reclame los intereses de demora; que el Banco de España «dejó de publicar» su nota del rescate; el IBI; los doce años de la financiación autonómica caducada; el 68,0 % del organigrama; el plan sanitario vencido en 2023; el 1,5 % y el 2,4 % del PIB de la infancia; los tipos al 17 %; el salario mediano y «casi cuatro veces»; que el Director General del Tesoro «emite la deuda»; los 77.437 millones hasta 2018 (la serie año por año está en 8.6). - Las defensas de la Biblioteca que no caben en el texto del cargo 10 van una por una, con su respuesta, en el nivel completo («Las demás defensas de este cargo»); las que los capítulos 2 y 8 prometen aquí están en todos los niveles. PARTE 4 (11.3, cargos 17 a 23), APROBADA por Kiko el 7-oct-2026 («si apruebo la parte cuatro»; conversación nueva, sin agentes ni descargas; libreta 75, 7 bis n.º 9). Al aprobarla, revisado párrafo por párrafo que no se perdiera nada: entraron en el cargo 20 la cláusula de buena fe (10.4) y el argumento del pliego (presumir para funcionar es reconocer que no se podría probar cada acto); en el 22, las cotizaciones del propio personal y el sueldo de militares y policías, que no se separan (8.6); en el 19, las «seis décimas» de la Autoridad Fiscal (8.3). Y en el cargo 10, a petición de Kiko, fuera «vuelven a la gente» (la tabla de 8.6 dice a qué va el gasto, no lo que se devuelve), con los cuatro euros de intereses por cada euro invertido (7.2, n.º 4): - Leído hoy en local: Ley 39/2015, arts. 47.1 y 53.2.b; Ley 40/2015, art. 3.1.e; Ley General Tributaria, art. 224.1; Ley 19/2013, arts. 2.1.f y 12; STC 76/1990, FJ 8 (la presunción de inocencia «rige sin excepciones en el ordenamiento sancionador»; las actas no tienen «una veracidad absoluta e indiscutible»). - Las promesas de otros capítulos, en todos los niveles: el capítulo 8, en el cargo 17 (la moneda sin respaldo y el banco central) y en el 22 (las omisiones: BOSCO, la franquicia y la gasolina); el capítulo 2, en el cargo 20 (no hay persona jurídica en mayúsculas ni fideicomiso secreto). Del capítulo 6 (cabecera), Espinosa va al cargo 22, traducido de su latín; Kant, no (sin fila). - Las demás defensas del cargo 19, una por una, en el nivel completo, como en el cargo 10. - Hallado al redactar: 22.00-13.11 dice que entre la presunción del agente y la del ciudadano «la del ciudadano debería prevalecer»; el Constitucional dijo que conviven, porque las actas admiten prueba en contra (STC 76/1990, FJ 8): así se dice. 20.00-35.15 da otra razón para la anulación de la Zona de Bajas Emisiones; va la de 7.5 («patente insuficiencia del informe de impacto económico»). 20.00-35.21 habla de «dos tributos» de la gasolina; va lo que dice 8.5. El 6,6 % de Clases Pasivas salía «cubierto» por coincidencia con otro dato del capítulo 9 (lección 31): rehecho a mano con las cifras de 8.6 (740.431 de 11.287.848 pensiones). - Repuesto el 7-oct (Kiko: «cuando acabes lo incorporas ya donde corresponda»), con lo leído al escribir el anexo B: en el cargo 19, el salario de 2025 y el 4,3 % de agosto de 2026 (B.5). La pieza decía «entre 0,7 y 0,9 puntos» por encima de la inflación; con el coste salarial medio de 2025 (+3,2 %) y la inflación media (2,7 %) son unas cinco décimas. - No entra (sin fila en el registro o sin fuente leída): la lectura de que quien recibe primero el dinero nuevo gasta a precios antiguos; las leyes 31/2022 y el Real Decreto-ley 4/2024 por su nombre, y que «algunas comunidades autónomas han actualizado su escala»; la década perdida de Japón; Kant y la publicidad como prueba de justicia; que el Banco de España «dejó de publicar» su nota del rescate; la plantilla de la Casa del Rey y los 105 millones de la Jefatura del Estado (anexo C); los 990,8 millones de publicidad institucional de 2019 a 2024, «la cifra más alta en casi dos décadas» y la comparación con el Reino Unido y Francia. PARTE 5 (11.3, cargos 24 a 28, los cinco nuevos), APROBADA por Kiko el 7-oct-2026 («si a las tres preguntas»: la parte, su «¿quién da la cara?» en el cargo 26 y Ex 23:8 entero en el cargo 24, también en el capítulo 3; conversación nueva, sin agentes ni descargas; libreta 75, 7 bis n.º 9). El pliego no tiene sección para estos cargos: la vara se toma de los capítulos aprobados (3.2, 5.2, 6.5 y 11.1), con la Reina-Valera Antigua: - Leído hoy en local: Constitución, arts. 9.3, 14, 31.1, 117.1, 124.4 y 133; Ley Orgánica del Tribunal Constitucional, art. 50.3 («especificarán el requisito incumplido»); Ex 23:8 entero en la Reina-Valera Antigua (c3), «y pervierte las palabras justas», para la vara del cargo 24 (Kiko: que hable de la verdad y la justicia). - Hallado: la fila del registro de 00.1-4.30 y 18.00-7.9 atribuye ese art. 50.3 a la Constitución; es de la Ley Orgánica del Tribunal Constitucional (libreta 76, lección 27). No es errata de la Biblioteca, que lo cita detrás del art. 50.1.b de esa ley. - Las promesas de otros capítulos, en todos los niveles: el 5, en los cargos 24 (el amparo) y 25 (las cotizaciones y la presión fiscal); el 6, en el 24 (el Tribunal de Cuentas); el 7, en el 24 (el freno que funcionó) y en el 27 (la ocupación y las visitas); el 2, en el 26 (las vías reales para reclamar); y el 8, en el 28 (la reconversión). - La lectura de Kiko «¿quién da la cara?» (libreta 75, 7 bis n.º 9), en el cargo 26, con los hechos de 11.2, n.º 17. - Con su fila, aunque no estaban en los capítulos: el 57,8 % de las inadmisiones de amparo por falta de especial trascendencia (Memoria 2025) y la «ninguna novedad» del GRECO de 2024 (c7b); las citas de la Ley 39/2015 (arts. 67.1 y 91.3) y de la Ley Orgánica del Poder Judicial (art. 293.1); el Convenio de Estambul (art. 48.1) y su instrumento de ratificación (c9d). - Sin erratas nuevas para el 07. - No entra (sin fila en el registro o sin fuente leída): la «mediación europea» y el «acuerdo amplio» de la renovación del Consejo General del Poder Judicial en 2024; la reforma fracasada en febrero de 2025; los cuatro magistrados del Constitucional con el mandato caducado desde diciembre de 2025 (en la investigación final de flecos del 7-oct se leyó que el mandato se cumplió el 10-III-2026: ficha del art. 159, anexo A); «ninguno de los grandes casos de corrupción»; los 40 decretos-leyes frente a 74 leyes; la tarifa plana de los autónomos; la gestoría de 700 a 1.500 euros; las 259 normas; «parte exentos de impuestos»; que las Clases Pasivas respondan a carreras largas; que no se haya localizado ninguna estadística de lo que la Administración repite contra su personal (va como pregunta y como límite honesto); «considerablemente cercenado» y «muy difícil su aplicación en la práctica»; que la directiva europea incluya los programas y la inteligencia artificial; «parte de la doctrina la critica»; que la entrada en la Comunidad Europea exigiera la reconversión; los criterios de entrada en el euro; los 1,5 billones de pesetas, los 83.000 empleos y los 430 días de Sagunto; y las «fianzas» del mito (no están ancladas en la edición). PARTE 6 (el cierre de 11.3, 11.4 a 11.6, el límite honesto, dónde se oye la defensa y «Para recordar»), APROBADA por Kiko el 7-oct (conversación nueva, sin agentes ni descargas; libreta 75, 7 bis n.º 9): - Leído hoy en local: Constitución, arts. 1.1, 50 y 87.3 (c5); Ex 3:7 (c10) y Stg 5:4 (ant/canon) en la Reina-Valera Antigua; Mt 13:9 en la Reina-Valera Antigua (c9g); Platón, República VII, 515c, en la traducción de Jowett (c9h); Catecismo, n.º 1867 (ant/canon: cinco clamores; la obra usa los tres que tocan al Estado); la nota de la Asociación de Directoras y Gerentes de Servicios Sociales de 10-4-2026 (c8c: la lista de espera sube en 13.389 personas). - DECIDIDO por Kiko (7-oct), tras parlamentar los pros y los contras: la dependencia entra en 11.6 como cuarto clamor, firmado como lectura del autor («quien no puede valerse por sí mismo es hoy la viuda y el huérfano del texto»), con el dato del derecho reconocido y no recibido (14.710), la lista que sube (Kiko: «ya de por sí es un hecho que clama al cielo»), el límite («murieron esperando», no «por esperar»), lo que no encaja (las muertes bajan) y la fuente, que no es una estadística oficial. No se usa «la sangre de Abel», el primer clamor del Catecismo: sería insinuar un homicidio sin prueba. Y «clama al cielo», no «lesa humanidad» (libreta 75, 7 ter n.º 2). - 11.4: las catorce defensas de la clasificación, trece aquí (la lectura de conjunto, 18.00-7.12, y la conclusión de conjunto, 34.00-13.12, son la misma y se responden una vez), con el orden de un cargo: presunción, vara, dónde está probado, pregunta, defensas, conclusión, límite honesto (remite al del capítulo 9), última palabra y respuesta. Las promesas de los capítulos 7 («El Estado cumple la mayoría» y «la lectura de conjunto»), 8 («la conclusión de conjunto» y el «salto») y 9 (las catorce), en todos los niveles. Para la pasada final (paso 4): los capítulos 7 y 8 dicen «en el veredicto (11.4)»; con el glosario 7.1, 11.4 es la defensa frente al dictamen (HECHO el 7-oct). - 11.5: las 24 preguntas del catálogo (00.1), por destinatario; las once que repiten la pregunta de un cargo, solo nombradas. El capítulo 5 dice «Las veinticinco preguntas, ordenadas por destinatario, están en 11.5»: son 24 (las 25 maniobras de 5.1 no tienen una pregunta cada una); al aprobarse, el 5 dirá «Las preguntas, ordenadas por destinatario, están en 11.5». - 11.6: el llamamiento breve y la invitación a los ángeles que el capítulo 2 remite aquí; «esto clama al cielo», con el texto del glosario 9.3, y el «último aviso», una sola vez en toda la obra; sin «lesa humanidad» (8.1; libreta 75, 7 ter n.º 2). Los tres clamores del Catecismo (0.3), con hechos ya probados: el cobro blindado (7.6), la infancia (7.5) y la jornada y el mínimo exento (8.3; 5.1, n.º 5); y la dependencia (8.5, n.º 7), como cuarto clamor del autor (arriba). - El cierre de 11.3: 37.00-37.1 con veintiocho cargos, y la lectura de Kiko sobre la presunción y el honor (libreta 75, 7 ter n.º 1), sin lo que falta leer en su original. La 7 ter n.º 3 (la documentación para el juicio) y la n.º 4 (la piedra que sostiene la obra), al parlamento final. - Hallado: Mt 11:15 va en 7.5 y 8.6 con las palabras de la Reina-Valera de 1960 («para oír»); la Reina-Valera Antigua dice «para oir» (c9g). Corregido al aprobarse, como el «veinticinco» del capítulo 5. La cita de Mc 10:45 de 00.00-13.1 va con Mt 20:28, que tiene esas palabras y ya está leído (3.6); Mc 10:45 no se ha leído (12-oct-2026: leído después en la Reina-Valera Antigua; dice lo mismo). - No entra (sin fila en el registro o sin fuente leída): que la revisión total «nunca se ha activado», el «autobloqueo», «las cuatro reformas, sin referéndum» y «en menos de dos semanas» (17.00-244.1 y 244.2; 18.00-7.11); la reserva de 1983 a la Convención sobre la mujer (17.00-244.3); el «récord» de reclamaciones de 2025; «cuando los sociólogos esperaban lo contrario»; la «red de conflictos de interés» de Islandia; los cargos históricos del Pilar 10 (al anexo D); el séptimo sello (Ap 8:1: aquí no entra; lo que dice el texto, leído en la Reina-Valera Antigua y en el griego, está en 3.7); Mc 10:45 (leído después, el 12-oct-2026: dice lo mismo que Mt 20:28); que las tradiciones convergen en el honor, y la historia de los títulos de nobleza; la etimología de «ángel» (sin fila); las remisiones a libretas internas (00.00-12.5 y 13.4). Remisiones (hacia atrás): el orden de las leyes (1.2); la convergencia y sus contrapesos (1.4); el juez en su propia causa (1.7); la persona ficta (2.1); Kant (2.4); los mitos (2.6); las tradiciones (capítulo 3); el mal sin cuerpo y su límite honesto (capítulo 4; 4.1, Robbers Cave; 4.4, la fórmula); la presunción (0.4 y capítulo 5; 5.1, n.º 7 y 19; la misma vara, 5.2); Hobbes (6.1); Montevideo y Hutt River (6.2); Weber y Cádiz (6.3); la Ley Fundamental alemana (6.5); la auditoría (7.1, 7.2, 7.4, 7.5 y 7.7); el patrón sin intención (8.1); las citas sobre el dinero (8.2); la dependencia, BOSCO y los aforados (8.5); la ilusión del declive (8.9); las puertas, el Registro y el juicio en breve (0.2, 10.2, 10.4 y 10.8). Conceptos que ancla: el juicio popular de la verdad, entero (11.1); el pliego de cargos y el cargo (11.1); la última palabra (11.1); las cuestiones previas (11.2); la defensa frente al dictamen (11.4); las preguntas para el juicio, las preguntas para el relevo y el relevo (11.5); el llamamiento, lo que clama al cielo y el último aviso (11.6).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 Cambio del 8-oct-2026 (Kiko, «sí, hazlo así»): los arts. 7 y 110 pasan de INCUMPLE a PENDIENTE; el recuento es 93 / 70 / 6, el organigrama del poder incumple en el 28,2 % y el freno actúa en el 25,64 % de sus casos (10 de 39). Cambia en 7.1, 7.4, el capítulo 5, el 10, el 11, G y A. Cambio del 8-oct-2026 (aviso PASO 4.8; Kiko, «Si lo paso a PENDIENTE», con «falta de datos disponibles al público, auditables»): el art. 111 pasa de INCUMPLE a PENDIENTE; el recuento es 93 / 69 / 7, el organigrama del poder incumple en el 27,2 % (28 de 103) y el freno actúa en el 26,32 % de sus casos (10 de 38). Cambia en 7.1, 7.4, el capítulo 5, el 10, el 11, G y A. Cambio del 8-oct-2026 (aplicación de la investigación final de flecos, 05e; Kiko: «todo lo rescatado con fuente se aplica a la obra»): cargo 2 (la reserva de 1983 a la Convención sobre la mujer), cargo 1 (la Ley 60/2003 de Arbitraje), cargo 6 (el salario mediano y «casi cuatro veces»; los 105 millones de la Jefatura del Estado y la plantilla civil de la Casa), cargo 8 (la Comisión de Modernización del Lenguaje Jurídico), cargo 12 (al menos siete decretos-leyes derogados, no tres), cargo 22 (la plantilla de la Casa se publica), cargo 25 (la cuota reducida del autónomo, sin los 80 euros salvo en Cuenca, Soria y Teruel) y cargo 26 (la STS 291/2022: el mandato es de 2015).</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t xml:space="preserve"> (Constitución, art. 9.1)</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xml:space="preserve">). Lo que ya existe está en este capítulo: los cargos, sus defensas y las preguntas, por escrito. </w:t>
      </w:r>
      <w:r>
        <w:t>[00.00-10.5; 37.00-0.0.2; glosario 8.10]</w:t>
      </w:r>
    </w:p>
    <w:p>
      <w:r>
        <w:rPr>
          <w:b/>
        </w:rPr>
        <w:t>La documentación del juicio.</w:t>
      </w:r>
      <w:r>
        <w:t xml:space="preserve"> Todo juicio se apoya en documentos, y a lo que se aporta con ellos la ley lo llama «la prueba documental»</w:t>
      </w:r>
      <w:r>
        <w:t xml:space="preserve"> (Ley de Enjuiciamiento Civil, art. 289.3)</w:t>
      </w:r>
      <w:r>
        <w:t>. Y pide que a toda demanda o contestación «habrán de acompañarse» «los documentos en que las partes funden su derecho a la tutela judicial que pretenden»</w:t>
      </w:r>
      <w:r>
        <w:t xml:space="preserve"> (Ley de Enjuiciamiento Civil, art. 265.1.1.º)</w:t>
      </w:r>
      <w:r>
        <w:t>. Lo que consta en un archivo del que se pueden obtener copias no se señala sin más: la parte «deberá acompañarlo a la demanda, sin que pueda limitarse a efectuar la designación»</w:t>
      </w:r>
      <w:r>
        <w:t xml:space="preserve"> (Ley de Enjuiciamiento Civil, art. 265.2)</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t xml:space="preserve"> (Constitución, art. 29.1)</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t>[palabras de Kiko, 6-oct-2026 (libreta 75, 7 ter n.º 3); 03b, A4; Ley de Enjuiciamiento Civil, Constitución, leídas en el texto consolidado del BOE, en local (c5)]</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xml:space="preserve">); la cuarta la pide la Constitución para todos. </w:t>
      </w:r>
      <w:r>
        <w:t>[palabras de Kiko, 7-oct-2026 («sí para las dos»); 04p, fila 37; 03b, A2]</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t xml:space="preserve"> (Ley Orgánica 5/1995, art. 61.1.d)</w:t>
      </w:r>
      <w:r>
        <w:t>; y a todo juez: «Las sentencias serán siempre motivadas y se pronunciarán en audiencia pública»</w:t>
      </w:r>
      <w:r>
        <w:t xml:space="preserve"> (Constitución, art. 120.3)</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t xml:space="preserve"> (Ley Orgánica 5/1995, art. 11.5)</w:t>
      </w:r>
      <w:r>
        <w:t>, o quien mantenga con una parte las relaciones que obligan a abstenerse a jueces y magistrados</w:t>
      </w:r>
      <w:r>
        <w:t xml:space="preserve"> (Ley Orgánica 5/1995, art. 11.2)</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t xml:space="preserve"> (Ley Orgánica 5/1995, art. 38.3)</w:t>
      </w:r>
      <w:r>
        <w:t>, y además hasta cuatro «sin alegación de motivo determinado»</w:t>
      </w:r>
      <w:r>
        <w:t xml:space="preserve"> (Ley Orgánica 5/1995, art. 40.3)</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t xml:space="preserve"> (Constitución, art. 16.2)</w:t>
      </w:r>
      <w:r>
        <w:t>. La ley pide a su jurado cinco requisitos, y ninguno es de ideas</w:t>
      </w:r>
      <w:r>
        <w:t xml:space="preserve"> (Ley Orgánica 5/1995, art. 8)</w:t>
      </w:r>
      <w:r>
        <w:t>; {completo} son ser español mayor de edad, estar en el pleno ejercicio de los derechos políticos, saber leer y escribir, ser vecino de la provincia y «Contar con la aptitud suficiente para el desempeño de la función de jurado»</w:t>
      </w:r>
      <w:r>
        <w:t xml:space="preserve"> (Ley Orgánica 5/1995, art. 8.5)</w:t>
      </w:r>
      <w:r>
        <w:t>. Lo que se le pide es lo que jura el jurado de la ley: «desempeñar bien y fielmente la función del jurado, con imparcialidad, sin odio ni afecto»</w:t>
      </w:r>
      <w:r>
        <w:t xml:space="preserve"> (Ley Orgánica 5/1995, art. 41.1)</w:t>
      </w:r>
      <w:r>
        <w:t>. Aquí la obra se aparta de la ley en un punto, y lo dice: la ley deja a las partes hacer preguntas al jurado nombrado</w:t>
      </w:r>
      <w:r>
        <w:t xml:space="preserve"> (Ley Orgánica 5/1995, art. 40.3)</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t>[04p, fila 37; 03b, A2; la Ley del Jurado y la Constitución leídas en el texto consolidado del BOE, en local (c9d, c5); Mt 7:16, ya en 0.5]</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xml:space="preserve">). Las respuestas y los silencios irán al Registro y se leerán ante el jurado antes del veredicto, junto a la mejor defensa que este capítulo ya expone. El jurado dará su veredicto con la vara de la obra: si la institución sirve al orden natural y a Dios, o a otros intereses. </w:t>
      </w:r>
      <w:r>
        <w:t>[37.00-0.0.3 y 36.1]</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xml:space="preserve">. El pliego tiene veintiocho: los veintitrés que la obra formuló primero y cinco más, del 24 al 28, para hechos probados que aquellos no recogían: la separación de poderes, la carga, la responsabilidad, el diseño legal que enfrenta a la gente y la economía real. </w:t>
      </w:r>
      <w:r>
        <w:t>[glosario 8.11; 37.00; clasificación de las defensas, aprobada el 5-oct]</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t>[glosario 8.13; índice aprobado, 11.3; libro de estilo §3]</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t xml:space="preserve"> (Ley de Enjuiciamiento Criminal, art. 739)</w:t>
      </w:r>
      <w:r>
        <w:t>. Y es la que pide la Escritura, que no juzga sin oír primero: «¿Juzga nuestra ley á hombre, si primero no oyere de él […]?»</w:t>
      </w:r>
      <w:r>
        <w:t xml:space="preserve"> (Jn 7:51)</w:t>
      </w:r>
      <w:r>
        <w:t>; «El primero en su propia causa parece justo; Y su adversario viene, y le sondea»</w:t>
      </w:r>
      <w:r>
        <w:t xml:space="preserve"> (Pr 18:17)</w:t>
      </w:r>
      <w:r>
        <w:t>. Dice «en verdad», y no «en tu verdad», porque en esta obra la verdad es lo comprobado con fuente (</w:t>
      </w:r>
      <w:r>
        <w:t>0.4</w:t>
      </w:r>
      <w:r>
        <w:t>). Y habla de tú porque es la voz del juicio; en los escritos a la Administración, la obra usa el usted (</w:t>
      </w:r>
      <w:r>
        <w:t>10.4</w:t>
      </w:r>
      <w:r>
        <w:t xml:space="preserve">). </w:t>
      </w:r>
      <w:r>
        <w:t>[glosario 8.13; LECrim leída en su texto consolidado]</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 xml:space="preserve">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 </w:t>
      </w:r>
      <w:r>
        <w:t>[clasificación de las defensas, aprobada: 11.2]</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t xml:space="preserve"> (Constitución, art. 1.1)</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t>[00.0-0.0.4; 01.00-0.1; 00.00-2.20; antes en «11 material - cuestiones previas»]</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t xml:space="preserve"> (Código Civil, art. 1.2)</w:t>
      </w:r>
      <w:r>
        <w:t>. La Constitución garantiza «el principio de legalidad, la jerarquía normativa» y «la seguridad jurídica»</w:t>
      </w:r>
      <w:r>
        <w:t xml:space="preserve"> (Constitución, art. 9.3)</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t xml:space="preserve"> (Constitución, art. 10.1)</w:t>
      </w:r>
      <w:r>
        <w:t>. Lo inviolable y lo inherente no lo crea la ley: lo reconoce. Hasta el positivismo más influyente del siglo XX admitió un «contenido mínimo del derecho natural» que todo ordenamiento necesita para sostenerse</w:t>
      </w:r>
      <w:r>
        <w:t xml:space="preserve"> (Hart, El concepto de Derecho, 1961, cap. IX; fuente secundaria: artículo de la revista Problema, UNAM, 2025)</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t>[01.00-17.2 y 17.3]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t xml:space="preserve"> (Código Civil, art. 1.1)</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t xml:space="preserve"> (Código Civil, art. 1.4)</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t>[02.00-27.1 y 27.2]</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t xml:space="preserve"> (Constitución, art. 1.1)</w:t>
      </w:r>
      <w:r>
        <w:t xml:space="preserve"> y garantiza «la libertad ideológica, religiosa y de culto»</w:t>
      </w:r>
      <w:r>
        <w:t xml:space="preserve"> (art. 16.1)</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t xml:space="preserve"> (Constitución, art. 10.2)</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t>[01.00-17.8 y 17.9; 11.00-14.4 y 14.5]</w:t>
      </w:r>
    </w:p>
    <w:p>
      <w:r>
        <w:rPr>
          <w:b/>
        </w:rPr>
        <w:t>5. «El Estado es aconfesional».</w:t>
      </w:r>
    </w:p>
    <w:p>
      <w:pPr>
        <w:pStyle w:val="ListBullet"/>
      </w:pPr>
      <w:r>
        <w:rPr>
          <w:i/>
        </w:rPr>
        <w:t>La defensa del Estado:</w:t>
      </w:r>
      <w:r>
        <w:t xml:space="preserve"> «Ninguna confesión tendrá carácter estatal»</w:t>
      </w:r>
      <w:r>
        <w:t xml:space="preserve"> (Constitución, art. 16.3)</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t xml:space="preserve"> (ídem)</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t>[05.00-12.2 y 12.3]</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t xml:space="preserve"> (Constitución, art. 1.2)</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t xml:space="preserve"> (Constitución, preámbulo)</w:t>
      </w:r>
      <w:r>
        <w:t>; y manda que la libertad y la igualdad sean «reales y efectivas»</w:t>
      </w:r>
      <w:r>
        <w:t xml:space="preserve"> (art. 9.2)</w:t>
      </w:r>
      <w:r>
        <w:t>. De todos, no de la mayoría. Tomás de Aquino escribió que el bien común de la ciudad y el bien de una sola persona «no se diferencian solo según lo mucho y lo poco, sino por una diferencia formal»</w:t>
      </w:r>
      <w:r>
        <w:t xml:space="preserve"> [original: «bonum commune civitatis et bonum singulare unius personae non differunt solum secundum multum et paucum, sed secundum formalem differentiam»]</w:t>
      </w:r>
      <w:r>
        <w:t xml:space="preserve"> (Suma teológica II-II, q. 58, a. 7, ad 2)</w:t>
      </w:r>
      <w:r>
        <w:t>: el bien común no es una suma de bienes particulares. Y John Stuart Mill, que renunciaba a apoyarse en un derecho anterior a la utilidad, contaba ya «la tiranía de la mayoría» entre los males de los que la sociedad debe guardarse</w:t>
      </w:r>
      <w:r>
        <w:t xml:space="preserve"> [original: «"the tyranny of the majority" is now generally included among the evils against which society requires to be on its guard»]</w:t>
      </w:r>
      <w:r>
        <w:t xml:space="preserve"> (Mill, Sobre la libertad, 1859, cap. I)</w:t>
      </w:r>
      <w:r>
        <w:t>.</w:t>
      </w:r>
    </w:p>
    <w:p>
      <w:pPr>
        <w:pStyle w:val="ListBullet"/>
      </w:pPr>
      <w:r>
        <w:rPr>
          <w:i/>
        </w:rPr>
        <w:t>Más:</w:t>
      </w:r>
      <w:r>
        <w:t xml:space="preserve"> Mill añade que, si la sociedad dicta mandatos injustos, o se mete donde no debe, «ejerce una tiranía social más formidable que muchos tipos de opresión política», porque deja menos salidas y llega a «esclavizar el alma misma»</w:t>
      </w:r>
      <w:r>
        <w:t xml:space="preserve"> [original: «if it issues wrong mandates instead of right, or any mandates at all in things with which it ought not to meddle, it practises a social tyranny more formidable than many kinds of political oppression, since… it leaves fewer means of escape, penetrating much more deeply into the details of life, and enslaving the soul itself»]</w:t>
      </w:r>
      <w:r>
        <w:t xml:space="preserve"> (ídem)</w:t>
      </w:r>
      <w:r>
        <w:t>. Y Stigler describió la otra cara: «por regla general, la regulación es adquirida por la industria y está diseñada y operada principalmente para su beneficio»</w:t>
      </w:r>
      <w:r>
        <w:t xml:space="preserve"> [original: «as a rule, regulation is acquired by the industry and is designed and operated primarily for its benefit»]</w:t>
      </w:r>
      <w:r>
        <w:t xml:space="preserve"> (Stigler, 1971, p. 3; fuente secundaria: Carrigan y Coglianese)</w:t>
      </w:r>
      <w:r>
        <w:t>. Matiz: Mill dejaba fuera de su principio lo que llamaba «estados atrasados de la sociedad»</w:t>
      </w:r>
      <w:r>
        <w:t xml:space="preserve"> [original: «backward states of society»]</w:t>
      </w:r>
      <w:r>
        <w:t>, un límite de su época.</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t>[01.00-17.6 y 17.7, con Aquino corregido en la fe de erratas; 01.00-14.2 a 14.4; 05.00-12.6 y 12.7]</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t>[23.00-6.6 y 6.7; la frase atribuida a Weber, corregida en 6.3]</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t xml:space="preserve"> (Constitución, art. 9.2)</w:t>
      </w:r>
      <w:r>
        <w:t>. Y el mismo artículo que garantiza la legalidad garantiza también «la interdicción de la arbitrariedad de los poderes públicos»</w:t>
      </w:r>
      <w:r>
        <w:t xml:space="preserve"> (art. 9.3)</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r>
        <w:t>[08.00-7.8 y 7.9]</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t>[01.00-17.4 y 17.5; 05.00-12.8 y 12.9]</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t xml:space="preserve"> (Constitución, art. 53.3)</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t xml:space="preserve"> (Constitución, art. 47)</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t>[14.00-8.4 y 8.5; 18.00-7.2 y 7.3]</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t>[14.00-8.6 y 8.7]</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t xml:space="preserve"> (Constitución, art. 136.1 y 136.3)</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t>[14.00-8.8 y 8.9]</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t>[25.00-11.8 y 11.9]</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t>[29.00-8.2 y 8.3]</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r>
        <w:t>[24.00-9.10 y 9.11]</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t xml:space="preserve"> (Constitución, art. 1.1)</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xml:space="preserve"> [original: «Imitando, non nascendo»]</w:t>
      </w:r>
      <w:r>
        <w:t>, y «no os fijéis en la naturaleza, sino en la tara»</w:t>
      </w:r>
      <w:r>
        <w:t xml:space="preserve"> [original: «nolite attendere naturam, sed vitium»]</w:t>
      </w:r>
      <w:r>
        <w:t xml:space="preserve"> (Agustín, Tratado 42 sobre el Evangelio de Juan, n.º 10 y 15; traducción publicada en augustinus.it)</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t>[04.00-8.4 y 8.5; 05.00-12.4 y 12.5]</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t xml:space="preserve"> (Ley 40/2015, art. 32)</w:t>
      </w:r>
      <w:r>
        <w:t>, y la autoridad o el funcionario que, a sabiendas de su injusticia, dicta una resolución arbitraria comete prevaricación</w:t>
      </w:r>
      <w:r>
        <w:t xml:space="preserve"> (Código Penal, art. 404)</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t xml:space="preserve"> (Código Penal, art. 31 quinquies.1)</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t>[04.00-8.2 y 8.3]</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t>[04.00-8.6 y 8.7]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t xml:space="preserve"> (Convención sobre Derechos y Deberes de los Estados, Montevideo, 26-12-1933, art. 3; facsímil de la OEA)</w:t>
      </w:r>
      <w:r>
        <w:t>. Ningún título superior lo crea: se lo da él mismo.</w:t>
      </w:r>
    </w:p>
    <w:p>
      <w:pPr>
        <w:pStyle w:val="ListBullet"/>
      </w:pPr>
      <w:r>
        <w:rPr>
          <w:i/>
        </w:rPr>
        <w:t>De dónde sale:</w:t>
      </w:r>
      <w:r>
        <w:t xml:space="preserve"> la firmaron en la Séptima Conferencia Internacional Americana, el 26-12-1933, Argentina, Brasil, Chile, Colombia, Costa Rica, Cuba, Ecuador, El Salvador, Estados Unidos, Guatemala, Haití, Honduras, México, Nicaragua, Panamá, Paraguay, Perú, la República Dominicana, Uruguay y Venezuela; diecisiete la ratificaron. Quedaba abierta a otros Estados (art. 16), y España no figura ni entre los firmantes ni entre los que la ratificaron o se adhirieron después</w:t>
      </w:r>
      <w:r>
        <w:t xml:space="preserve"> (OEA, estado de firmas y ratificaciones de la Convención, A-40)</w:t>
      </w:r>
      <w:r>
        <w:t>. Entró en vigor el 26-12-1934</w:t>
      </w:r>
      <w:r>
        <w:t xml:space="preserve"> (Treaties and Other International Agreements of the United States of America 1776-1949 (Tratados y otros acuerdos internacionales de los Estados Unidos), ed. Bevans, vol. 3, 1969, copia del Avalon Project)</w:t>
      </w:r>
      <w:r>
        <w:t>.</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t>[04.00-8.8 y 8.9]</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t>[23.00-6.8 y 6.9]</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r>
        <w:t>[29.00-8.6 y 8.7]</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t xml:space="preserve"> (Constitución, art. 9.1)</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t>[04.00-8.10 y 8.11; 10.00-18.12 y 18.13]</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t xml:space="preserve"> (Código Penal, art. 384)</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t>[09.00-7.2, 7.3, 7.8 y 7.9]</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t>[12.00-6.8 y 6.9]</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t xml:space="preserve"> (Ley 39/2015, art. 39.1)</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t xml:space="preserve"> (Ley 39/2015, art. 97.1)</w:t>
      </w:r>
      <w:r>
        <w:t>; y, cuando falta el título, hay vía de hecho y remedio propio</w:t>
      </w:r>
      <w:r>
        <w:t xml:space="preserve"> (Ley 29/1998, art. 30)</w:t>
      </w:r>
      <w:r>
        <w:t>. Pero la Administración se da a sí misma el título: sus actos se presumen válidos, y la providencia de apremio tiene «la misma fuerza ejecutiva que la sentencia judicial»</w:t>
      </w:r>
      <w:r>
        <w:t xml:space="preserve"> (Ley General Tributaria, art. 167.2)</w:t>
      </w:r>
      <w:r>
        <w:t>. Quien ejecuta es quien se da el título: el problema de ser juez en la propia causa (</w:t>
      </w:r>
      <w:r>
        <w:t>1.7</w:t>
      </w:r>
      <w:r>
        <w:t xml:space="preserve">). Se juzga en el </w:t>
      </w:r>
      <w:r>
        <w:t>cargo 13</w:t>
      </w:r>
      <w:r>
        <w:t>.</w:t>
      </w:r>
    </w:p>
    <w:p>
      <w:r>
        <w:t>[02.00-26.1 y 26.2]</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t xml:space="preserve"> (Constitución, art. 22.1)</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t>[08.00-7.4 y 7.5]</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t>[28.00-9.10 y 9.11]</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t xml:space="preserve"> (Constitución, art. 24.2)</w:t>
      </w:r>
      <w:r>
        <w:t>, y el honor es el límite de la libertad de expresión</w:t>
      </w:r>
      <w:r>
        <w:t xml:space="preserve"> (arts. 18.1 y 20.4)</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t>[00.00-11.10 y 11.11]</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xml:space="preserve">. La prueba de cada uno ya está en los capítulos anteriores, y aquí se remite a ella. Lo que la obra concede se dice en «Dónde aguanta» y en el límite honesto de cada cargo. </w:t>
      </w:r>
      <w:r>
        <w:t>[37.00-0.0.3; glosario 8.11 y 8.13]</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t xml:space="preserve"> (Hch 5:29)</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t xml:space="preserve"> (Código Civil, art. 1.1)</w:t>
      </w:r>
      <w:r>
        <w:t>. La costumbre «sólo regirá en defecto de ley aplicable»</w:t>
      </w:r>
      <w:r>
        <w:t xml:space="preserve"> (art. 1.3)</w:t>
      </w:r>
      <w:r>
        <w:t>, y los principios generales, que es por donde entra la ley natural, «se aplicarán en defecto de ley o costumbre»</w:t>
      </w:r>
      <w:r>
        <w:t xml:space="preserve"> (art. 1.4)</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t xml:space="preserve"> (Constitución, art. 10.1)</w:t>
      </w:r>
      <w:r>
        <w:t>, es decir, anteriores a ella; aun así, el Código Civil pone los principios por los que entran en el último lugar. Contra la costumbre injusta ya hay un filtro escrito: solo vale si no es «contraria a la moral o al orden público» y si «resulte probada»</w:t>
      </w:r>
      <w:r>
        <w:t xml:space="preserve"> (Código Civil, art. 1.3)</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t xml:space="preserve"> (Ley Orgánica del Poder Judicial, art. 219.10.ª)</w:t>
      </w:r>
      <w:r>
        <w:t>, y a sus autoridades, por «tener interés personal en el asunto»</w:t>
      </w:r>
      <w:r>
        <w:t xml:space="preserve"> (Ley 40/2015, art. 23.2.a)</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 a 2.7, con Hch 5:29 en la Reina-Valera Antigua; 00.2-3.1 a 3.4, sin las 259 normas de 2024: sin fila en el registro; 02.00-24.1 y 24.2; 02.00-25.1, la Ley 60/2003 de Arbitraje, leída el 7-oct en el BOE; 07.00-24.1 y 24.2; el xeer y el tikanga, en el contrapunto 4, con su remisión a F.7 (añadidos el 7-oct, con el sí de Kiko); el Althing, no: hoy es un parlamento que escribe leyes, y que «sigue funcionando» no tiene fuente leída; 11.00-14.6 a 14.9; 12.00-6.6 y 6.7; 19.00-35.18 y 35.19. La Ley Orgánica del Poder Judicial, art. 219, y la Ley 40/2015, art. 23, leídas hoy en local]</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t xml:space="preserve"> (Mt 22:21)</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t xml:space="preserve"> (STC 145/2012, de 2 de julio)</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t xml:space="preserve"> (Declaración Universal de Derechos Humanos, art. 30)</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t xml:space="preserve"> (reserva de España de 16-XII-1983, BOE núm. 69, de 21-III-1984)</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[37.00-3.1 a 3.8, con Mt 22:21 en la Reina-Valera Antigua; 00.2-3.5 a 3.8, con la reserva de 1983 a la Convención sobre la mujer (17.00-244.3), leída en el BOE; sin que la revisión total «nunca se ha activado»: sin fila en el registro; 03.00-34.10 y 34.11, el art. 31 quinquies con sus palabras; 11.00-10.1 y 10.2; 12.00-6.2 y 6.3; 16.00-13.14 y 13.15; 20.00-35.22 y 35.23. La Declaración Universal, art. 30, leída hoy en local]</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t xml:space="preserve"> (Constitución, art. 1.2)</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t xml:space="preserve"> (Constitución, art. 87.3)</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t xml:space="preserve"> (Oliver Araujo, «La reforma constitucional de la Corona», Revista de Derecho Político, n.º 77, 2010, resumen)</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t xml:space="preserve"> (Gn 1:27)</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 xml:space="preserve">) </w:t>
      </w:r>
      <w:r>
        <w:t>[palabras de Kiko, 6-oct-2026, noche; libreta 75, 7 bis n.º 9]</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[37.00-4.1 a 4.8, con 1 Sam 8:15 en la Reina-Valera Antigua; 00.2-6.1 a 6.4, sin «autobloqueo», sin que la revisión total «nunca se ha activado» y sin los «cuarenta y ocho años»: sin fila en el registro; 12.00-6.4 y 6.5, la conquista con la Carta de las Naciones Unidas de 6.2, sin el art. 11 de Montevideo; 13.00-13.12 y 13.13, sin los «quince días» de la Mesa: sin fuente leída. La Constitución, art. 87.3, leída hoy en local]</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t xml:space="preserve"> (Mt 6:19)</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t xml:space="preserve"> (Constitución, art. 50)</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[37.00-5.1 a 5.8, con Mt 6:19 en la Reina-Valera Antigua; 00.2-15.13 a 15.16, la vivienda con el dato de junio de 2026 (8.8) en lugar de los 7,7 años de 2025; 34.00-13.8 y 13.9; la aritmética del ahorro, de 27.00-1.2 por 8.8, añadida a petición de Kiko (6-oct, noche: «ese dato no se puede perder»). Que «ahorro» no aparece en la Constitución, comprobado hoy en el texto local]</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t xml:space="preserve"> (Lc 16:2)</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t xml:space="preserve"> (texto refundido de la Ley Concursal, art. 1.3)</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[37.00-6.1 a 6.7; 00.1-2.26 a 2.29; 00.2-18.5 a 18.8; 15.00-17.22 y 17.23, sin «ninguno de los grandes casos de corrupción surgió de sus fiscalizaciones»: sin fila en el registro]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t xml:space="preserve"> (Constitución, art. 67.2)</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t>. En democracia, la mayoría expresa la voluntad general. La Administración «sirve con objetividad los intereses generales»</w:t>
      </w:r>
      <w:r>
        <w:t xml:space="preserve"> (Constitución, art. 103.1)</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t xml:space="preserve"> (Congreso de los Diputados, retribuciones de 2026)</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t xml:space="preserve"> (INE, Encuesta Anual de Estructura Salarial, 2024)</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[37.00-8.1 a 8.8, con Mt 20:25-26 en la Reina-Valera Antigua; 00.1-4.18 a 4.25; 00.2-6.9 a 6.12; 10.00-18.8 y 18.9, sin la frase de Rousseau leída como justificación del Terror: sin fila en el registro; 13.00-13.4 y 13.5, sin las sanciones del Tribunal de Cuentas desde 2012 ni la graduación de 2015: sin fila; 13.00-13.8 y 13.9; 13.00-13.14 y 13.15, con los 105 millones de la Jefatura del Estado y la plantilla civil de la Casa del Rey, leídos el 7-oct (C.2); 15.00-17.2 y 17.3; 16.00-13.8 y 13.9; 19.00-35.14 y 35.15, sin «las tres reformas, sin referéndum»: sin fila; 20.00-35.10 y 35.11, con el salario mediano y «casi cuatro veces», leídos el 7-oct (INE). La indemnización, del índice del lote c8b; la Constitución, arts. 6 y 50, leída hoy en local]</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t xml:space="preserve"> (Is 10:1-2; </w:t>
      </w:r>
      <w:r>
        <w:t>1.1</w:t>
      </w:r>
      <w:r>
        <w:t>)</w:t>
      </w:r>
      <w:r>
        <w:t>; y a los que cumplían la letra: «dejasteis lo que es lo más grave de la ley, es á saber, el juicio y la misericordia y la fe»</w:t>
      </w:r>
      <w:r>
        <w:t xml:space="preserve"> (Mt 23:23)</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t xml:space="preserve"> (Código Civil, art. 6.1)</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[37.00-10.1 a 10.7, con Is 10:1-2 y Mt 23:23 en la Reina-Valera Antigua; 00.1-2.34 a 2.37; 00.2-3.9 a 3.12; 07.00-25.1 y 25.2, sin la abolición en la Península en 1837, fecha que no aparece en la Gaceta (3.1); 11.00-14.2 y 14.3, sin los 40 decretos-leyes, que van al cargo 12; 15.00-17.12 y 17.13; 15.00-17.20 y 17.21; 19.00-35.6 y 35.7; 19.00-35.16 y 35.17; 23.00-6.4 y 6.5]</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t xml:space="preserve"> (Lc 11:46)</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t xml:space="preserve"> (Código Civil, art. 6.1)</w:t>
      </w:r>
      <w:r>
        <w:t>. Solo en 2024 se aprobaron 894 normas nuevas, 719 del Estado y 175 de las comunidades autónomas</w:t>
      </w:r>
      <w:r>
        <w:t xml:space="preserve"> (CEOE, «La producción normativa en 2024», estudio privado con datos del BOE y de las comunidades, pp. 2 y 7)</w:t>
      </w:r>
      <w:r>
        <w:t>, y se publicaron 1.298.086 páginas entre el BOE y los boletines autonómicos, unas 3.547 cada día (</w:t>
      </w:r>
      <w:r>
        <w:t>5.2</w:t>
      </w:r>
      <w:r>
        <w:t>). Y lo vigente, recopilado por el propio BOE en sus Códigos electrónicos, ocupa 345 códigos con 396.115 páginas</w:t>
      </w:r>
      <w:r>
        <w:t xml:space="preserve"> (BOE, Biblioteca Jurídica Digital, «Códigos electrónicos», consulta del 5-10-2026)</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t xml:space="preserve"> (Ministerio de Justicia, «Claridad y derecho a comprender», informe de la Comisión para la modernización del lenguaje jurídico)</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[37.00-11.1 a 11.8, con Lc 11:46 en la Reina-Valera Antigua, y la pregunta con las páginas en lugar de las 259 normas del Consejo de Ministros: sin fila en el registro; 00.2-9.5 a 9.8; 07.00-28.1 y 28.2, sin los nueve códigos con sus páginas, la sentencia de las cláusulas suelo, los siete años de BOSCO ni la plantilla de la Casa del Rey (leída después, C.2): sin fila o sin leer; 30.00-35.2, la Comisión de Modernización del Lenguaje Jurídico, leída el 7-oct en el informe del Ministerio de Justicia. Los 396.115, del índice del lote c5. Las 894 normas (719 y 175) y las 128.071 páginas de disposiciones, leídas hoy en el informe de la CEOE ya bajado (c5): en ese informe, el 259 de la Biblioteca solo sale como los reales decretos de 2023 (fila «2023 4 13 259 8 0 399 683» de su cuadro), no como normas de 2024 fuera del Plan Anual Normativo]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t xml:space="preserve"> (Jer 31:29-30)</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[37.00-12.1 a 12.7, con Jer 31:29-30 en la Reina-Valera Antigua y la vivienda con el dato de junio de 2026; 00.2-18.1 a 18.4; 24.00-9.8 y 9.9]</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t xml:space="preserve"> (Stg 2:17)</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t xml:space="preserve"> [original: «If there shall be distress and want within the four seas, the Heavenly revenue will come to a perpetual end»]</w:t>
      </w:r>
      <w:r>
        <w:t xml:space="preserve"> (Analectas XX, 1, en la traducción inglesa de Legge)</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t xml:space="preserve"> (Comisión de Publicidad y Comunicación Institucional, informes anuales de 2019 y 2025)</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t xml:space="preserve"> (OCDE, «Average annual wages» (salarios medios anuales); fe de erratas, 20.00-35.5)</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rPr>
          <w:b/>
        </w:rPr>
        <w:t>Las demás defensas de este cargo.</w:t>
      </w:r>
    </w:p>
    <w:p>
      <w:pPr>
        <w:pStyle w:val="ListBullet"/>
      </w:pPr>
      <w:r>
        <w:rPr>
          <w:i/>
        </w:rPr>
        <w:t>«El Estado moderno adoptó todo el programa ilustrado»:</w:t>
      </w:r>
      <w:r>
        <w:t xml:space="preserve"> derechos, separación de poderes, soberanía popular e igualdad ante la ley. </w:t>
      </w:r>
      <w:r>
        <w:rPr>
          <w:i/>
        </w:rPr>
        <w:t>Respuesta:</w:t>
      </w:r>
      <w:r>
        <w:t xml:space="preserve"> la auditoría lo mide: se cumple lo que organiza el poder y se incumple lo que lo limita y lo que promete al pueblo (</w:t>
      </w:r>
      <w:r>
        <w:t>7.4</w:t>
      </w:r>
      <w:r>
        <w:t>); y la soberanía popular se presume (</w:t>
      </w:r>
      <w:r>
        <w:t>cargo 3</w:t>
      </w:r>
      <w:r>
        <w:t>).</w:t>
      </w:r>
    </w:p>
    <w:p>
      <w:pPr>
        <w:pStyle w:val="ListBullet"/>
      </w:pPr>
      <w:r>
        <w:rPr>
          <w:i/>
        </w:rPr>
        <w:t>«El delito de injurias a la Corona protege el símbolo, no a la persona, y lo aplicaron los tribunales».</w:t>
      </w:r>
      <w:r>
        <w:t xml:space="preserve"> </w:t>
      </w:r>
      <w:r>
        <w:rPr>
          <w:i/>
        </w:rPr>
        <w:t>Respuesta:</w:t>
      </w:r>
      <w:r>
        <w:t xml:space="preserve"> el tribunal europeo dijo que fue «una crítica a lo que el Rey representa», no un ataque personal (</w:t>
      </w:r>
      <w:r>
        <w:t>7.2</w:t>
      </w:r>
      <w:r>
        <w:t>, n.º 8).</w:t>
      </w:r>
    </w:p>
    <w:p>
      <w:pPr>
        <w:pStyle w:val="ListBullet"/>
      </w:pPr>
      <w:r>
        <w:rPr>
          <w:i/>
        </w:rPr>
        <w:t>«La Constitución ampara y respeta los derechos históricos de los territorios forales»</w:t>
      </w:r>
      <w:r>
        <w:t xml:space="preserve"> (Constitución, disposición adicional primera)</w:t>
      </w:r>
      <w:r>
        <w:t xml:space="preserve">: el Concierto vasco y el Convenio navarro son constitucionales. </w:t>
      </w:r>
      <w:r>
        <w:rPr>
          <w:i/>
        </w:rPr>
        <w:t>Respuesta:</w:t>
      </w:r>
      <w:r>
        <w:t xml:space="preserve"> la misma Constitución dice que «Todos los españoles tienen los mismos derechos y obligaciones en cualquier parte del territorio del Estado»</w:t>
      </w:r>
      <w:r>
        <w:t xml:space="preserve"> (art. 139.1)</w:t>
      </w:r>
      <w:r>
        <w:t>, y el mismo derecho a operarse espera 50 días de media en Madrid y 173 en Andalucía (</w:t>
      </w:r>
      <w:r>
        <w:t>8.4</w:t>
      </w:r>
      <w:r>
        <w:t>).</w:t>
      </w:r>
    </w:p>
    <w:p>
      <w:pPr>
        <w:pStyle w:val="ListBullet"/>
      </w:pPr>
      <w:r>
        <w:rPr>
          <w:i/>
        </w:rPr>
        <w:t>«El Estado aprueba ayudas y planes de vivienda para jóvenes, y la ley de vivienda protege al inquilino en las zonas tensionadas».</w:t>
      </w:r>
      <w:r>
        <w:t xml:space="preserve"> </w:t>
      </w:r>
      <w:r>
        <w:rPr>
          <w:i/>
        </w:rPr>
        <w:t>Respuesta:</w:t>
      </w:r>
      <w:r>
        <w:t xml:space="preserve"> en Cataluña, la primera en declararlas, los contratos de alquiler con fianza bajaron de 152.770 en 2022 a unos 108.057 en 2025, aunque la caída empezó antes de la declaración (</w:t>
      </w:r>
      <w:r>
        <w:t>8.7</w:t>
      </w:r>
      <w:r>
        <w:t>); y el derecho sigue sin poder exigirse ante un juez (art. 53.3).</w:t>
      </w:r>
    </w:p>
    <w:p>
      <w:pPr>
        <w:pStyle w:val="ListBullet"/>
      </w:pPr>
      <w:r>
        <w:rPr>
          <w:i/>
        </w:rPr>
        <w:t>«La sentencia del 25 % de castellano en la escuela es firme, y el Supremo inadmitió el recurso de la Generalitat».</w:t>
      </w:r>
      <w:r>
        <w:t xml:space="preserve"> </w:t>
      </w:r>
      <w:r>
        <w:rPr>
          <w:i/>
        </w:rPr>
        <w:t>Respuesta:</w:t>
      </w:r>
      <w:r>
        <w:t xml:space="preserve"> la obra lo concede; pero el Tribunal Superior de Cataluña constató que la Generalitat «no había ejecutado la sentencia en el plazo voluntario», y tras un decreto ley y una ley catalanas dejó el pleito «en suspenso», con una cuestión ante el Constitucional que a 6 de octubre de 2026 no estaba resuelta (</w:t>
      </w:r>
      <w:r>
        <w:t>7.3</w:t>
      </w:r>
      <w:r>
        <w:t>). La Constitución dice: «Es obligado cumplir las sentencias y demás resoluciones firmes de los Jueces y Tribunales»</w:t>
      </w:r>
      <w:r>
        <w:t xml:space="preserve"> (Constitución, art. 118)</w:t>
      </w:r>
      <w:r>
        <w:t>. Cuando el ciudadano no cumple, la Administración ejecuta sin juez (</w:t>
      </w:r>
      <w:r>
        <w:t>cargo 13</w:t>
      </w:r>
      <w:r>
        <w:t>); cuando no cumple una Administración, la sentencia espera.</w:t>
      </w:r>
    </w:p>
    <w:p>
      <w:pPr>
        <w:pStyle w:val="ListBullet"/>
      </w:pPr>
      <w:r>
        <w:rPr>
          <w:i/>
        </w:rPr>
        <w:t>«Los desahucios bajan»:</w:t>
      </w:r>
      <w:r>
        <w:t xml:space="preserve"> 24.540 lanzamientos en 2025, un 11 % menos (</w:t>
      </w:r>
      <w:r>
        <w:t>7.3</w:t>
      </w:r>
      <w:r>
        <w:t>), y 4.005 en el primer trimestre de 2026, un 45,4 % menos que un año antes</w:t>
      </w:r>
      <w:r>
        <w:t xml:space="preserve"> (CGPJ, datos del primer trimestre de 2026)</w:t>
      </w:r>
      <w:r>
        <w:t xml:space="preserve">. </w:t>
      </w:r>
      <w:r>
        <w:rPr>
          <w:i/>
        </w:rPr>
        <w:t>Respuesta:</w:t>
      </w:r>
      <w:r>
        <w:t xml:space="preserve"> la obra recoge la bajada; pero las ejecuciones hipotecarias presentadas pasaron de 23.164 a 31.416 en 2025 (</w:t>
      </w:r>
      <w:r>
        <w:t>7.3</w:t>
      </w:r>
      <w:r>
        <w:t>), un 35,6 % más</w:t>
      </w:r>
      <w:r>
        <w:t xml:space="preserve"> (CGPJ, nota de 20-3-2026)</w:t>
      </w:r>
      <w:r>
        <w:t>.</w:t>
      </w:r>
    </w:p>
    <w:p>
      <w:pPr>
        <w:pStyle w:val="ListBullet"/>
      </w:pPr>
      <w:r>
        <w:rPr>
          <w:i/>
        </w:rPr>
        <w:t>«El esfuerzo de hoy es menor que el de otros momentos»:</w:t>
      </w:r>
      <w:r>
        <w:t xml:space="preserve"> el máximo fueron 9,46 años de renta en 2007, y la primera cuota se llevaba el 72,47 % de la renta disponible en 1990, frente al 38,01 % de junio de 2026 (</w:t>
      </w:r>
      <w:r>
        <w:t>8.8</w:t>
      </w:r>
      <w:r>
        <w:t xml:space="preserve">). </w:t>
      </w:r>
      <w:r>
        <w:rPr>
          <w:i/>
        </w:rPr>
        <w:t>Respuesta:</w:t>
      </w:r>
      <w:r>
        <w:t xml:space="preserve"> es renta bruta, antes de impuestos y cotizaciones; con lo que de verdad se ahorra, unos 25 años para la entrada y más de 80 para el precio entero (</w:t>
      </w:r>
      <w:r>
        <w:t>8.8</w:t>
      </w:r>
      <w:r>
        <w:t>); y el dato de 2026 es el más alto desde 2011.</w:t>
      </w:r>
    </w:p>
    <w:p>
      <w:pPr>
        <w:pStyle w:val="ListBullet"/>
      </w:pPr>
      <w:r>
        <w:rPr>
          <w:i/>
        </w:rPr>
        <w:t>«Que las instituciones funcionen es una garantía de estabilidad democrática».</w:t>
      </w:r>
      <w:r>
        <w:t xml:space="preserve"> </w:t>
      </w:r>
      <w:r>
        <w:rPr>
          <w:i/>
        </w:rPr>
        <w:t>Respuesta:</w:t>
      </w:r>
      <w:r>
        <w:t xml:space="preserve"> funcionan, en buena parte para sí mismas: los representantes fijan su asignación (art. 71.4), un senador de fuera de Madrid cobra unos 78.555 euros (</w:t>
      </w:r>
      <w:r>
        <w:t>8.6</w:t>
      </w:r>
      <w:r>
        <w:t>), y el Consejo General del Poder Judicial estuvo cinco años y medio sin renovarse (</w:t>
      </w:r>
      <w:r>
        <w:t>7.4</w:t>
      </w:r>
      <w:r>
        <w:t>).</w:t>
      </w:r>
    </w:p>
    <w:p>
      <w:pPr>
        <w:pStyle w:val="ListBullet"/>
      </w:pPr>
      <w:r>
        <w:rPr>
          <w:i/>
        </w:rPr>
        <w:t>«La pobreza infantil depende de muchos factores, no de un acto concreto del Estado, y ninguna sentencia la declara incumplimiento».</w:t>
      </w:r>
      <w:r>
        <w:t xml:space="preserve"> </w:t>
      </w:r>
      <w:r>
        <w:rPr>
          <w:i/>
        </w:rPr>
        <w:t>Respuesta:</w:t>
      </w:r>
      <w:r>
        <w:t xml:space="preserve"> por eso la obra no la llama ilegalidad, sino incumplimiento sin un acto que recurrir; el resultado se mide: el 33,8 % de los menores, frente al 25,7 % del conjunto (</w:t>
      </w:r>
      <w:r>
        <w:t>7.5</w:t>
      </w:r>
      <w:r>
        <w:t>).</w:t>
      </w:r>
    </w:p>
    <w:p>
      <w:pPr>
        <w:pStyle w:val="ListBullet"/>
      </w:pPr>
      <w:r>
        <w:rPr>
          <w:i/>
        </w:rPr>
        <w:t>«Las muertes en espera de la dependencia bajan»:</w:t>
      </w:r>
      <w:r>
        <w:t xml:space="preserve"> 40.447 en 2023, 34.252 en 2024 y 32.704 en 2025 (</w:t>
      </w:r>
      <w:r>
        <w:t>8.5</w:t>
      </w:r>
      <w:r>
        <w:t xml:space="preserve">). </w:t>
      </w:r>
      <w:r>
        <w:rPr>
          <w:i/>
        </w:rPr>
        <w:t>Respuesta:</w:t>
      </w:r>
      <w:r>
        <w:t xml:space="preserve"> la obra recoge la bajada; aun así, en 2025, 17.994 personas murieron sin que se les hubiera resuelto el grado y 14.710 con el grado reconocido, esperando la prestación (</w:t>
      </w:r>
      <w:r>
        <w:t>8.5</w:t>
      </w:r>
      <w:r>
        <w:t xml:space="preserve">); y la ley de Dios manda honrar el rostro del anciano (Lv 19:32; </w:t>
      </w:r>
      <w:r>
        <w:t>5.2</w:t>
      </w:r>
      <w:r>
        <w:t>).</w:t>
      </w:r>
    </w:p>
    <w:p>
      <w:pPr>
        <w:pStyle w:val="ListBullet"/>
      </w:pPr>
      <w:r>
        <w:rPr>
          <w:i/>
        </w:rPr>
        <w:t>«España tiene sanidad universal y dedica a ella el 14,2 % del gasto público»</w:t>
      </w:r>
      <w:r>
        <w:t xml:space="preserve"> (</w:t>
      </w:r>
      <w:r>
        <w:t>8.6</w:t>
      </w:r>
      <w:r>
        <w:t xml:space="preserve">). </w:t>
      </w:r>
      <w:r>
        <w:rPr>
          <w:i/>
        </w:rPr>
        <w:t>Respuesta:</w:t>
      </w:r>
      <w:r>
        <w:t xml:space="preserve"> a 31 de diciembre de 2025, 853.509 pacientes esperaban una operación, con 121 días de media, y el 21,6 % llevaba más de seis meses (</w:t>
      </w:r>
      <w:r>
        <w:t>8.4</w:t>
      </w:r>
      <w:r>
        <w:t>).</w:t>
      </w:r>
    </w:p>
    <w:p>
      <w:pPr>
        <w:pStyle w:val="ListBullet"/>
      </w:pPr>
      <w:r>
        <w:rPr>
          <w:i/>
        </w:rPr>
        <w:t>«Lo que se recibe a cambio»:</w:t>
      </w:r>
      <w:r>
        <w:t xml:space="preserve"> la pensión, el 80,4 % del salario, y la de jubilación se resolvió en abril de 2026 en 9,28 días de media (</w:t>
      </w:r>
      <w:r>
        <w:t>8.4</w:t>
      </w:r>
      <w:r>
        <w:t xml:space="preserve">). </w:t>
      </w:r>
      <w:r>
        <w:rPr>
          <w:i/>
        </w:rPr>
        <w:t>Respuesta:</w:t>
      </w:r>
      <w:r>
        <w:t xml:space="preserve"> se paga en un sistema de reparto con unos dos afiliados por pensión y una fecundidad de 1,10 (</w:t>
      </w:r>
      <w:r>
        <w:t>8.6</w:t>
      </w:r>
      <w:r>
        <w:t xml:space="preserve"> y </w:t>
      </w:r>
      <w:r>
        <w:t>8.8</w:t>
      </w:r>
      <w:r>
        <w:t>), y las pensiones ya prometidas, 6,13 billones, no figuran en la deuda oficial (</w:t>
      </w:r>
      <w:r>
        <w:t>cargo 9</w:t>
      </w:r>
      <w:r>
        <w:t>).</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[37.00-13.1 a 13.8, con Stg 2:17 en la Reina-Valera Antigua y la frase de las Analectas en boca de Yao, como dice el texto (c9h); 00.1-4.14 a 4.17 y 4.31 a 4.34; 00.2-21.9 a 21.12; 03.00-34.2 a 34.7, el salario real de la OCDE con la serie actual (07, 20.00-35.5); sin 06.00-8.4 a 8.7: la pieza se retiró de la edición por consenso, por no concluyente, y sus defensas no se recuperan (Kiko, 7-oct); 08.00-7.2 y 7.3; 10.00-18.16 y 18.17; 14.00-8.12 y 8.13; 15.00-17.16, 17.17 y 17.24 a 17.27, sin los doce años de la financiación autonómica: sin fila; 16.00-13.2 a 13.5, la sentencia del 25 % con lo leído en 7.3 y el art. 118 con su fila; 16.00-13.12 y 13.13; 18.00-7.4 a 7.7, sin el 68,0 % ni los 40 decretos-leyes; 19.00-35.12 y 35.13, sin el 1,5 % y el 2,4 % del PIB: sin fuente leída; 20.00-35.8 y 35.9; 21.00-14.12 a 14.15, sin el plan vencido en 2023; 22.00-13.14 y 13.15; 26.00-8.10 y 8.11; 27.00-7.2 a 7.11, sin los tipos al 17 %; 34.00-13.2 y 13.3, sin «vuelven a la gente»: la tabla de 8.6 dice a qué va el gasto, no lo que se devuelve; y con los cuatro euros de intereses por cada euro invertido de 7.2, n.º 4 (Kiko, 7-oct). La Constitución, art. 139.1 y disposición adicional primera, leída hoy en local]</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t xml:space="preserve"> (Mt 5:37)</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t xml:space="preserve"> (Código Civil, art. 1261)</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[37.00-15.1 a 15.7, con Mt 5:37 en la Reina-Valera Antigua; 00.1-4.1 a 4.4; 00.2-6.5 a 6.8; 10.00-18.2 a 18.7, sin que Locke «y no Hobbes» sea la fuente de las rupturas históricas: no se ha leído así en 6.1; 14.00-8.2 y 8.3; 15.00-17.28 y 17.29, sin «las cuatro, sin referéndum», sin «autobloqueo» y sin que la revisión total «nunca» se haya activado en «cuarenta y ocho años»: sin fila]</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t xml:space="preserve"> (Pr 21:5)</w:t>
      </w:r>
      <w:r>
        <w:t>.</w:t>
      </w:r>
    </w:p>
    <w:p>
      <w:pPr>
        <w:pStyle w:val="ListBullet"/>
      </w:pPr>
      <w:r>
        <w:rPr>
          <w:i/>
        </w:rPr>
        <w:t>Su propia ley:</w:t>
      </w:r>
      <w:r>
        <w:t xml:space="preserve"> «En caso de extraordinaria y urgente necesidad, el Gobierno podrá dictar disposiciones legislativas provisionales que tomarán la forma de Decretos-leyes»</w:t>
      </w:r>
      <w:r>
        <w:t xml:space="preserve"> (Constitución, art. 86.1)</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t xml:space="preserve"> (CEOE, «La producción normativa en 2024», estudio privado con datos del BOE, p. 3)</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t>, y en ese plazo las Cortes «podrán tramitarlos como proyectos de ley por el procedimiento de urgencia»</w:t>
      </w:r>
      <w:r>
        <w:t xml:space="preserve"> (art. 86.3)</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t xml:space="preserve"> (STC 61/2018, síntesis y fallo)</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t xml:space="preserve"> (STC 73/2017)</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t xml:space="preserve"> (BOE, «Referencias posteriores» de cada decreto-ley)</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[37.00-16.1 a 16.7, con Pr 21:5 en la Reina-Valera Antigua, sin los 40 decretos-leyes frente a 74 leyes (sin fuente oficial: la propia pieza 17.00 avisa de que la cifra «no se desglosa siempre igual entre fuentes») y con la amnistía fiscal corregida: no se anuló por falta de urgencia, sino por afectar al deber de contribuir (STC 73/2017; errata nueva, para aprobar); 00.1-4.5 a 4.8; 00.2-12.14 a 12.17, con la misma corrección; 11.00-9.1 y 9.2; 15.00-17.18 y 17.19; 00.00-6.2, con al menos siete decretos-leyes derogados entre 2024 y 2026 (no tres), leídos en el BOE el 7-oct. Las cifras de 2013 a 2024, leídas hoy en el informe de la CEOE ya bajado (c5, p. 3); la Constitución, art. 86, leída hoy en local; la STC 61/2018, con la versión del 07]</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t xml:space="preserve"> (Dt 24:10-11)</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t xml:space="preserve"> (Ley 39/2015, art. 98.1)</w:t>
      </w:r>
      <w:r>
        <w:t xml:space="preserve">, y ella misma puede ejecutarlos, incluido el «apremio sobre el patrimonio» (arts. 99 y 100.1.a; </w:t>
      </w:r>
      <w:r>
        <w:t>7.6</w:t>
      </w:r>
      <w:r>
        <w:t>). Un particular necesita siempre un título: «La acción ejecutiva deberá fundarse en un título que tenga aparejada ejecución»</w:t>
      </w:r>
      <w:r>
        <w:t xml:space="preserve"> (Ley de Enjuiciamiento Civil, art. 517.1)</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t xml:space="preserve"> (Ley General Tributaria, art. 31.2)</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t xml:space="preserve"> (art. 33.2)</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[37.00-18.1 a 18.8, con Dt 24:10-11 en la Reina-Valera Antigua; 00.1-4.9 a 4.13, sin que «casi nadie» reclame los intereses ni que el Banco de España «dejó de publicar» su nota: sin fila; 00.1-6.17 a 6.20; 00.2-12.9 a 12.13; 03.00-34.8 y 34.9, sin el IBI: sin fila; 07.00-26.1 y 26.2; 10.00-18.14 y 18.15, sin la expropiación «a favor de un monopolio» como prueba: el Supremo la avaló (10.7); 21.00-14.6 y 14.7; 22.00-13.2 a 13.5, sin las multas de Madrid, ya en 9.1; 23.00-6.2 y 6.3. La Constitución, art. 33, leída hoy en local]</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t xml:space="preserve"> (Pr 22:7)</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t xml:space="preserve"> (Constitución, art. 135.3)</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[37.00-19.1 a 19.7, con Dt 15:1-2 y Pr 22:7 en la Reina-Valera Antigua, y sin «en menos de dos semanas»: la obra tiene las fechas de las votaciones (8.1), no la de la propuesta; 00.1-2.30 a 2.33; 00.1-6.13 a 6.16, sin «casi cuatro veces»: el dato es «más de cuatro veces» la deuda de 2021 (9.1); 00.2-15.22 a 15.25; 15.00-17.8 a 17.11, sin que el Banco de España «dejó de publicar» su nota: sin fila; 22.00-13.12 y 13.13; 24.00-9.6 y 9.7. Que «prioridad absoluta» solo aparece en el art. 135.3, comprobado hoy en el texto local de la Constitución]</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t xml:space="preserve"> (Lv 6:4-5)</w:t>
      </w:r>
      <w:r>
        <w:t>.</w:t>
      </w:r>
    </w:p>
    <w:p>
      <w:pPr>
        <w:pStyle w:val="ListBullet"/>
      </w:pPr>
      <w:r>
        <w:rPr>
          <w:i/>
        </w:rPr>
        <w:t>Las tradiciones:</w:t>
      </w:r>
      <w:r>
        <w:t xml:space="preserve"> «Alá os ordena que restituyáis los depósitos a sus propietarios»</w:t>
      </w:r>
      <w:r>
        <w:t xml:space="preserve"> (Corán 4:58, traducción de Julio Cortés)</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t xml:space="preserve"> (Ley General de la Seguridad Social, art. 110.1)</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[37.00-21.1 a 21.8, con Lv 6:4-5 en la Reina-Valera Antigua; 00.1-2.1 a 2.9; 00.2-15.17 a 15.21; 19.00-35.10 y 35.11; 20.00-35.6 y 35.7, sin los 77.437 millones hasta 2018: la obra da la serie año por año (8.6); 34.00-13.6 y 13.7. Que el Director General del Tesoro «emite la deuda», sin fila: se dice solo que se sienta en el comité]</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t xml:space="preserve"> (Ez 18:20)</w:t>
      </w:r>
      <w:r>
        <w:t>; «Los padres no morirán por los hijos, ni los hijos por los padres; cada uno morirá por su pecado»</w:t>
      </w:r>
      <w:r>
        <w:t xml:space="preserve"> (Dt 24:16)</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[37.00-23.1 a 23.7, con Ez 18:20 en la Reina-Valera Antigua; 00.2-9.1 a 9.4]</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t xml:space="preserve"> (Pr 11:1)</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t xml:space="preserve"> (Ley 46/1998, art. 3)</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[37.00-25.1 a 25.8, con Pr 11:1 en la Reina-Valera Antigua; 00.1-2.42 a 2.45; 00.2-15.1 a 15.4; 24.00-9.2 y 9.3; 25.00-11.4 y 11.5. Es la defensa que el capítulo 8 promete oír aquí]</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t xml:space="preserve"> (Pr 20:10)</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[37.00-26.1 a 26.8, con Pr 20:10 en la Reina-Valera Antigua; 00.1-2.38 a 2.41 y 00.2-15.5 a 15.8, sin la lectura de que quien recibe primero el dinero nuevo gasta a precios antiguos: sin fuente leída; 20.00-35.2 y 35.3; 24.00-9.4 y 9.5]</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t xml:space="preserve"> (INE, Encuesta Trimestral de Coste Laboral; índice de precios de consumo, cálculo de la obra)</w:t>
      </w:r>
      <w:r>
        <w:t>. La inflación interanual de agosto de 2026 fue del 4,3 %, la más alta desde febrero de 2023</w:t>
      </w:r>
      <w:r>
        <w:t xml:space="preserve"> (INE, índice general, cálculo de la obra)</w:t>
      </w:r>
      <w:r>
        <w:t>, y la Autoridad Fiscal prevé que en 2026 los salarios reales «disminuyan de manera moderada»</w:t>
      </w:r>
      <w:r>
        <w:t xml:space="preserve"> (AIReF, informe sobre los presupuestos iniciales de 2026, 15-4-2026)</w:t>
      </w:r>
      <w:r>
        <w:t xml:space="preserve"> (</w:t>
      </w:r>
      <w:r>
        <w:t>B.5</w:t>
      </w:r>
      <w:r>
        <w:t>).</w:t>
      </w:r>
    </w:p>
    <w:p>
      <w:r>
        <w:rPr>
          <w:b/>
        </w:rPr>
        <w:t>Las demás defensas de este cargo.</w:t>
      </w:r>
    </w:p>
    <w:p>
      <w:pPr>
        <w:pStyle w:val="ListBullet"/>
      </w:pPr>
      <w:r>
        <w:rPr>
          <w:i/>
        </w:rPr>
        <w:t>«Salarios y pensiones se actualizan con los precios».</w:t>
      </w:r>
      <w:r>
        <w:t xml:space="preserve"> </w:t>
      </w:r>
      <w:r>
        <w:rPr>
          <w:i/>
        </w:rPr>
        <w:t>Respuesta:</w:t>
      </w:r>
      <w:r>
        <w:t xml:space="preserve"> las pensiones, sí: la Constitución obliga a actualizarlas (art. 50). El salario medio subió de 2008 a 2024 un 35,0 %, y los precios, un 35,1 %: compra lo mismo que hace dieciséis años (</w:t>
      </w:r>
      <w:r>
        <w:t>8.3</w:t>
      </w:r>
      <w:r>
        <w:t>). Y el ahorro no se actualiza con nada (</w:t>
      </w:r>
      <w:r>
        <w:t>cargo 4</w:t>
      </w:r>
      <w:r>
        <w:t>).</w:t>
      </w:r>
    </w:p>
    <w:p>
      <w:pPr>
        <w:pStyle w:val="ListBullet"/>
      </w:pPr>
      <w:r>
        <w:rPr>
          <w:i/>
        </w:rPr>
        <w:t>«El salario mínimo ha subido más que los precios».</w:t>
      </w:r>
      <w:r>
        <w:t xml:space="preserve"> </w:t>
      </w:r>
      <w:r>
        <w:rPr>
          <w:i/>
        </w:rPr>
        <w:t>Respuesta:</w:t>
      </w:r>
      <w:r>
        <w:t xml:space="preserve"> la obra lo concede: de unos 554 euros de 2025 en 1970 a 1.184 en 2025. Pero no siempre: entre 1980 y 2005 bajó, en euros de hoy, de 826 a 774 (</w:t>
      </w:r>
      <w:r>
        <w:t>8.3</w:t>
      </w:r>
      <w:r>
        <w:t>). Y el salario medio real, con la serie actual de la OCDE, subió de 1993 a 2023 un 4,0 % en España, frente al 28,1 % en Francia y el 21,0 % en Alemania (</w:t>
      </w:r>
      <w:r>
        <w:t>cargo 10</w:t>
      </w:r>
      <w:r>
        <w:t>).</w:t>
      </w:r>
    </w:p>
    <w:p>
      <w:pPr>
        <w:pStyle w:val="ListBullet"/>
      </w:pPr>
      <w:r>
        <w:rPr>
          <w:i/>
        </w:rPr>
        <w:t>«Para las rentas más bajas se ha ampliado la reducción por rendimientos del trabajo».</w:t>
      </w:r>
      <w:r>
        <w:t xml:space="preserve"> </w:t>
      </w:r>
      <w:r>
        <w:rPr>
          <w:i/>
        </w:rPr>
        <w:t>Respuesta:</w:t>
      </w:r>
      <w:r>
        <w:t xml:space="preserve"> compensa una parte. La escala estatal no se actualiza desde la reforma de 2014, salvo un tramo añadido en 2021 por encima de 300.000 euros, y el mínimo del contribuyente sigue en 5.550 euros desde 2015, con una subida de los precios del 28,0 % (</w:t>
      </w:r>
      <w:r>
        <w:t>5.1</w:t>
      </w:r>
      <w:r>
        <w:t>, n.º 5).</w:t>
      </w:r>
    </w:p>
    <w:p>
      <w:pPr>
        <w:pStyle w:val="ListBullet"/>
      </w:pPr>
      <w:r>
        <w:rPr>
          <w:i/>
        </w:rPr>
        <w:t>«Cuando suben los precios, el Estado pierde como todos: tiene que actualizar pensiones y sueldos públicos y pagar más por lo que compra».</w:t>
      </w:r>
      <w:r>
        <w:t xml:space="preserve"> </w:t>
      </w:r>
      <w:r>
        <w:rPr>
          <w:i/>
        </w:rPr>
        <w:t>Respuesta:</w:t>
      </w:r>
      <w:r>
        <w:t xml:space="preserve"> también gana como nadie, porque es el mayor deudor del país: la subida de los precios le rebajó la deuda más de lo que pagó en intereses (contrapunto 3), y su IRPF sube solo.</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[37.00-27.1 a 27.8, con Is 1:22 y Am 8:5-6 en la Reina-Valera Antigua; 00.1-2.18 a 2.25 y 2.46 a 2.49, la reducción por rendimientos del trabajo como la dice 5.1, n.º 5, sin «algunas comunidades autónomas han actualizado su escala»: sin fila; 00.1-6.5 a 6.8; 00.2-15.9 a 15.12; 20.00-35.4 y 35.5, el salario real de la OCDE con la serie actual (07, 20.00-35.5); 20.00-35.16 y 35.17; 21.00-14.4 y 14.5, con las cifras de B.5: unas cinco décimas de 2025 (la pieza decía 0,7 y 0,9) y el 4,3 % de agosto de 2026; 25.00-11.2, 11.3, 11.6, 11.7, 11.10 y 11.11, sin la década perdida de Japón: sin fila]</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t xml:space="preserve"> (Ley 39/2015, art. 39.1)</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t>. La liquidación de un impuesto la dicta un órgano técnico con los datos del propio contribuyente. La ley ya obliga a la Administración a actuar con «Buena fe, confianza legítima y lealtad institucional»</w:t>
      </w:r>
      <w:r>
        <w:t xml:space="preserve"> (Ley 40/2015, art. 3.1.e)</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t xml:space="preserve"> (Ley 39/2015, art. 53.2.b)</w:t>
      </w:r>
      <w:r>
        <w:t>, y el Constitucional dijo que la presunción de inocencia «rige sin excepciones en el ordenamiento sancionador», y que la carga de la prueba corresponde «a quien acusa, sin que nadie esté obligado a probar su propia inocencia»</w:t>
      </w:r>
      <w:r>
        <w:t xml:space="preserve"> (STC 76/1990, FJ 8)</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t xml:space="preserve"> (Ley General Tributaria, art. 224.1)</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[37.00-29.1 a 29.7, con Jn 7:24 en la Reina-Valera Antigua; 00.2-12.1 a 12.4; 07.00-27.1 y 27.2; 09.00-7.4 y 7.5, la defensa que el capítulo 2 promete oír aquí; 19.00-35.8 y 35.9, la presunción de inocencia con la STC 76/1990 y no con la 18/1981 (07, 19.00-35.9). Leídos hoy en local: Ley 39/2015, arts. 47.1 y 53.2.b; Ley 40/2015, art. 3.1.e; Ley General Tributaria, art. 224.1; STC 76/1990, FJ 8]</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t xml:space="preserve"> (Dt 19:15)</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t xml:space="preserve"> (Ley 39/2015, art. 77.5)</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[37.00-30.1 a 30.8, con Dt 19:15 en la Reina-Valera Antigua; 00.2-12.5 a 12.8, «el castigo no es un negocio» con los textos de 3.2, P8; 20.00-35.14 y 35.15, la Zona de Bajas Emisiones con lo que dice 7.5; 22.00-13.10 y 13.11, sin «la del ciudadano debería prevalecer»: el Constitucional dijo que conviven. La STC 76/1990, FJ 8, leída hoy en local]</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t xml:space="preserve"> (Lc 12:2)</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t xml:space="preserve"> [original: «Finis ergo Reipublicae revera libertas est»]</w:t>
      </w:r>
      <w:r>
        <w:t xml:space="preserve"> (Espinosa, Tratado teológico-político, 1670, cap. XX)</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t xml:space="preserve"> (Ley 19/2013, art. 12)</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[37.00-32.1 a 32.7, con Lc 12:2 en la Reina-Valera Antigua; 00.00-6.8, Espinosa traducido de su latín (c9h), sin Kant y la publicidad: sin fila; 00.1-6.1 a 6.4 y 00.2-21.1 a 21.4, sin la nota del rescate del Banco de España ni la plantilla de la Casa del Rey: sin fuente leída; 15.00-17.14 y 17.15; 20.00-35.12 y 35.13, la auditoría de 2025 con su fila (c9e), sin los 105 millones de un estudio privado: anexo C; 20.00-35.18 y 35.19, sin los 990,8 millones ni «la cifra más alta en casi dos décadas»: sin fuente leída, y sin la comparación con el Reino Unido y Francia: sin fila; 20.00-35.20 y 35.21, BOSCO con «más de seis años» (07, 09.00-7.3) y la gasolina con lo que dice 8.5; 34.00-13.10 y 13.11. La Ley 19/2013, arts. 2.1.f y 12, leída hoy en local. Las omisiones son la defensa que el capítulo 8 promete oír aquí]</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t xml:space="preserve"> (Lv 19:32)</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[37.00-34.1 a 34.8, con Lv 19:32 en la Reina-Valera Antigua; 00.1-6.9 a 6.12; 00.2-21.5 a 21.8; el 6,6 % y el 10,9 %, cálculo de la obra con las pensiones y las medias de 8.6 (c5)]</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t xml:space="preserve"> (Ex 23:8)</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t xml:space="preserve"> (Constitución, art. 117.1)</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t xml:space="preserve"> (Constitución, art. 124.4)</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t xml:space="preserve"> [original: «The authorities of Spain have not reported any new development»]</w:t>
      </w:r>
      <w:r>
        <w:t xml:space="preserve"> (GRECO, Cuarta Ronda, segunda adenda al segundo informe de cumplimiento, 2024)</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t xml:space="preserve"> (Tribunal Constitucional, Memoria 2025)</w:t>
      </w:r>
      <w:r>
        <w:t>, fue la falta de «especial trascendencia constitucional» (</w:t>
      </w:r>
      <w:r>
        <w:t>7.2</w:t>
      </w:r>
      <w:r>
        <w:t>, n.º 3): un filtro que no está en la Constitución, sino en la ley que el propio sistema escribió. Y las providencias de inadmisión «especificarán el requisito incumplido»</w:t>
      </w:r>
      <w:r>
        <w:t xml:space="preserve"> (Ley Orgánica del Tribunal Constitucional, art. 50.3)</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24; 00.1-4.26 a 4.30, la defensa del amparo que el capítulo 5 promete oír aquí; 10.00-18.10 y 18.11, sin los 40 decretos-leyes frente a 74 leyes (van las cifras de la CEOE en el cargo 12) y con el Fiscal General por el texto del art. 124.4; 13.00-13.2, 13.3, 13.6, 13.7, 13.10 y 13.11, el Tribunal de Cuentas que el capítulo 6 promete oír aquí, sin «ninguno de los grandes casos de corrupción surgió de sus fiscalizaciones» ni los cuatro magistrados del Constitucional con el mandato caducado desde diciembre de 2025: sin fila; 15.00-17.4 a 17.7, sin la «mediación europea» ni la reforma fracasada en febrero de 2025: sin fila; el 57,8 % y «ninguna novedad», con su fila (c7b: Memoria 2025 del Tribunal Constitucional y GRECO 2024); 15.00-17.30 y 17.31, el freno que funcionó, que el capítulo 7 promete oír aquí; 16.00-13.6, 13.7, 13.10 y 13.11, con «un voto particular de tres magistrados» de 7.3; 18.00-7.8 y 7.9. Ex 23:8 entero en la Reina-Valera Antigua (c3; 3.2 cita solo la primera mitad), a petición de Kiko, para que la vara hable también de la justicia. Leídos hoy en local: Constitución, arts. 117.1 y 124.4; Ley Orgánica del Tribunal Constitucional, art. 50.3, que la fila del registro atribuía a la Constitución]</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 xml:space="preserve"> (Constitución, art. 31.1)</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t xml:space="preserve"> (Ley 20/2007, art. 38 ter)</w:t>
      </w:r>
      <w:r>
        <w:t>; su cuantía la fija cada ley de presupuestos, y los 80 euros al mes solo constan, en la Ley 31/2022, para quienes se dan de alta en Cuenca, Soria y Teruel, durante 36 meses</w:t>
      </w:r>
      <w:r>
        <w:t xml:space="preserve"> (Ley 31/2022)</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25; 00.1-2.10 a 2.17, la defensa de las cotizaciones y de la presión fiscal que el capítulo 5 promete oír aquí, con el 37,3 % de 2024 (8.4) en lugar de «en torno al 38 %»; 21.00-14.2, 14.3 y 14.8 a 14.11, con la cuota reducida del art. 38 ter y sin los 80 euros salvo en Cuenca, Soria y Teruel, sin la gestoría de 700 a 1.500 euros (no entra: cifras revisadas del 11) y sin las 259 normas (van las 894 de 2024, cargo 8); 22.00-13.6 a 13.9, con Laozi, cap. 57, ya en el cargo 8; 34.00-13.4 y 13.5, con el 6,6 % y el 10,9 % rehechos con las cifras de 8.6 (cargo 23), sin «parte exentos de impuestos»: sin fila; y la defensa de que el sueldo público es mayor por la cualificación, con lo que dice 8.6 (comparación en bruto). Lc 3:13 y 1 R 12:14 en la Reina-Valera Antigua (3.2). Leídos hoy en local: Constitución, arts. 31.1 y 133]</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t xml:space="preserve"> (Constitución, art. 9.3)</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t xml:space="preserve"> (Ley 39/2015, art. 67.1)</w:t>
      </w:r>
      <w:r>
        <w:t>. Y si la Administración no contesta en seis meses, «podrá entenderse que la resolución es contraria a la indemnización del particular»</w:t>
      </w:r>
      <w:r>
        <w:t xml:space="preserve"> (Ley 39/2015, art. 91.3)</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t xml:space="preserve"> (Ley Orgánica del Poder Judicial, art. 293.1)</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t xml:space="preserve"> (STS 291/2022, de 8-III (recurso 183/2021))</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26; 09.00-7.6 y 7.7, la defensa que el capítulo 2 promete oír aquí, sin las «fianzas» de la afirmación (no están ancladas en la edición), sin «no se ha localizado publicada ninguna estadística» (sin fila: va como pregunta y como límite honesto); 31.00-8.2 a 8.11, con las citas de las Leyes 39/2015 (arts. 67.1 y 91.3) y LOPJ (art. 293.1) desde su fila del registro, sin «considerablemente cercenado» ni «muy difícil su aplicación en la práctica» (flecos: sin autor ni título), sin que la directiva incluya programas e inteligencia artificial (sin fila) y con los «más de seis años» de BOSCO en lugar de «siete años de litigio» (07, 09.00-7.3); la lectura de Kiko «¿quién es el responsable que dé la cara?» (libreta 75, 7 bis n.º 9, material de Kiko para la parte 2), con los hechos de 11.2, n.º 17. Lv 6:4-5 en la Reina-Valera Antigua (5.2). Leído hoy en local: Constitución, art. 9.3]</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t xml:space="preserve"> (Constitución, art. 14)</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t xml:space="preserve"> (Convenio de Estambul, art. 48.1)</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27; 28.00-9.2 a 9.9, la ocupación y las visitas que el capítulo 7 promete oír aquí; la «falta de una cifra oficial» de 28.00-9.3, con lo que dice 10.7 (Interior cuenta los delitos, no el fenómeno completo); el Convenio de Estambul, art. 48.1, y su ratificación, desde su fila del registro (c9d, n.º 110, BOE-A-2014-5947); sin «parte de la doctrina la critica»: sin fila. Pr 18:17 en la Reina-Valera Antigua (11.1). Leído hoy en local: Constitución, art. 14]</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 </w:t>
      </w:r>
      <w:r>
        <w:t>[26.00-8.5]</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28; 26.00-8.2 y 8.3, la reconversión que el capítulo 8 promete oír aquí, sin los 1,5 billones de pesetas y los 83.000 empleos (no entran: cifras revisadas del 11) ni los 430 días de Sagunto (flecos: sin descargar), y sin que la entrada en la Comunidad Europea exigiera el ajuste (sin fila); 26.00-8.4 y 8.5, los 25.564 millones con las dos cifras anuales de 8.7, sin «ayudaron a cumplir los criterios de entrada en el euro» (sin fila); 26.00-8.6 y 8.7, el salario real con la serie actual de la OCDE (07, 20.00-35.5); 26.00-8.8 y 8.9, con el 9,63 % de 8.7 en lugar de «en torno al 10 %». Pr 20:10 en la Reina-Valera Antigua (5.2)]</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r>
        <w:t>[37.00-37.1, con veintiocho cargos en lugar de veintitrés; 37.00-35.1, fuera: los cargos históricos eran del pilar 10, y los quince pilares salen de la obra (Kiko, 7-oct); libreta 75, 7 ter n.º 1: la lectura del autor sobre la presunción y el honor, sin lo que aún falta leer en su original (que las tradiciones convergen en el honor y la historia de los títulos de nobleza) y sin «seres poseídos por los susurros»; Mt 5:37 en la Reina-Valera Antigua (5.2). Las líneas de entrada y de fuentes de las secciones de defensa de cada pieza, ya usadas cargo a cargo, solo como trazabilidad: 01.00-17.10, 02.00-23.1 y 27.3, 03.00-34.1 y 34.12, 04.00-8.12, 05.00-12.10, 07.00-23.1 y 28.3, 08.00-7.1 y 7.10, 09.00-7.1 y 7.10, 10.00-18.1 y 18.18, 11.00-14.1 y 14.10, 12.00-6.1 y 6.10, 13.00-13.1, 14.00-8.1, 15.00-17.1, 16.00-13.1, 17.00-222.1, 18.00-7.1, 19.00-35.1, 20.00-35.1 y 35.24, 21.00-14.1, 22.00-13.1, 23.00-6.1 y 6.10, 24.00-9.1 y 9.12, 25.00-11.1 y 11.12, 26.00-8.1 y 8.12, 27.00-7.1 y 7.12, 28.00-9.1 y 9.12, 29.00-8.1 y 8.10, 30.00-170.1, 31.00-8.1 y 8.12, 32.00-21.1, 33.00-9.1 y 9.12, 34.00-13.1 y 35.00-6.1 y 6.12]</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xml:space="preserve">). Las objeciones vienen de los capítulos 6 a 9; las que decían lo mismo con otras palabras se oyen una sola vez. </w:t>
      </w:r>
      <w:r>
        <w:t>[00.0-6.1 y 6.2; clasificación de las defensas, aprobada: 11.4]</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t xml:space="preserve"> (texto refundido de la Ley Concursal, art. 1.3)</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t>[00.0-6.3 y 6.4; la Ley Concursal, con las palabras de 5.1, n.º 7]</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t xml:space="preserve"> (Constitución, art. 50)</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t>[00.0-6.5 y 6.6; Constitución, art. 50, leído hoy en local]</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t>[00.0-6.7 y 6.8]</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t>[00.0-6.9 y 6.10]</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t xml:space="preserve"> (Constitución, art. 9.1)</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r>
        <w:t>[00.0-6.11 y 6.12]</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t xml:space="preserve"> (Constitución, art. 87.3)</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t>[13.00-13.16 y 13.17, sin que la revisión total «nunca se ha activado» (sin fila); Constitución, art. 87.3, leído hoy en local]</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t>[14.00-8.10 y 8.11; la defensa que el capítulo 7 promete oír aquí]</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t>[18.00-7.10 y 7.11, sin «en menos de dos semanas» (la obra tiene las fechas de las votaciones, no la de la propuesta) ni que la revisión total «nunca se ha activado» (sin fila); 17.00-244.1 y 244.2, con lo que dicen 8.1 y 5.2, sin «las cuatro reformas, sin referéndum» ni el «autobloqueo» (sin fila)]</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t xml:space="preserve"> (Constitución, art. 1.1)</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r>
        <w:t>[18.00-7.12 y 7.13, la lectura de conjunto, que el capítulo 7 promete oír aquí; 34.00-13.12 y 13.13, la conclusión de conjunto, que promete el capítulo 8: son la misma defensa, y se responde una vez. Constitución, art. 1.1, leído hoy en local]</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t>[19.00-35.2 y 35.3]</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r>
        <w:t>[19.00-35.4 y 35.5, sin «la red de conflictos de interés» de Islandia: va lo que concluyó su comisión, en 9.2]</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t>[29.00-8.4 y 8.5, sin el «récord» de reclamaciones (10.2 da la cifra) ni «cuando los sociólogos esperaban lo contrario» (sin fila)]</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t>[29.00-8.8 y 8.9; la defensa que el capítulo 8 promete oír aquí]</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r>
        <w:t>[clasificación de las defensas, aprobada, 11.4: catorce defensas, trece aquí, porque la lectura de conjunto y la conclusión de conjunto son una sola; 00.0-6.13 y 6.14, dónde está la prueba y las fuentes de la sección; Pr 20:10 en la Reina-Valera Antigua (5.2)]</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 </w:t>
      </w:r>
      <w:r>
        <w:t>[00.0-10.14; glosario 8.12]</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 xml:space="preserve">). </w:t>
      </w:r>
      <w:r>
        <w:t>[00.1-10.1]</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r>
        <w:t>[00.1-11.1 a 26.1, con su destinatario; las que repiten la pregunta de un cargo, solo nombradas: 00.1-11.2, 12.2, 13.3, 14.1, 16.1, 16.2, 17.1, 18.1, 20.1, 23.1 y 24.1, y la primera mitad de 17.2]</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r>
        <w:t>[00.1-29.1; capítulos 5, 8 y 9]</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r>
        <w:t>[00.0-10.16; 00.1-29.1, palabras del autor]</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 xml:space="preserve">Todo este apartado es la voz del autor, y se lee como lectura del autor: no añade hechos. Los que nombra ya están probados en su capítulo, y se remite a él. Es la consecuencia práctica de todo lo anterior: pedir que quien ya lo sabe, actúe. </w:t>
      </w:r>
      <w:r>
        <w:t>[00.00-12.4]</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t>[00.00-1.1, el llamamiento breve que el capítulo 2 remite aquí, y 00.00-12.1, sin «hermanas y hermanos que ya han madurado»: nadie se declara maduro a sí mismo (glosario 9.2; 2.5); Stg 4:17 en la Reina-Valera Antigua (10.1)]</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t>[00.00-12.2]</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t xml:space="preserve"> (Lc 14:14)</w:t>
      </w:r>
      <w:r>
        <w:t xml:space="preserve"> (</w:t>
      </w:r>
      <w:r>
        <w:t>anexo I</w:t>
      </w:r>
      <w:r>
        <w:t xml:space="preserve">). Y «despiértate, tú que duermes» se dice unas líneas más abajo. Lo que arrojan los datos de la salud y de la familia se mide en </w:t>
      </w:r>
      <w:r>
        <w:t>8.10</w:t>
      </w:r>
      <w:r>
        <w:t>.</w:t>
      </w:r>
    </w:p>
    <w:p>
      <w:r>
        <w:t>[04c, «Las improntas y la misma justicia para todos» (Kiko, 8-oct), y 04n, Q17 (Kiko, 9-oct: «Sí a todas»); el párrafo que lo sostiene, en 4.4 (B7); lectura del autor, sin afirmar causas que no están leídas en ninguna fuente; la segunda pregunta, con las palabras de Kiko del 9-oct (04p, fila 41, «Sí a las tres», chat de 07): sin cifras de suicidios, divorcios ni antidepresivos hasta que el agente de indicadores sociales las confirme; «la sociedad es una catástrofe» y «todo esto es un chiste y un juego» quedan como opinión del autor, no como hecho, y «la vida es un juego» entra en 4.3 con el B7]</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t>[00.00-12.3 y 13.1; la cita, con Mt 20:28, ya leído en la Reina-Valera Antigua (3.6); Mc 10:45, que daba la pieza, está también en la Reina-Valera Antigua y dice lo mismo con otras palabras (leído el 12-oct-2026)]</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t xml:space="preserve"> [original: «he will suffer sharp pains; the glare will distress him, and he will be unable to see the realities of which in his former state he had seen the shadows»]</w:t>
      </w:r>
      <w:r>
        <w:t xml:space="preserve"> (Platón, República VII, 515c, traducción inglesa de Jowett)</w:t>
      </w:r>
      <w:r>
        <w:t>. Lo que esta obra expone puede doler. No es un ataque: es la luz.</w:t>
      </w:r>
    </w:p>
    <w:p>
      <w:r>
        <w:t>[00.00-6.5; Jowett leído hoy en local (c9h, entrada 64)]</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t xml:space="preserve"> (Ef 5:14)</w:t>
      </w:r>
      <w:r>
        <w:t>.</w:t>
      </w:r>
    </w:p>
    <w:p>
      <w:r>
        <w:t>[00.00-13.2 y 13.3, con Ef 5:14 en la Reina-Valera Antigua (07: sobraba «entre»; c9g, entrada 22)]</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t>[Kiko, 9-oct, chat de 08, al aprobar el B5: «hay que hacer un matiz y pedir que no se confunda la expresión Cristo ni se intente hacer ningún tipo de correlación conmigo. Yo tan solo soy un aprendiz. Cuando se refieren a Cristo, concretamente están hablando de la energía crística, que es aquella que sigue al ser más elevado que ha pisado esta realidad en diferente línea temporal. Es un tipo de energía cristalina completamente alineada en su virtud, en todos los aspectos de su obra y existencia»; glosario 9.2: nadie se declara justo ni maduro a sí mismo]</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t>[glosario 9.2, redacción aprobada por Kiko el 5-oct; la invitación que el capítulo 2 remite aquí]</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t>[Kiko, chats de 08.18 y 08.19, 12-oct-2026, filas 463 a 465 de la libreta de las ventanas y parlamento del hilo de la poda (08/20), apartados 10 a 12; borrador B14 v2; lectura del autor, sin dato nuevo; las citas, ya en la obra]</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t xml:space="preserve"> (Ex 3:7)</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t xml:space="preserve"> (Stg 5:4)</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t xml:space="preserve"> (nota de la Asociación de Directoras y Gerentes de Servicios Sociales, 10-4-2026, con datos del Ministerio)</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t xml:space="preserve"> (Mt 13:9)</w:t>
      </w:r>
      <w:r>
        <w:t>.</w:t>
      </w:r>
    </w:p>
    <w:p>
      <w:r>
        <w:t>[00.00-2.23, con Mt 13:9 en la Reina-Valera Antigua (c9g); glosario 9.3, el texto aprobado por Kiko el 5-oct, con el «último aviso» una sola vez en toda la obra; Catecismo, n.º 1867 (0.3); Ex 3:7 y Stg 5:4 leídos hoy en local en la Reina-Valera Antigua; Jub 11:4 (4.3), Ef 6:12 (4.2) y Ez 33:11 (4.3); libreta 75, 7 ter n.º 2: «clama al cielo», no «lesa humanidad» (8.1, «El límite de las palabras»), decidido por Kiko el 7-oct; el cuarto clamor, la dependencia, decidido por Kiko el 7-oct como lectura del autor, con las cifras de 8.5 y la subida de la lista leída hoy en local (c8c, nota de 10-4-2026); el séptimo sello (Ap 8:1) no entra aquí: lo que dice el texto está en 3.7; Ex 22 y Dt 24:14-15, los pasajes en que el Catecismo apoya los clamores de la viuda y del asalariado, sin leer en la Reina-Valera Antigua]</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r>
        <w:t>[Kiko, 9-oct, chat de 07: «la frase que más invita a reflexionar» (la misma que cierra G.0, «Los dos propósitos», y «La brújula», 10.9) y la pregunta del legado, con sus palabras, que solo va aquí]</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ListBullet"/>
      </w:pPr>
      <w:r>
        <w:rPr>
          <w:b/>
        </w:rPr>
        <w:t>La lista de lo que no entra:</w:t>
      </w:r>
      <w:r>
        <w:t xml:space="preserve"> el Tribunal Russell y el Tribunal Permanente de los Pueblos; la frase de Dworkin; que las corporaciones no pudieran ser excomulgadas; el presidente de la Reserva Federal y el del Bundesbank; la tradición mesoamericana; que la revisión total «nunca se ha activado», el «autobloqueo», «las cuatro reformas, sin referéndum» y «en menos de dos semanas»; los «quince días» de la Mesa del Congreso; la frase de Rousseau leída como justificación del Terror; las sanciones del Tribunal de Cuentas a los partidos; «ninguno de los grandes casos de corrupción» surgido de sus fiscalizaciones; la abolición en la Península en 1837; los nueve códigos y la sentencia de las cláusulas suelo; los 40 decretos-leyes frente a 74 leyes y las 259 normas; que «casi nadie» reclame los intereses de demora; que el Banco de España «dejó de publicar» su nota del rescate; el IBI; los doce años de la financiación autonómica; el 68,0 % del organigrama; el plan sanitario vencido en 2023; el 1,5 % y el 2,4 % del PIB de la infancia; los tipos al 17 %; que el Director General del Tesoro «emite la deuda»; los 77.437 millones hasta 2018; que quien recibe primero el dinero nuevo gaste a precios antiguos; las escalas autonómicas del IRPF; los 0,7 y 0,9 puntos de poder adquisitivo de 2025 y el 4,3 % de agosto de 2026; la década perdida de Japón; Kant y la publicidad; los 990,8 millones de publicidad institucional; la renovación del Consejo General del Poder Judicial de 2024 y la reforma fracasada de 2025; los magistrados del Constitucional con el mandato caducado; la gestoría de 700 a 1.500 euros; «parte exentos de impuestos»; que las Clases Pasivas respondan a carreras largas; «considerablemente cercenado»; que la directiva europea incluya los programas y la inteligencia artificial; «parte de la doctrina la critica»; que la entrada en la Comunidad Europea exigiera la reconversión, los criterios del euro y las cifras de Sagunto; las «fianzas» de la afirmación; el «récord» de reclamaciones de 2025; la «red de conflictos de interés» de Islandia; que todas las tradiciones convergen en el honor, sin leer en su original; Mc 10:45, que se leyó después y dice lo mismo que Mt 20:28, que es el que se cita (</w:t>
      </w:r>
      <w:r>
        <w:t>3.6</w:t>
      </w:r>
      <w:r>
        <w:t xml:space="preserve">); y el séptimo sello (Ap 8:1), que se leyó después y va en </w:t>
      </w:r>
      <w:r>
        <w:t>3.7</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r>
        <w:t>[clasificación de las defensas, aprobada: las tres reglas]</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r>
        <w:br w:type="page"/>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(e) *habeas corpus*, en cursiva, la vez que iba sin ella (07/herramientas/aplicar_cinco_de_forma.py). Ninguna otra palabra cambia. Cambio del 12-oct-2026 (errata de alcance, hallada al escribir: la vio 10.29 y la comprobaron 08.19 y 07.6 en la fuente, en local): en A.8, art. 133.1, y en A.9, art. 157, «18 normativas distintas de Sucesiones y Donaciones (una por comunidad autónoma)» pasa a lo que dice el informe de AEDAF (2019, p. 150): tantas regulaciones distintas como comunidades de régimen común, junto a la estatal, la ley foral navarra y las tres normas forales vascas; la fuente no dice «18» ni «una por comunidad», y las comunidades son 17. Ninguna otra palabra cambia. Cambio del 12-oct-2026 (Kiko, chat de 08.18, 06:3x, pasado por 08.18 tal cual, a «¿das el sí a los nueve cambios de 07.6?»: «si»; borrador B13, el barrido de los cuantificadores vagos en las frases con dato): en A.8, art. 133.1, las renuncias a herencias ya no van «pendiente de contraste»: el informe de AEDAF está en local (p. 148, con datos del Notariado) y dice que se triplicaron en Andalucía, Asturias, Extremadura y Murcia, y por qué; A.9 ya lo daba por verificado. Ninguna otra palabra cambia. Cambio del 9-oct-2026 (Kiko: «sobre todo el resto de lo que me has presentado, tienes mi confirmación»; art. 8): quitada la frase «La cumbre de La Haya (junio de 2025) fijó un nuevo objetivo del 5 % para 2035; España se desmarcó manteniendo su propio 2,1 %» y su fuente, «declaraciones de la cumbre de la OTAN de La Haya (VI-2025)»: ni la declaración de La Haya ni la nota oficial del Gobierno (22-VI-2025) están leídas en su fuente, y el informe de la OTAN de agosto de 2025 (descargado) da a España 1,43 % en 2024 y 2,00 % estimado en 2025, no 2,1 %. El INCUMPLE del art. 8 se apoya en las cifras de la OTAN, que quedan; no cambia ningún recuento ni porcentaje. Cambio del 8-oct-2026 (fase de reparación, quinta tanda; art. 41): quitada la serie «del 20,2% en los años 80 al 70% en 2024» de la cobertura del desempleo, que no tiene fuente localizable (la libreta 16 la daba SIN VERIFICAR); queda la cifra leída, 81,16% en noviembre de 2025 (nota de prensa del Ministerio de Trabajo). Cambio del 8-oct-2026 (fase de reparación, quinta tanda; art. 137): la frase «las transferencias suponen más del 40% de la financiación local, hasta el 76% en comarcas» no está en el informe del Consejo de Europa que cita (CG(2021)41-07, que acompaña a la Recomendación 465) y la libreta 16 la tenía sin verificar; se pone la cifra que sí dice (35,8 % de los ingresos locales son transferencias; 20,25 %, del Estado) y el original inglés de la cita. Cambio del 8-oct-2026 (fase de reparación, comparación de «La norma» con el BOE, herramientas/norma_vs_boe_anexo_A.py): las fichas de los arts. 144, 153 y 160 llevaban la cita acortada con la puntuación cambiada o sin las letras a), b)…; ahora llevan el texto del BOE tal cual (166 de 169 coincidían; ahora, 169). ESTADO: APROBADO por Kiko (7-oct-2026: «sí»; conversación del aviso PASO 3.8, en Sonnet 5.5). Paso 3, el último anexo. Sale de la pieza 17.00 (la auditoría completa de la Constitución, archivo congelado), con herramientas/borrador_anexo_A.py y los parches de herramientas/parches_anexo_A_*.py; la lista de lo que lleva sin fuente leída, en herramientas/hojas/lista_sin_leer_anexo_A.md. Plan aprobado por Kiko («sí a las tres», 7-oct): un apartado por título de la Constitución, en su orden; la misma ficha para cada artículo (la norma, el hecho con su fuente, el estado, el «Frenado por» y la declaración formal externa); y donde el capítulo 7 (7.3) ya cuenta el caso entero, la ficha lleva solo lo que 7.3 no dice y remite. Es anexo de consulta: lleva su propia defensa, título por título. Escrito en tres niveles y con remisiones enlazables. Leído hoy en su original (en local): - Real Decreto-ley 32/2021 (c9d, BOE-A-2021-21788): su nueva redacción del art. 84.2 del Estatuto de los Trabajadores da la prioridad aplicativa del convenio de empresa en las materias que enumera, y la cuantía del salario no figura entre ellas (art. 37.1). La ultraactividad, sin leer: va a flecos. - Real Decreto 170/2026, de 4 de marzo, apartado sexto (c9h): la oferta de un máximo de 500 plazas de reservista voluntario (art. 30). Cambio del 8-oct-2026 (aplicación de la investigación final de flecos; Kiko: «todo lo que se haya rescatado con fuente vamos a aplicarlo a la obra»): las fichas de los arts. 2, 24, 36, 37.1, 39, 43, 44, 57.5, 58, 61, 65, 75.3, 83, 85, 94.1, 99, 107, 112, 114, 115, 117.5, 118, 123, 134, 135, 139, 144, 146, 148, 161.2, 167, 168 y 169, y el cierre de A.4, llevan los hechos leídos en su fuente el 7-oct. Los estados no cambian. El art. 168 se mantiene INCUMPLE (Kiko, 8-oct): la sinopsis oficial del Congreso ve el procedimiento agravado como «una garantía», y la ficha lleva esa frase a la vista junto a su estado. Análisis de lo pendiente (8-oct): los arts. 13, 64, 66.2, 71.2, 80 y 91 llevan ahora su hecho leído en su fuente. Por decisión de Kiko (8-oct, «sí, hazlo así»), los arts. 7 y 110 pasan de INCUMPLE a PENDIENTE: el recuento es 93 / 70 / 6, el organigrama del poder queda en 29 que incumplen (28,2 %) y 4 pendientes, y la columna de declaraciones formales externas de la tabla por títulos suma ya 23 (el art. 159 se había quitado en el texto y no en la tabla). Cambio del 8-oct-2026 (aviso PASO 4.8; Kiko: pasar el art. 111 a PENDIENTE «y yo añadiría falta de datos disponibles al público, auditables»; art. 136 «si lo veo más apropiado»): el art. 111 pasa de INCUMPLE a PENDIENTE (ninguno de los hechos leídos muestra que el Gobierno eluda las preguntas, y el Congreso publica cada pregunta con sus fechas pero no hay un conjunto de datos abiertos de las preguntas escritas con que auditar los plazos en bloque); el recuento es 93 / 69 / 7, el organigrama del poder queda en 28 que incumplen (27,2 %) y 5 pendientes (4,9 %), el freno actúa en 10 de 38 de sus casos (26,32 %) y la amenaza acumulada del organigrama es el 36,9 %. El art. 136 se mantiene INCUMPLE con el hecho del BOE de 6-I-2023 y la revisión entre pares de 2015 en la ficha; se quita del contrapunto 3 del Título VII la frase sin fuente sobre los grandes casos de corrupción (ya la había quitado el capítulo 11). Hallado al escribir (erratas ya en el 07 con el paso 2; la edición lleva la versión de la fuente): - 17.00-4.2: el Acuerdo del Govern de 13-XI-2018 dice que la afectación al presupuesto «supera los 1.800 M» por pérdida, bloqueo o retraso; el impacto directo fue de más de 130 M; los 234 son trabajadores públicos cesados, 33 altos cargos. - 17.00-10.2: «excesivamente permisiva y carente de motivación» califica un contrato concreto de la UGT (Informe 1.055). - 17.00-11.2: la OTAN da 1,28 % (junio de 2024), 1,43 % (2025) y 1,42 % (dato cerrado, 2026); el 1,24 % no figura. - 17.00-16.2: «capacidad natural o madurez suficiente» no está en ninguna norma (Ley 25/2010, art. 211-3.1; Código Civil, arts. 154 y 156). - 17.00-19.1 y 48.2: la pensión media de jubilación de las mujeres es un 31,1 % menor (2024), no un 45 % ni un 43 %. - 17.00-22.2: el 28,5 % y el 15,4 % son el peso de la casilla «solo Iglesia» sobre la cuota íntegra, no «del total asignado». - 17.00-24.1: la frase es de la STC 73/2021; la del confinamiento es la STC 49/2022; son cinco sentencias, no seis. - 17.00-35.1: la STC 245/1991 sí dio efecto a la sentencia del TEDH y anuló las condenas firmes. - 17.00-49.2: «criterios orientativos», no «orientadores»; «numerosas barreras de acceso y ejercicio» es de la CNC (2012). - 17.00-51.2: el Banco de España: un 10 % más de regulación, un 0,5 % menos de empleo en las empresas de menos de 10 personas. - 17.00-65.2: los 3.700 millones son la estimación de las entidades, no lo devuelto. - 17.00-81.2: la frase de la STC 5/1987 es el argumento del Gobierno Vasco, que el Tribunal rechaza; la STC 8/1987 dice «pues». - 17.00-89.2: el índice de Gallagher de 2023 sale 5,8, no 7,75. - 17.00-94.2: el 26-X-2015 es la disolución de las Cortes; el cese del Gobierno es del 21-XII-2015. - 17.00-98.2: el Congreso derivó 380 de 386 peticiones y el Senado 78 de 167; «todas» es el título de un blog. - 17.00-102.2: la STC 108/1986 no trató de una proposición de ley. - 17.00-110.1: las SSTC 61/2018 y 14/2020 anularon solo en parte; los «datos reales» de desahucios eran de los recurrentes. - 17.00-113.2: 500.000 firmas son el 1,33 % del censo del 23-VII-2023. - 17.00-115.2: la frase «excluyendo la toma en consideración…» es del comentario oficial del Congreso. - 17.00-116.2: el Senado dijo «ha de entenderse que el Pleno del Senado ha vetado el texto»; hay un conflicto ante el TC. - 17.00-118.2: la participación de 2005 fue del 41,77 %; el 56,85 % de la OTAN solo cuenta «sí» y «no». - 17.00-126.1: el informe de 2026 dice «capacidad limitada», no «falta de independencia orgánica». - 17.00-136.1: no condenó el Supremo, sino la Audiencia Provincial de Vizcaya (SAP 82/2018). - 17.00-138.2: los 2,07 millones son solo prisión preventiva indebida (140 indemnizaciones, 2000 a 2019). - 17.00-141.2: la frase es del comentario del Congreso al art. 108, con otras palabras. - 17.00-157.2: «desobediencia inteligente» no está en la STS 162/2022. - 17.00-168.2: la STC 35/1995 trata de la presunción de inocencia, no de la policía judicial. - 17.00-172.2 y 172.3, 173.3, 177.2, 179.1, 181.2, 188.2, 201.2, 202.2 y 203.2: citas y títulos puestos como en la fuente. Hallado al aplicar la investigación final de flecos (8-oct-2026; erratas ya en el 07, la edición lleva la versión de la fuente): - 17.00-35.1: el detenido quedó libre dos días después de la rueda de prensa, no tres. - 17.00-52.2, 120.2, 195.2 y 49.2: UNICEF y la CNMC dicen lo que dicen sus páginas (sin su fuente de datos); la Oficina del Parlamento Europeo no habla de «origen»; los 81 países son los del libro de 2016 y la base actual da 95; lo de los organismos internacionales lo dice la CNMC. - 17.00-56.2 y 185.2: 50 y 173 días (no 48 y 176); el Plan OPTIMA valenciano no corrige la diferencia entre Madrid y Andalucía y no entra. - 17.00-57.2: la UE-27 estaba en el 2,26 % del PIB, no «en torno al 2,2». - 17.00-128.2, 129.2 y 219.2: 14 investiduras con éxito y 4 sin él (no 16, 13 y 3); la LO 2/2016 «reduce», no «penaliza»; la reforma de 1992 tardó 52 días y la lectura única fue solo en el Congreso. - 17.00-139.2, 156.2, 157.2 y 164.2: el 99 % es de las resoluciones que conoce el Consejo de Estado; el jurado cayó de 785 procedimientos a 364 por «una restrictiva interpretación de las normas de conexión y de la competencia»; la formulación literal de la STS 162/2022; la LO 1/2025 unifica el interés casacional, no lo introduce. - 17.00-177.2 y 191.2: seis ejercicios con presupuestos prorrogados de 2018 a 2026 (no «diez desde 1978», sin confirmar); los Estatutos de Ceuta y Melilla son de 13 de marzo de 1995 (publicados el 14). - 17.00-181.2: el informe del Consejo de Europa (CG(2021)41-07) da las transferencias como el 35,8 % de los ingresos locales (20,25 % del Estado); el «más del 40 %, hasta el 76 % en comarcas» no figura en él. - 17.00-54.2: la serie «del 20,2 % en los años 80 al 70 % en 2024» no tiene fuente localizable (la cobertura de noviembre de 2025, 81,16 %, es de la nota del Ministerio de Trabajo); se quitó. No entra todavía (sin fuente leída o sin fila en el registro); cada cosa queda en 05 FLECOS, para leerla en su fuente y completarla (Kiko: «nunca fuera»): - 17.00-4.2: el día 2-VI-2018 (toma de posesión del nuevo Govern) en una fuente oficial; la cifra de 314 cargos cesados, de prensa, no entra. - 17.00-6.2: la fecha de la sentencia de Erandio (26-III-2026) y su texto, sin leer en su fuente. - 17.00-10.2: el caso FORCEM de 1992 (la petición de la Fiscalía y lo que halló el Tribunal de Cuentas), sin documento detrás; solo el informe de 2014 sobre la Fundación Tripartita tiene fuente. - 17.00-11.2: que en agosto de 2025 el Gobierno se negara a entregar los informes que justifican el 2,1 %, sin fuente localizable. - 17.00-17.2: las cifras de días por oficina (152, de 120 a 210 y de 90 a 180), de despachos y testimonios, y que el silencio sea denegación en la primera solicitud de residencia, sin leer en su fuente. - 17.00-25.2: la fecha del segundo archivo del caso Pegasus contra teléfonos del Gobierno (22-I-2026), sin leer en su fuente. - 17.00-38.2: la denuncia ante el Tribunal de Cuentas en tramitación (mayo de 2026), sin leer en su fuente. - 17.00-49.2: el detalle de las barreras (colegiación obligatoria, restricciones territoriales, límites a precios y publicidad) y lo que digan el FMI, la OCDE y la UE en sus propios documentos, sin leer en su fuente. - 17.00-50.2: que no se hallara caso de incumplimiento de convenio por el Estado como empleador, sin leer en su fuente. - 17.00-52.2: la fuente y el año de los datos de UNICEF España, que la noticia no da. - 17.00-54.2: la cobertura del desempleo por sexo (83,8 % de hombres frente a 71,3 % de mujeres), no localizada. - 17.00-60.2: los 1.648 bienes de la Lista Roja de Hispania Nostra el 20 de septiembre de 2026, de un contador vivo en su web, sin leer en un documento cerrado. - 17.00-65.2: la cifra de ADICAE (17.500 millones para unos 3,8 millones de hipotecas, solo en prensa) y que solo un tercio de los afectados recuperara su dinero por el arbitraje de 2016. - 17.00-79.1: que un análisis académico encuentre «un importante sesgo temporal e ideológico» en los indultos: la frase literal no se ha localizado. - 17.00-81.2: el indulto a una expresidenta del Parlament del 29-VII-2026 firmado por el Rey y refrendado por un ministro, sin documento detrás. - 17.00-83.1: la seguridad no desglosada que, según REMCO, podría subir los 105 millones. - 17.00-86.2: las comisiones de investigación del Senado desde 2023 y las acusaciones cruzadas («cauce paralelo», «manipular el comportamiento electoral»), solo de prensa, sin leer en su fuente. - 17.00-89.2: que un catedrático califique el sistema español de «el más mayoritario entre los proporcionales» y atribuya la desproporción al prorrateo provincial, no a la fórmula D'Hondt: la frase no está en ninguna fuente hallada. - 17.00-92.2: los 56 suplicatorios desde 1977, el suplicatorio a puerta cerrada y los pactos de investidura, sin leer en su fuente. - 17.00-94.2: que un órgano oficial (CEPC) califique el periodo de «coyuntura constitucional ciertamente novedosa», sin leer en su fuente. - 17.00-96.2: lo que diga el Reglamento del Senado sobre la delegación en comisión y que no se localizara ningún caso de tramitación indebida, sin leer en su fuente. - 17.00-101.2: que no exista estadística pública de sesiones secretas desde 1978 (una ausencia no se prueba), sin leer en su fuente. - 17.00-104.2: que no se localizara ningún decreto legislativo anulado por retroactividad, sin leer en su fuente. - 17.00-111.2: que una federación de asociaciones inmobiliarias reclamara aclaración oficial sobre los efectos jurídicos del RDL 8/2026 (prensa). - 17.00-113.2: las 143 iniciativas legislativas populares presentadas desde 1986 hasta junio de 2023, de las que 19 llegaron al Congreso y 4 tuvieron algún efecto (el 2,80 %): solo constan en prensa (Maldita, citando a Civio). - 17.00-116.2: el informe de la Secretaría General del Senado de octubre de 2024 y la declaración del presidente del Senado de que el rechazo «choca frontalmente» con el Reglamento, solo en prensa. - 17.00-117.2: que la Ley de Amnistía se sancionara en plazo y que no haya incidencia documentada desde 1978, sin leer en su fuente (la sinopsis dice que la sanción es un acto debido). - 17.00-120.2: la lista de las 132 leyes y el método de la Oficina del Parlamento Europeo, que la página no da. - 17.00-126.1: que la Oficina solo haya resuelto el 45,2 % (14 de 31) de los expedientes sancionadores desde 2018, tras 21 procedimientos entre 2006 y 2018, solo en prensa (The Objective); y la investigación de su directora, que no entra por dirigirse a una persona. - 17.00-130.2: la permanencia media ministerial de 1.252 días en el Gobierno actual, que no se pudo comprobar (el Gobierno actual suma como máximo 1.050 días a 6-X-2026). - 17.00-132.2: que el condenado fuera excarcelado a los tres meses por indulto, que el indulto de 1998 no está en el BOE consultado y la excarcelación es de prensa; y que otro político fuera investigado sin ser procesado, o que un exministro esté en prisión provisional (no entra: sin condena y dirigido a personas). - 17.00-139.2: los problemas de consulta y de transparencia del Consejo de Estado, sin leer en su fuente. - 17.00-142.2: la fecha de la nota del CGPJ (14-II-2022) y el título exacto de la nota de 1985, sin leer en su fuente. - 17.00-143.2: el conflicto de agosto de 2026 sobre las comparecencias por Ceuta, la cautelarísima del Supremo y las cinco comparecencias rechazadas, de prensa, sin leer en su fuente. - 17.00-144.2: las cifras de preguntas escritas de la XIV Legislatura, las estrategias de elusión y la ausencia de corrección, sin leer en su fuente. - 17.00-145.2: los votos de las dos cuestiones de confianza, que la sinopsis no da. - 17.00-147.2: los votos de la moción de censura de 2018, el juramento y que fuera la primera salida involuntaria sin petición del Rey, golpe de Estado o convocatoria electoral, sin leer en su fuente. - 17.00-148.2: que la doctrina académica haya pasado a documentar las «disfunciones» de la disolución anticipada, sin leer en su fuente; y que ninguna legislatura agotara los cuatro años, que no se puede afirmar (la de 2015, discutida). - 17.00-155.1: la expresión «avances limitados» ya no está en la ficha: leído el informe de 2026, la Comisión da «progreso limitado» solo en dos de sus seis recomendaciones (conflictos de intereses y grupos de presión), «algún progreso» en dos y «progreso significativo» en otras dos. - 17.00-156.2: las tasas de condena del jurado en 2025 y 2026 y su comparación con las de los tribunales profesionales, solo en prensa (el CGPJ da el 89,2 % hasta 2014). - 17.00-157.2: la «desobediencia inteligente» (un análisis de la Abogacía Española, no leído): que la Administración modifique el planeamiento tras las sentencias para impedir su ejecución. - 17.00-158.2: la fecha de inicio de la huelga del turno de oficio (21-XI-2023), sin leer en su fuente. - 17.00-161.2: la calificación «probabilidades remotas de estimación» atribuida a analistas jurídicos: no aparece en los siete textos leídos ni tiene autor. - 17.00-163.1: el día exacto de la renovación (25-VI-2024), sin leer en su fuente. - 17.00-164.2: que la abogacía llame «muro administrativo infranqueable» al interés casacional objetivo: la frase no se halla. - 17.00-166.1: que una reforma para un mandato no renovable de cinco años del Fiscal General siga en proyecto, sin leer en su fuente. - 17.00-168.2: que la STC 35/1995 confirmara que el juez da órdenes a la policía judicial pero no la sanciona ni la destina: esa sentencia trata de la presunción de inocencia; y que el control disciplinario último siga en el Ministerio del Interior. - 17.00-177.2: el total «diez prórrogas desde 1978» (el BOE solo da el recuento desde 2000, ocho ejercicios; falta la colección histórica de 1978 a 1999). - 17.00-179.2: que ninguno de los grandes casos de corrupción surgiera de las fiscalizaciones del Tribunal de Cuentas y el bloqueo de 2013 de una fiscalización especial (recomendación: quitar el inciso que atribuye el bloqueo a un partido), sin leer en su fuente. - 17.00-181.2: que la STC 68/1996 vincule la autonomía local a la suficiencia financiera: esa sentencia trata de la financiación de las comunidades autónomas. - 17.00-185.2: el «panorama muy heterogéneo» de la Ley de Dependencia (la expresión no está en los informes del Defensor del Pueblo), sin leer en su fuente. - 17.00-189.2: que la FEMP califique la reforma de la financiación local de «asignatura pendiente de la democracia española», que no se pudo comprobar. - 17.00-191.2: el plazo de los Acuerdos Autonómicos hasta el 31-XII-1981 y la «petrificación del derecho» como expresión, solo la idea en Montilla 1997. - 17.00-193.2: que la doctrina califique la operación de Andalucía de «muy dudosa legalidad» (no se halló la cita). - 17.00-195.2: el «café para todos»: las frases «los catalanes tienen el mismo grado de autonomía que murcianos o extremeños» y «en perspectiva comparada, esto es excepcional» no se hallaron. - 17.00-199.2: la proposición de ley orgánica de delegación de competencias de inmigración a Cataluña (registrada en marzo de 2025 y retomada en agosto de 2026), sin leer en su fuente. - 17.00-201.2: que un informe de UGT (2024) señale que más del 25 % de los juzgados tuvieron plazos superiores a 18 meses en 2023, con Andalucía y Cataluña por encima de tres años, sin leer en su fuente. - 17.00-203.2: los dos casos de 2026 de acusaciones cruzadas de partidismo (Madrid, menores migrantes; Santander, negociación laboral), sin leer en su fuente. - 17.00-205.2: que solo en torno a un tercio de los ingresos autonómicos tenga capacidad normativa real, frente al 68 % de «recursos autónomos»: la cifra no está en la fuente citada. - 17.00-210.1: la fecha de inicio del bloqueo (17-XII-2025) y la encuesta de 40dB (75,5 % percibe influencia partidista), solo en prensa. - 17.00-211.2: la elección de enero de 2023 por 6 votos contra 5 y la norma no escrita de reparto, sin leer en su fuente. - 17.00-212.2: la crítica doctrinal del art. 161.2 desde 1979, sin leer en su fuente. - 17.00-218.2: la fecha de la votación constituyente sobre la iniciativa popular de reforma (20-VII-1978), sin leer en su fuente. - 17.00-220.2: que el art. 168 no se haya activado nunca desde 1978: se deduce de las tres reformas hechas por el art. 167, pero la sinopsis no lo dice. - 17.00-221.2: que no se localizara ninguna reforma afectada en los estados de alarma y que el Tribunal Constitucional nunca haya interpretado el art. 169, sin leer en su fuente. Fuera, por no venir al caso o por dirigirse a personas: los nombres propios de dirigentes y de un particular de las fichas (art. 14, 18, 56, 64, 100, 102, 114, 124 y 160), la investigación a una directora (art. 98.4) y la prisión provisional de un exministro (art. 102). Los hechos de las tres fichas con declaración formal externa que conservaban su hecho, «pendiente de leer en su fuente», hasta la investigación final de flecos (Kiko, 7-oct, opción a) se han leído en esa investigación, el 7-oct: el del art. 45 (la condena de 2018, los pagos hasta 2022 y la decisión de la Comisión de abril de 2026), el del art. 117.1 (las seis recomendaciones del informe de 2026) y el del art. 159 (los mandatos de los magistrados que propone el Senado y el Auto 177/2022). La ficha del art. 159 pierde la declaración formal externa (Kiko, 7-oct: ni los mandatos cumplidos ni el Auto cumplen la definición de 7.1) y el recuento baja de 24 a 23. De ellos salen, sin fuente leída y a flecos, estos detalles: - A1, 17.00-59.1: que la Comisión califique el problema de «generalizado» (su comunicado no usa la palabra) y la multa acumulada de 2024 (87 millones), que consta en prensa; el dato oficial leído llega a 71.725.687,35 euros a 26-IX-2022. - A2, 17.00-155.1: que España haya ignorado sentencias del TJUE sobre temporalidad y la suspensión de 626 millones de fondos NextGeneration EU (informe Liberties 2026), sin leer en su fuente. - A3, 17.00-210.1: el bloqueo desde el 17-XII-2025 y que el Consejo General del Poder Judicial retrasara «ilegalmente» un nombramiento en 2022, solo de prensa, sin leer en su fuente. Conceptos que usa, ya anclados: el contrato social y la Constitución como su traducción escrita (6.5; 7.1); la declaración formal externa (7.1); el bien común y el organigrama del poder (7.4); el freno de Montesquieu (7.4); el método de Núremberg (7.2); la defensa del Estado y los contrapuntos (11). Lo que no se repite: los once casos de 7.3 (la ficha remite); los quince casos de 7.2; la tabla y los porcentajes de 7.4; el recuento 93 / 70 / 6 de 7.1.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 </w:t>
      </w:r>
      <w:r>
        <w:t>[17.00-0.0 y 0.0.2; 17.00-1.1]</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t xml:space="preserve"> (Art. 1.2 CE; STC 31/2015 (BOE-A-2015-2832); STC 114/2017 (BOE-A-2017-12206); STC 51/2017, de 10-V, rec. 8912-2010)</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r>
        <w:t>[17.00-3.1 a 3.6]</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t xml:space="preserve"> (BOE-A-2017-12328 (Orden PRA/1034/2017, apartado E.9); BOE-A-2017-12327 (acuerdo del Senado, 27-X-2017); RD 946/2017 (BOE-A-2017-12330); RD 954/2017 (BOE-A-2017-12560); STC 89/2019 (BOE-A-2019-11901, fallo leído); STC 90/2019 (BOE-A-2019-11902, fallo leído); votación del Senado: Diario de Sesiones del Senado, XII Legislatura, Pleno núm. 24 (BOCG/DS núm. 45), 27-X-2017, leído en el original; cifras de cargos y de afectación económica: Acuerdo del Gobierno de la Generalitat de 13-XI-2018)</w:t>
      </w:r>
    </w:p>
    <w:p>
      <w:r>
        <w:t>Aplicación del art. 155 CE en Cataluña: Acuerdo del Consejo de Ministros de 21 de octubre de 2017 (BOE-A-2017-12328), aprobado por el Pleno del Senado el 27 de octubre de 2017 por mayoría absoluta (214 votos a favor, 47 en contra y una abstención, según el Diario de Sesiones del Senado, leído en el original). Incluyó el cese de altos cargos de la Generalitat (RD 954/2017) y la disolución del Parlamento de Cataluña con convocatoria de elecciones (RD 946/2017). Según el Acuerdo del Gobierno de la Generalitat de 13-XI-2018, que es parte interesada, la afectación económica del 155 en su presupuesto, por pérdida, bloqueo o retraso, supera los 1.800 millones de euros; el impacto directo fue de más de 130 millones; y los 234 son trabajadores públicos cesados, de los que 33 eran altos cargos. El Tribunal Constitucional resolvió dos recursos contra el acuerdo del Senado: la STC 89/2019, de 2 de julio, estimó parcialmente el recurso de más de cincuenta diputados y declaró inconstitucional y nulo el párrafo segundo del apartado E.3 del acuerdo (denegación de efectos jurídicos a lo publicado en el Diario Oficial de la Generalitat), desestimando el recurso en todo lo demás; la STC 90/2019, de la misma fecha, inadmitió parcialmente el recurso del Parlamento de Cataluña, declaró la pérdida sobrevenida de objeto respecto de ese mismo párrafo y lo desestimó en todo lo demás. Las leyes catalanas de 2017 fueron declaradas nulas por el Tribunal Constitucional: la STC 114/2017 (ley 19/2017; véase el artículo 1) y la STC 124/2017, de 8 de noviembre (recurso 4386-2017, ley 20/2017 «de transitoriedad jurídica y fundacional de la República»; fallo leído en el original: estima el recurso y declara la ley inconstitucional y nula). La obra lo clasifica como cumplimiento por intento frenado, apoyado en las nulidades de las dos leyes catalanas (SSTC 114/2017 y 124/2017); el art. 155 y su control por el Tribunal (SSTC 89/2019 y 90/2019) se recogen como contexto, no como corrección.</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r>
        <w:t>[17.00-4.1 a 4.6]</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t xml:space="preserve"> (LO 3/2020 (BOE-A-2020-17264); rec. 1828-2021 ante el TC; STSJ Cataluña, Secc. 5ª, 16-XII-2020 (rec. 168/2015); SSTS 23 y 28-IV-2015; TSJ de Cataluña, autos de 4-V-2022 y 28-VII-2022 (ATSJ CAT 421/2022); cuestión de inconstitucionalidad 6052-2022 (BOE-A-2022-18184))</w:t>
      </w:r>
    </w:p>
    <w:p>
      <w:r>
        <w:t>[17.00-5.1 a 5.3]</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t xml:space="preserve"> (Juzgado de lo Contencioso-Administrativo nº 2 de Bilbao; Ley 39/1981)</w:t>
      </w:r>
    </w:p>
    <w:p>
      <w:r>
        <w:t>[17.00-6.1 a 6.3]</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t xml:space="preserve"> (Búsqueda sin hallazgos de conflicto)</w:t>
      </w:r>
    </w:p>
    <w:p>
      <w:r>
        <w:t>[17.00-7.1 a 7.3]</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t xml:space="preserve"> (Art. 6 CE; GRECO, Tercera Ronda de Evaluación (2009), Tema II; informe de cumplimiento (2011) y segunda adenda al segundo informe de cumplimiento (2016), párrs. 29, 63 y 65; LO 3/2015)</w:t>
      </w:r>
    </w:p>
    <w:p>
      <w:r>
        <w:t>[17.00-8.1, 9.1 y 9.2]</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r>
        <w:t>[17.00-10.1]</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t xml:space="preserve"> (Ministerio de Defensa; OTAN, informes sobre el gasto en defensa (2024, 2025 y 2026), Tabla 3)</w:t>
      </w:r>
    </w:p>
    <w:p>
      <w:r>
        <w:t>[17.00-11.1 a 11.3]</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t>(Miguel Hernández Serna, El Derecho (Tribuna), 25-III-2019; fuente secundaria)</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t xml:space="preserve"> (STC 45/2018, de 26-IV; STC 51/2018, de 10-V; STC 104/2016; STC 4/2016; STC 173/1996)</w:t>
      </w:r>
    </w:p>
    <w:p>
      <w:r>
        <w:t>[17.00-12.1 a 12.3]</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r>
        <w:t>[17.00-223.1, 224.1 a 224.3]</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t xml:space="preserve"> (ABC, 20-VIII-2025 (entrevista a la familia), e Idealista News, 12-IX-2025, fuente secundaria: prensa (no se encontró corroboración municipal ni judicial); art. 10.1 CE)</w:t>
      </w:r>
    </w:p>
    <w:p>
      <w:r>
        <w:t>[17.00-14.1 a 14.3]</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t xml:space="preserve"> (Art. 11 CE; art. 24 del Código Civil)</w:t>
      </w:r>
    </w:p>
    <w:p>
      <w:r>
        <w:t>[17.00-15.1 a 15.3]</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t xml:space="preserve"> (Art. 12 CE; Código Civil; Ley 25/2010)</w:t>
      </w:r>
    </w:p>
    <w:p>
      <w:r>
        <w:t>[17.00-16.1 a 16.3]</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t xml:space="preserve"> (Defensor del Pueblo, Informe anual 2025, apartado 4.8, págs. 176 y 177; Defensor del Pueblo, resolución de 7-IV-2026 (queja 26008033))</w:t>
      </w:r>
    </w:p>
    <w:p>
      <w:r>
        <w:t>[17.00-17.1 y 17.2]</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t xml:space="preserve"> (INE 2024; STC 79/2020, de 2-VII, rec. 500-2019 (BOE-A-2020-8960, fallo leído en el original); STC 108/2019; STC 76/1990; STC 145/1991)</w:t>
      </w:r>
    </w:p>
    <w:p>
      <w:r>
        <w:t>[17.00-18.1, 19.1 y 19.2]</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t xml:space="preserve"> (TEDH, demanda 3344/13; caso del director de Egunkaria)</w:t>
      </w:r>
    </w:p>
    <w:p>
      <w:r>
        <w:t>[17.00-20.1, 21.1 y 21.2]</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t xml:space="preserve"> (Agencia Tributaria, datos IRPF 2024; Ley 42/2006; Acuerdo España-Santa Sede (1979))</w:t>
      </w:r>
    </w:p>
    <w:p>
      <w:r>
        <w:t>[17.00-22.1 a 22.3]</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t xml:space="preserve"> (STC 73/2021, de 18-III; STC 49/2022; STC 103/2022; STC 85/2024; STC 21/2026, de 10-III)</w:t>
      </w:r>
    </w:p>
    <w:p>
      <w:r>
        <w:t>[17.00-23.1, 24.1 y 24.2]</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t xml:space="preserve"> (Citizen Lab, informe de 18-IV-2022; comparecencia de la directora del CNI ante el Congreso; Audiencia Nacional, auto de sobreseimiento provisional de 22-I-2026 (caso distinto: espionaje al Gobierno español, no CatalanGate))</w:t>
      </w:r>
    </w:p>
    <w:p>
      <w:r>
        <w:t>[17.00-25.1 a 25.3]</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t xml:space="preserve"> (STC 148/2021, de 14-VII (BOE-A-2021-13032); STC 183/2021, de 27-X)</w:t>
      </w:r>
    </w:p>
    <w:p>
      <w:r>
        <w:t>[17.00-26.1, 27.1 y 27.2]</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t xml:space="preserve"> (TEDH, sentencia de 13-III-2018)</w:t>
      </w:r>
    </w:p>
    <w:p>
      <w:r>
        <w:t>[17.00-28.1, 29.1 y 29.2]</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t xml:space="preserve"> (Art. 21 CE; arts. 36.2, 36.23, 37.1 y 39.1, LO 4/2015; STC 172/2020, de 19-XI-2020, rec. 2896-2015)</w:t>
      </w:r>
    </w:p>
    <w:p>
      <w:r>
        <w:t>[17.00-30.1, 31.1 y 31.2]</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t xml:space="preserve"> (Vírgala, REDCE n.º 13, que la atribuye a los §§ 84 a 86 de la sentencia; HUDOC no accesible; fuente secundaria)</w:t>
      </w:r>
      <w:r>
        <w:t>.</w:t>
      </w:r>
      <w:r>
        <w:t xml:space="preserve"> (STS, Sala Especial, 27-III-2003; SSTC 5 y 6/2004, de 16-I; TEDH, 30-VI-2009)</w:t>
      </w:r>
    </w:p>
    <w:p>
      <w:r>
        <w:t>[17.00-32.1 a 32.3]</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t xml:space="preserve"> (LO 12/2022, de 30-IX (BOE-A-2022-16018))</w:t>
      </w:r>
    </w:p>
    <w:p>
      <w:r>
        <w:t>[17.00-33.1 a 33.3]</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t xml:space="preserve"> (TEDH, Lizaso Azconobieta c. España, 28-VI-2011 (art. 6.2 CEDH; leída en francés, la lengua de la sentencia); STC 245/1991, de 16-XII)</w:t>
      </w:r>
    </w:p>
    <w:p>
      <w:r>
        <w:t>[17.00-34.1, 35.1 y 35.2]</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t xml:space="preserve"> (STC 169/2021, de 6-X, rec. 3866-2015; Kafkaris c. Chipre, TEDH (2008))</w:t>
      </w:r>
    </w:p>
    <w:p>
      <w:r>
        <w:t>[17.00-36.1 a 36.3]</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t xml:space="preserve"> (LO 9/1960; Ley 9/1988; LO 5/2005, art. 21.2; STC 219/1989, de 11-XII)</w:t>
      </w:r>
    </w:p>
    <w:p>
      <w:r>
        <w:t>[17.00-37.1 a 37.3]</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r>
        <w:t>[17.00-38.1]</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t xml:space="preserve"> (STC 2/2022, de 24-I; SSTC de 23-X-2013 y 25-VI-2015; SSTC 26/1981 y 53/1986)</w:t>
      </w:r>
    </w:p>
    <w:p>
      <w:r>
        <w:t>[17.00-39.1, 40.1 y 40.2]</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t xml:space="preserve"> (LO 4/2001, de 12-XI (BOE-A-2001-21090), Exposición de Motivos y art. 3)</w:t>
      </w:r>
    </w:p>
    <w:p>
      <w:r>
        <w:t>[17.00-41.1 a 41.3]</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t xml:space="preserve"> (RD 247/2001, de 9-III (BOE-A-2001-4711); RD 342/2001, de 4-IV; Real Decreto 170/2026, de 4 de marzo, apartado sexto)</w:t>
      </w:r>
    </w:p>
    <w:p>
      <w:r>
        <w:t>[17.00-42.1 a 42.3]</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t xml:space="preserve"> (STC 73/2017, de 8-VI; STC 182/2021, de 26-X; STC 150/1990; STC 233/1999; STC 126/2019)</w:t>
      </w:r>
    </w:p>
    <w:p>
      <w:r>
        <w:t>[17.00-43.1, 44.1 y 44.2]</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t xml:space="preserve"> (STC 198/2012, de 6-XI, rec. 6864-2005 (BOE-A-2012-14602))</w:t>
      </w:r>
    </w:p>
    <w:p>
      <w:r>
        <w:t>[17.00-45.1 a 45.3]</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t xml:space="preserve"> (TEDH, sentencias de 13-XII-2018 (Italia) y 3-XII-2020 (Grecia); art. 1, Protocolo 1 CEDH)</w:t>
      </w:r>
    </w:p>
    <w:p>
      <w:r>
        <w:t>[17.00-46.1 a 46.3]</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t xml:space="preserve"> (Tribunal de Cuentas, informe de 26-IV-2026)</w:t>
      </w:r>
    </w:p>
    <w:p>
      <w:r>
        <w:t>[17.00-47.1 a 47.3]</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t xml:space="preserve"> (INE, Encuesta Anual de Estructura Salarial 2024 (nota de prensa); Eurostat 2024)</w:t>
      </w:r>
    </w:p>
    <w:p>
      <w:r>
        <w:t>[17.00-48.1 a 48.3]</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t xml:space="preserve"> (CNMC, resoluciones sancionadoras y nota de prensa de 12-3-2018; CNC, informe de 18-IV-2012 sobre colegios profesionales; CNMC, nota de prensa de 5-I-2016 e informe IPN 110/13)</w:t>
      </w:r>
    </w:p>
    <w:p>
      <w:r>
        <w:t>[17.00-49.1 a 49.3]</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t xml:space="preserve"> (RDL 32/2021, de 28-XII (BOE-A-2021-21788), arts. 84.2, 86.3 y 86.4 del Estatuto de los Trabajadores)</w:t>
      </w:r>
    </w:p>
    <w:p>
      <w:r>
        <w:t>[17.00-50.1 a 50.3]</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t xml:space="preserve"> (Banco Mundial, Doing Business 2020; WEF, Informe de Competitividad Mundial 2019; Banco de España)</w:t>
      </w:r>
    </w:p>
    <w:p>
      <w:r>
        <w:t>[17.00-51.1 a 51.3]</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t xml:space="preserve"> (UNICEF España, noticia de 17-X-2024)</w:t>
      </w:r>
    </w:p>
    <w:p>
      <w:r>
        <w:t>[17.00-52.1 y 52.2]</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t xml:space="preserve"> (Ministerio de Trabajo y Economía Social, Análisis de las estadísticas de accidentes de trabajo, 2024)</w:t>
      </w:r>
    </w:p>
    <w:p>
      <w:r>
        <w:t>[17.00-53.1 a 53.3]</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t xml:space="preserve"> (SEPE / Ministerio de Trabajo y Economía Social, notas de prensa sobre paro registrado y prestaciones (enero de 2026); RDL 2/2024)</w:t>
      </w:r>
    </w:p>
    <w:p>
      <w:r>
        <w:t>[17.00-54.1 a 54.3]</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t xml:space="preserve"> (Defensor del Pueblo, informes de 2014, 2015 y 2017)</w:t>
      </w:r>
    </w:p>
    <w:p>
      <w:r>
        <w:t>[17.00-55.1 a 55.3]</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t xml:space="preserve"> (Ministerio de Sanidad, listas de espera, diciembre de 2025; Ministerio de Sanidad, SISLE-SNS, datos por comunidades a 31-XII-2025)</w:t>
      </w:r>
    </w:p>
    <w:p>
      <w:r>
        <w:t>[17.00-56.1 a 56.3]</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t xml:space="preserve"> (INE 2024; Fundación Cotec; Eurostat, rd_e_gerdtot)</w:t>
      </w:r>
    </w:p>
    <w:p>
      <w:r>
        <w:t>[17.00-57.1 a 57.3]</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t xml:space="preserve"> (TJUE (Sala Octava), sentencia de 25-VII-2018, asunto C-205/17, fallo, extracto leído en EUR-Lex (CELEX 62017CJ0205); Ministerio para la Transición Ecológica, nota de prensa de 26-IX-2022, leída en el original; Comisión Europea, comunicado IP/26/838, abril de 2026, y nota de su Representación en España del 29-IV-2026)</w:t>
      </w:r>
    </w:p>
    <w:p>
      <w:r>
        <w:t>[17.00-58.1, 59.1 y 59.2]</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r>
        <w:t>[17.00-60.1]</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t xml:space="preserve"> (CGPJ, Estadística de Efectos de la Crisis Económica, 2025; STC 152/1988; STC 32/2019; STC 79/2024; STC 17/2026)</w:t>
      </w:r>
    </w:p>
    <w:p>
      <w:r>
        <w:t>[17.00-61.1 a 61.3]</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t xml:space="preserve"> (Consejo de la Juventud de España, Observatorio de Emancipación, informe de 2025 (publicado mayo de 2026))</w:t>
      </w:r>
    </w:p>
    <w:p>
      <w:r>
        <w:t>[17.00-62.1 a 62.3]</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t xml:space="preserve"> (La Moncloa, nota de 18-1-2024)</w:t>
      </w:r>
      <w:r>
        <w:t xml:space="preserve">, y actualizó su redacción sobre los derechos de las personas con discapacidad (el dato, en </w:t>
      </w:r>
      <w:r>
        <w:t>7.2</w:t>
      </w:r>
      <w:r>
        <w:t>, n.º 14).</w:t>
      </w:r>
      <w:r>
        <w:t xml:space="preserve"> (BOE-A-2024-3099 (reforma del art. 49 CE); La Moncloa, nota sobre la reforma de 2024)</w:t>
      </w:r>
    </w:p>
    <w:p>
      <w:r>
        <w:t>[17.00-63.1 a 63.3]</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t xml:space="preserve"> (RDL 28/2012; STC 95/2015, de 14-V; STC 49/2015)</w:t>
      </w:r>
    </w:p>
    <w:p>
      <w:r>
        <w:t>[17.00-64.1 a 64.3]</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t xml:space="preserve"> (STS 241/2013, de 9-V-2013, Sala de lo Civil, Rec. 485/2012 (ECLI:ES:TS:2013:1916); TJUE, sentencia de 21-XII-2016 (asuntos C-154/15, C-307/15, C-308/15); estimación de las entidades al cierre de 2016)</w:t>
      </w:r>
    </w:p>
    <w:p>
      <w:r>
        <w:t>[17.00-65.1 a 65.3]</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t xml:space="preserve"> (Ley 12/2014, de 9-VII; STC 132/1989, de 18-VII)</w:t>
      </w:r>
    </w:p>
    <w:p>
      <w:r>
        <w:t>[17.00-66.1 a 66.3]</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t xml:space="preserve"> (STC 152/1988, de 20-VII; STC 32/2019; STC 79/2024; STC 17/2026, de 24-II)</w:t>
      </w:r>
    </w:p>
    <w:p>
      <w:r>
        <w:t>[17.00-67.1 a 67.3]</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t xml:space="preserve"> (Art. 30.1 y 30.2, LO 3/1981, del Defensor del Pueblo)</w:t>
      </w:r>
    </w:p>
    <w:p>
      <w:r>
        <w:t>[17.00-68.1 a 68.3]</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t xml:space="preserve"> (STC 148/2021, de 14-VII (BOE-A-2021-13032); STC 183/2021, de 27-X)</w:t>
      </w:r>
    </w:p>
    <w:p>
      <w:r>
        <w:t>[17.00-69.1, 70.1 y 70.2]</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r>
        <w:t>[17.00-225.1, 226.1 a 226.4]</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t xml:space="preserve"> (Revista de Derecho Político, UNED (2023); STC 98/2019, de 17-VII, FJ 3.c)</w:t>
      </w:r>
    </w:p>
    <w:p>
      <w:r>
        <w:t>[17.00-72.1 a 72.3]</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t xml:space="preserve"> (LO 3/2014, de 18-VI (BOE núm. 148, de 19-VI-2014); reserva de España de 16-XII-1983 a la Convención sobre la mujer (BOE núm. 69, de 21-III-1984))</w:t>
      </w:r>
    </w:p>
    <w:p>
      <w:r>
        <w:t>[17.00-73.1 a 73.3 y 244.3]</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t xml:space="preserve"> (casareal.es, agenda y biografía de la Reina)</w:t>
      </w:r>
    </w:p>
    <w:p>
      <w:r>
        <w:t>[17.00-74.1 y 74.2]</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t xml:space="preserve"> (Art. 59 CE; ausencia de ley de desarrollo)</w:t>
      </w:r>
    </w:p>
    <w:p>
      <w:r>
        <w:t>[17.00-75.1 a 75.3]</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t xml:space="preserve"> (Art. 60 CE; ausencia de ley de desarrollo)</w:t>
      </w:r>
    </w:p>
    <w:p>
      <w:r>
        <w:t>[17.00-76.1 a 76.3]</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t xml:space="preserve"> (LO 3/2014 (BOE núm. 148, de 19-VI-2014); Cortes Generales, Diario de Sesiones, sesión solemne de 19-VI-2014)</w:t>
      </w:r>
    </w:p>
    <w:p>
      <w:r>
        <w:t>[17.00-77.1 y 77.2]</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t xml:space="preserve"> (STS Pleno, 20-XI-2013, rec. 13/2013; STS 1.008/2025, de 16-VII-2025; Fundación CIVIO)</w:t>
      </w:r>
    </w:p>
    <w:p>
      <w:r>
        <w:t>[17.00-78.1, 79.1 y 79.2]</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t xml:space="preserve"> (LO 5/2005, de Defensa Nacional; doctrina jurídica especializada)</w:t>
      </w:r>
    </w:p>
    <w:p>
      <w:r>
        <w:t>[17.00-80.1 a 80.3]</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t xml:space="preserve"> (Constitución, art. 64.1; BOE-A-2019-13558)</w:t>
      </w:r>
    </w:p>
    <w:p>
      <w:r>
        <w:t>[17.00-81.1]</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t xml:space="preserve"> (Tribunal de Cuentas, informe de 2026)</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t xml:space="preserve"> (REMCO, informe sobre el coste de las jefaturas del Estado (marzo de 2026); fuente secundaria)</w:t>
      </w:r>
    </w:p>
    <w:p>
      <w:r>
        <w:t>[17.00-82.1, 83.1 y 83.2]</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r>
        <w:t>[17.00-227.1, 228.1, 228.3]</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t xml:space="preserve"> (BOE, «Referencias posteriores» de cada decreto-ley)</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t xml:space="preserve"> (ATC 147/1982, de 22-IV; sinopsis oficial del Congreso de los Diputados)</w:t>
      </w:r>
    </w:p>
    <w:p>
      <w:r>
        <w:t>[17.00-85.1 y 85.2, 86.1, 87.1 a 87.3]</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t xml:space="preserve"> (Pacto Antitransfuguismo (1998, III Adenda 2020); doctrina del Tribunal Constitucional sobre el mandato representativo (STC 10/1983 y jurisprudencia posterior) -no se ha podido confirmar una STS de 27-X-2020 relacionada con este caso concreto; existe una sentencia de esa misma fecha, pero sobre concejales tránsfugas municipales, un asunto distinto-)</w:t>
      </w:r>
    </w:p>
    <w:p>
      <w:r>
        <w:t>[17.00-88.1 a 88.3]</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t xml:space="preserve"> (Ministerio del Interior, resultados oficiales de las elecciones generales de julio de 2023; cálculo de la obra)</w:t>
      </w:r>
    </w:p>
    <w:p>
      <w:r>
        <w:t>[17.00-89.1 a 89.3]</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t xml:space="preserve"> (Art. 69.2 CE; datos poblacionales del INE (aproximación razonada))</w:t>
      </w:r>
    </w:p>
    <w:p>
      <w:r>
        <w:t>[17.00-90.1 a 90.3]</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t xml:space="preserve"> (Acuerdo JEC de 3-I-2020; STS 459/2019; STC 31/2024 (BOE-A-2024-6673); STC 45/2024 (BOE-A-2024-8188); TJUE C-502/19; STS 572/2021, de 28-IV-2021 (recurso del Parlament de Catalunya contra el Acuerdo de la JEC de 3-I-2020); STS 132/2023, de 2-II-2023 (rec. 95/2022, Presidenta de la Comunidad de Madrid contra el Acuerdo 390/2021 de la JEC); STS 444/2023, de 30-III-2023 (rec. 66/2022, pérdida de credencial de un diputado del Parlament por inelegibilidad sobrevenida))</w:t>
      </w:r>
    </w:p>
    <w:p>
      <w:r>
        <w:t>Recursos de amparo 4481-2021 y 4247-2021 (un eurodiputado electo): el Acuerdo de la Junta Electoral Central de 3 de enero de 2020 declaró la «inelegibilidad sobrevenida» tras una condena penal firme (STS 459/2019) y la pérdida de su condición de eurodiputado. El Tribunal Constitucional desestimó los recursos de amparo del interesado por pérdida sobrevenida de objeto, al haberse satisfecho fuera del proceso sus pretensiones (STC 31/2024, de 28 de febrero, rec. 4481-2021; STC 45/2024, de 12 de marzo, rec. 4247-2021); el TJUE se pronunció en el asunto C-502/19. Otros tres casos con sentencia: STS 572/2021 (pérdida de credencial), STS 132/2023 (Presidenta de Madrid, JEC) y STS 444/2023 (Parlament de Cataluña). La obra lo clasifica como cumplimiento limpio: no consta resolución que anulara una extralimitación en la aplicación del art. 70.1.</w:t>
      </w:r>
    </w:p>
    <w:p>
      <w:r>
        <w:t>[17.00-91.1 a 91.3]</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t xml:space="preserve"> (Congreso, sinopsis oficial del art. 71 CE)</w:t>
      </w:r>
    </w:p>
    <w:p>
      <w:r>
        <w:t>[17.00-92.1]</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t xml:space="preserve"> (HayDerecho, 2024; fuente secundaria)</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t xml:space="preserve"> (HayDerecho, 2024, que da el título y la lista de comunidades)</w:t>
      </w:r>
    </w:p>
    <w:p>
      <w:r>
        <w:t>[17.00-93.1 a 93.3]</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t xml:space="preserve"> (Real Decreto 977/2015, de 26 de octubre (disolución de las Cortes); Real Decreto 1167/2015 (cese del Gobierno))</w:t>
      </w:r>
    </w:p>
    <w:p>
      <w:r>
        <w:t>[17.00-94.1 a 94.3]</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t xml:space="preserve"> (Sinopsis oficial del Congreso; art. 166 del Reglamento del Congreso; arts. 137-140 del Reglamento del Senado)</w:t>
      </w:r>
    </w:p>
    <w:p>
      <w:r>
        <w:t>[17.00-95.1 a 95.3]</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t xml:space="preserve"> (Congreso, sinopsis oficial del art. 75 CE)</w:t>
      </w:r>
    </w:p>
    <w:p>
      <w:r>
        <w:t>[17.00-96.1 y 96.2]</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t xml:space="preserve"> (Art. 502.1 CP; art. 399.1 LOPJ; archivo del TS de julio de 2016)</w:t>
      </w:r>
    </w:p>
    <w:p>
      <w:r>
        <w:t>[17.00-97.1 a 97.3]</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t xml:space="preserve"> (Political Watch, estudio y blog de 3-II-2026; fuente secundaria)</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t xml:space="preserve"> (Political Watch, «El derecho de petición en el contexto digital» (M. Á. Gonzalo y B. Agüero), 3-II-2026, con financiación de Red.es)</w:t>
      </w:r>
    </w:p>
    <w:p>
      <w:r>
        <w:t>[17.00-98.1 a 98.3]</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t xml:space="preserve"> (Real Decreto 400/2023, de 29 de mayo, art. 5; art. 78.2 CE)</w:t>
      </w:r>
    </w:p>
    <w:p>
      <w:r>
        <w:t>[17.00-99.1 a 99.3]</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t xml:space="preserve"> (voto telemático del 3-II-2022; RDL 32/2021)</w:t>
      </w:r>
    </w:p>
    <w:p>
      <w:r>
        <w:t>[17.00-100.1 a 100.3]</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t xml:space="preserve"> (Congreso, sinopsis oficial del art. 80 CE)</w:t>
      </w:r>
    </w:p>
    <w:p>
      <w:r>
        <w:t>[17.00-101.1 y 101.2]</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t xml:space="preserve"> (STC 108/1986; STC 128/2023; STC 94/2023; STC 139/2024)</w:t>
      </w:r>
    </w:p>
    <w:p>
      <w:r>
        <w:t>[17.00-102.1 a 102.3]</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t xml:space="preserve"> (STS de 9-II-2000 (Sala Tercera, recurso 486/1996; BOE-A-2000-5906, publicación de la sentencia); STC 166/2007, de 4-VII (BOE-T-2007-14794))</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r>
        <w:t>[17.00-103.1 a 103.4]</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t xml:space="preserve"> (Congreso, sinopsis oficial del art. 83 CE)</w:t>
      </w:r>
    </w:p>
    <w:p>
      <w:r>
        <w:t>[17.00-104.1 y 104.2]</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t xml:space="preserve"> (Comentario oficial al art. 84 CE, Portal de la Constitución (Congreso de los Diputados); Reglamento del Senado, art. 128)</w:t>
      </w:r>
    </w:p>
    <w:p>
      <w:r>
        <w:t>El art. 84 faculta al Gobierno para oponerse a la tramitación de una proposición de ley o de una enmienda contraria a una delegación legislativa en vigor. El comentario oficial del Congreso de los Diputados afirma que no existen precedentes de oposición del Gobierno a la tramitación de enmiendas en aplicación del art. 84 CE y que, para las proposiciones de ley, el supuesto es «inédito en la práctica parlamentaria reciente»; que el Reglamento del Congreso no contiene ningún precepto que desarrolle este artículo, y que el Reglamento del Senado sí prevé un procedimiento específico (art. 128): el Gobierno dispone de diez días desde la publicación de la iniciativa, y su propuesta se tramita conforme a lo previsto para los conflictos entre órganos constitucionales, con suspensión de los plazos del procedimiento legislativo. La obra lo clasifica como INCUMPLE porque el mecanismo previsto nunca se ha aplicado (lo que no se cumple, incumple), y deja anotado que es un precepto en desuso. Es una facultad del Gobierno, no una obligación, y esa diferencia queda a la vista del lector.</w:t>
      </w:r>
    </w:p>
    <w:p>
      <w:r>
        <w:t>[17.00-105.1 a 105.3]</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t xml:space="preserve"> (BOE, base de datos abiertos (título y fecha de cada texto))</w:t>
      </w:r>
    </w:p>
    <w:p>
      <w:r>
        <w:t>[17.00-106.1 y 106.2]</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t xml:space="preserve"> (recuento de la obra sobre los datos abiertos del BOE 2012-2026; RDL 7/2025; RDL 8/2026; STC 111/1983)</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t xml:space="preserve"> (STC 111/1983; STC 182/1997 (fallo: nulidad del art. 2 RDL 5/1992); STC 73/2017 (nulidad de la amnistía fiscal, RDL 12/2012); STC 9/2023 y STC 17/2023)</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t xml:space="preserve"> (STC 61/2018, de 7-VI; STC 14/2020, de 28-I (BOE-A-2020-2941); cifras de decretos-leyes y leyes de la legislatura: Artículo14, 15-VIII-2026)</w:t>
      </w:r>
    </w:p>
    <w:p>
      <w:r>
        <w:t>[17.00-107.1, 109.1, 111.1 a 111.3, 112.1 a 112.5, 108.1, 110.1 y 110.2]</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t xml:space="preserve"> (BOE-A-2023-18907, resultados de las elecciones del 23-VII-2023 (censo de 37.469.458 electores))</w:t>
      </w:r>
    </w:p>
    <w:p>
      <w:r>
        <w:t>[17.00-113.1 a 113.3]</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t xml:space="preserve"> (RD 931/2017, de 27-X)</w:t>
      </w:r>
    </w:p>
    <w:p>
      <w:r>
        <w:t>[17.00-114.1 a 114.3]</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t xml:space="preserve"> (Comentario oficial al art. 89 CE, Portal de la Constitución (Congreso de los Diputados); art. 89.2 CE; Reglamentos del Congreso (art. 125) y del Senado (art. 108.5))</w:t>
      </w:r>
    </w:p>
    <w:p>
      <w:r>
        <w:t>[17.00-115.1 a 115.3]</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t xml:space="preserve"> (Ley de Amnistía (2024); Diario de Sesiones del Senado, 14-X-2024; BOCG n.º 165; Mesa del Congreso, 15-X-2024; conflicto n.º 9110-2024)</w:t>
      </w:r>
    </w:p>
    <w:p>
      <w:r>
        <w:t>[17.00-116.1 a 116.3]</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t xml:space="preserve"> (Congreso, sinopsis oficial del art. 91 CE)</w:t>
      </w:r>
    </w:p>
    <w:p>
      <w:r>
        <w:t>[17.00-117.1 y 117.2]</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t xml:space="preserve"> (Resultados oficiales de los referéndums de 1986 y 2005)</w:t>
      </w:r>
    </w:p>
    <w:p>
      <w:r>
        <w:t>[17.00-118.1 a 118.3]</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t xml:space="preserve"> (DTC 1/2004, de 13-XII; STC 26/2014 (caso Melloni))</w:t>
      </w:r>
    </w:p>
    <w:p>
      <w:r>
        <w:t>[17.00-119.1 a 119.3]</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t xml:space="preserve"> (Oficina del Parlamento Europeo en España, 14-VIII-2025)</w:t>
      </w:r>
    </w:p>
    <w:p>
      <w:r>
        <w:t>[17.00-120.1 y 120.2]</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t xml:space="preserve"> (DTC 1/1992, de 1-VII; DTC 1/2004, de 13-XII; Declaración 1/2025, de 16-XII-2025 (BOE-A-2026-1759); declaración del Pleno de 23-IX-2026 sobre el Tratado de Amistad y Cooperación con Francia)</w:t>
      </w:r>
    </w:p>
    <w:p>
      <w:r>
        <w:t>[17.00-121.1 a 121.3]</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t xml:space="preserve"> (Art. 96.1 CE, segundo inciso (texto consolidado, boe.es); no se ha localizado ningún caso de contravención pese a la búsqueda)</w:t>
      </w:r>
    </w:p>
    <w:p>
      <w:r>
        <w:t>[17.00-122.1 a 122.3]</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r>
        <w:t>[17.00-229.1, 230.1 a 230.3]</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t xml:space="preserve"> (STSJ Madrid 185/2024, de 11-IV (el TS inadmitió el recurso de casación del Ayuntamiento por auto de 12-III-2025, quedando firme la nulidad); STS 1264/2024, de 15-VII (BOE-A-2024-18114); STS 527/2026, de 29-IV (rec. 671/2024, BOE-A-2026-11850); STS 868/2026, de 8-VII-2026, sobre el RD 1155/2024 (BOE-A-2026-19632). Otra sentencia posterior de la Sala Tercera, de 29-VII-2026 (recurso 21/2025, Cáritas Española y CEAR; BOE-A-2026-19633), mantuvo la nulidad del art. 197.2 y desestimó el resto de impugnaciones)</w:t>
      </w:r>
    </w:p>
    <w:p>
      <w:r>
        <w:t>Cuatro anulaciones en poco más de dos años, tres de reglamentos del Gobierno y una de una ordenanza municipal: la STSJ de Madrid 185/2024, de 11 de abril, anuló la Ordenanza de Terrazas 1/2022 del Ayuntamiento de Madrid por omitir evaluaciones exigibles en su elaboración; la STS 1264/2024, de 15 de julio (cuestión de ilegalidad 1/2024), anuló por exceso reglamentario un inciso del art. 12.1 del RD 1004/2015 (buena conducta cívica en la nacionalidad por residencia); la STS 527/2026, de 29 de abril, anuló el RD 662/2024 (placas fotovoltaicas flotantes en embalses) por omitir la consulta pública previa; y la STS 868/2026, de 8 de julio (comunicada por el CGPJ el 13 de julio), anuló varios preceptos del RD 1155/2024 (Reglamento de Extranjería), uno de ellos por falta de cobertura legal.</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r>
        <w:t>[17.00-124.1 a 124.7]</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t xml:space="preserve"> (Comisión Europea, Informe sobre el Estado de Derecho 2026)</w:t>
      </w:r>
    </w:p>
    <w:p>
      <w:r>
        <w:t>[17.00-125.1, 126.1 y 126.2]</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t xml:space="preserve"> (Congreso, sinopsis oficial del art. 99 CE)</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t xml:space="preserve"> (BOE, RD 184/2016 y RD 551/2019; LO 2/2016, de 31-X (BOE de 1-XI-2016))</w:t>
      </w:r>
    </w:p>
    <w:p>
      <w:r>
        <w:t>[17.00-127.1 y 127.2, 128.1 y 128.2, 129.1 y 129.2]</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t xml:space="preserve"> (BOE, cese del ministro de Sanidad, 27-I-2021)</w:t>
      </w:r>
    </w:p>
    <w:p>
      <w:r>
        <w:t>[17.00-130.1 a 130.3]</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t>(reseña de doctrina sobre la STS de 2-XII-2005; fuente secundaria)</w:t>
      </w:r>
      <w:r>
        <w:t>.</w:t>
      </w:r>
      <w:r>
        <w:t xml:space="preserve"> (STC 124/2018, de 14-XI; STS de 20-IX-2005 y STS de 2-XII-2005)</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r>
        <w:t>[17.00-131.1 a 131.4]</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t xml:space="preserve"> (STS 2/1998, de 29-VII-1998 (Sala Segunda, causa especial 2530/1995); STC 68/2001, de 17-III-2001 (recurso de amparo 3860/98, Pleno, BOE-T-2001-6813); TEDH, demanda 74181/01, sentencia de 6-I-2010)</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r>
        <w:t>[17.00-132.1 a 132.4]</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t xml:space="preserve"> (Ley 20/2021; STJUE de 14-IV-2026, asunto C-418/24 («asunto Obadal»))</w:t>
      </w:r>
    </w:p>
    <w:p>
      <w:r>
        <w:t>[17.00-133.1, 134.1 y 134.2]</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t xml:space="preserve"> (TEDH, demanda nº 41462/17, sentencia de 6-X-2020; sentencia condenatoria del TS a un mando de la Ertzaintza (número de sentencia no localizado))</w:t>
      </w:r>
    </w:p>
    <w:p>
      <w:r>
        <w:t>[17.00-135.1, 136.1 y 136.2]</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t xml:space="preserve"> (CTBG, Memoria 2025 (BOE de 31-VIII-2026))</w:t>
      </w:r>
    </w:p>
    <w:p>
      <w:r>
        <w:t>[17.00-137.1 a 137.3]</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t xml:space="preserve"> (un magistrado del Tribunal Supremo, con datos del Ministerio de Justicia; fuente secundaria)</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t xml:space="preserve"> (STS de 18-VI-2026; Ministerio de Justicia, datos 2000-2019)</w:t>
      </w:r>
    </w:p>
    <w:p>
      <w:r>
        <w:t>[17.00-138.1 a 138.3]</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t xml:space="preserve"> (Consejo de Estado, Memorias de 2023 y de 2024)</w:t>
      </w:r>
    </w:p>
    <w:p>
      <w:r>
        <w:t>[17.00-139.1 y 139.2]</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r>
        <w:t>[17.00-231.1, 232.1 a 232.3]</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t xml:space="preserve"> (Sinopsis oficial del Congreso de los Diputados sobre el art. 108 CE)</w:t>
      </w:r>
    </w:p>
    <w:p>
      <w:r>
        <w:t>[17.00-141.1 a 141.3]</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t xml:space="preserve"> (CGPJ, nota de prensa sobre STS ECLI:ES:TS:2022:399 (Sala 3ª); Secretaría General del Congreso, nota sobre el deber de facilitar documentación al Congreso conforme al artículo 7.º del Reglamento de la Cámara, Revista de las Cortes Generales, núm. 5 (1985), pp. 231-240)</w:t>
      </w:r>
    </w:p>
    <w:p>
      <w:r>
        <w:t>[17.00-142.1 a 142.3]</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r>
        <w:t>[17.00-143.1]</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t xml:space="preserve"> (Congreso, sinopsis oficial del art. 111 CE)</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t xml:space="preserve"> (Maldita.es y Qué hacen los diputados, 28-IV-2023; fuente secundaria)</w:t>
      </w:r>
      <w:r>
        <w:t xml:space="preserve"> A 23-IV-2026 había 726 preguntas sin responder pasados los 40 días, de más de 40.000 registradas en la legislatura en curso.</w:t>
      </w:r>
      <w:r>
        <w:t xml:space="preserve"> (Newtral, 6-V-2026; fuente secundaria)</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t xml:space="preserve"> (Congreso, ficha de la pregunta 184/029356, XIV Legislatura, consultada el 8-oct-2026)</w:t>
      </w:r>
      <w:r>
        <w:t>, pero entre sus datos abiertos de iniciativas, que son cuatro conjuntos (iniciativas legislativas aprobadas, proyectos de ley, propuestas de reforma de estatuto de autonomía y proposiciones de ley), no figuran las preguntas escritas</w:t>
      </w:r>
      <w:r>
        <w:t xml:space="preserve"> (Congreso, datos abiertos de iniciativas, consultados el 8-oct-2026)</w:t>
      </w:r>
      <w:r>
        <w:t>. Las cifras de plazos que se han podido leer son de terceros.</w:t>
      </w:r>
    </w:p>
    <w:p>
      <w:r>
        <w:t>[17.00-144.1 y 144.2]</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t xml:space="preserve"> (Congreso, sinopsis oficial del art. 112 CE)</w:t>
      </w:r>
    </w:p>
    <w:p>
      <w:r>
        <w:t>[17.00-145.1 y 145.2]</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t xml:space="preserve"> (Datos históricos completos de las seis mociones de censura (Statista))</w:t>
      </w:r>
    </w:p>
    <w:p>
      <w:r>
        <w:t>[17.00-146.1 a 146.3]</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t xml:space="preserve"> (Congreso, sinopsis oficial de los arts. 101 y 113 CE)</w:t>
      </w:r>
    </w:p>
    <w:p>
      <w:r>
        <w:t>[17.00-147.1 y 147.2]</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t xml:space="preserve"> (Blog oficial del Congreso de los Diputados; Revista de Derecho Político (UNED); Congreso, sinopsis oficial del art. 115 CE)</w:t>
      </w:r>
    </w:p>
    <w:p>
      <w:r>
        <w:t>[17.00-148.1 a 148.3]</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t xml:space="preserve"> (STC 148/2021, de 14-VII; STC 183/2021, de 27-X)</w:t>
      </w:r>
    </w:p>
    <w:p>
      <w:r>
        <w:t>[17.00-149.1, 150.1 y 150.2]</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r>
        <w:t>[17.00-233.1, 234.1, 234.3]</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t xml:space="preserve"> (CGPJ, «La Justicia dato a dato 2025»; CGPJ, «Datos de Justicia» n.º 40, nota de 14-VII-2015; STSJ de Andalucía de 1-II-2002, rollo 29/2001 (fallo transcrito en la STS 279/2003, leída en el original); STS 279/2003, de 12-III (Sala Segunda, casación 459/2002, leída en el original))</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[original: «Some further progress was made on adapting the procedure for appointing the Council for the Judiciary's judges-members, as the Council obtained guidance from the Venice Commission, but no consensus has been found on finalising the process.» (traducción de la edición)]</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t xml:space="preserve"> (Comisión Europea, Informe sobre el Estado de Derecho 2026, documento de trabajo SWD(2026) 909, de 17-VII-2026, capítulo de España, apartado «Recomendaciones» (leído en el original))</w:t>
      </w:r>
    </w:p>
    <w:p>
      <w:r>
        <w:t>[17.00-152.1, 154.1, 156.1 a 156.5, 153.1, 155.1 y 155.2]</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t xml:space="preserve"> (STS 162/2022, de 9-II (Sala de lo Contencioso, recurso 7128/2020, fundamento 5.º))</w:t>
      </w:r>
    </w:p>
    <w:p>
      <w:r>
        <w:t>[17.00-157.1 a 157.3]</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t xml:space="preserve"> (Asociación de Letrados por un Turno de Oficio Digno (ALTODO); Orden de Canarias de 25-VIII-2025)</w:t>
      </w:r>
    </w:p>
    <w:p>
      <w:r>
        <w:t>[17.00-158.1 a 158.3]</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t xml:space="preserve"> (CGPJ, informe de 2025; TEDH, sentencia de 25-XI-2003)</w:t>
      </w:r>
    </w:p>
    <w:p>
      <w:r>
        <w:t>[17.00-159.1, 160.1 y 160.2]</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t xml:space="preserve"> (STS 1484/2019, de 6-V; art. 293 LOPJ)</w:t>
      </w:r>
    </w:p>
    <w:p>
      <w:r>
        <w:t>[17.00-161.1 a 161.3]</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t xml:space="preserve"> (Comisión Europea, informes 2022, 2023 y 2024 sobre el Estado de Derecho)</w:t>
      </w:r>
    </w:p>
    <w:p>
      <w:r>
        <w:t>[17.00-162.1, 163.1 y 163.2]</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t xml:space="preserve"> (LO 1/2025 (jurisdicciones social y penal), preámbulo; RDL 5/2023, de 28-VI (art. 477 LEC, jurisdicción civil))</w:t>
      </w:r>
    </w:p>
    <w:p>
      <w:r>
        <w:t>[17.00-164.1 a 164.3]</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t xml:space="preserve"> (STS 1000/2025, Sala Segunda, Causa Especial 3/20557/2024, de 9-XII-2025 (firme 26-II-2026))</w:t>
      </w:r>
    </w:p>
    <w:p>
      <w:r>
        <w:t>[17.00-165.1, 166.1 y 166.2]</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t xml:space="preserve"> (STS 1045/2007, de 17-XII; STS 54/2008, de 8-IV; STC 205/2013, de 5-XII (avaló la doctrina Atutxa))</w:t>
      </w:r>
    </w:p>
    <w:p>
      <w:r>
        <w:t>[17.00-167.1 a 167.3]</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t xml:space="preserve"> (Jueces para la Democracia (1991); RD 769/1987, de 19-VI)</w:t>
      </w:r>
    </w:p>
    <w:p>
      <w:r>
        <w:t>[17.00-168.1 a 168.3]</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t xml:space="preserve"> (Búsqueda sin hallazgos de sanciones por esta causa)</w:t>
      </w:r>
    </w:p>
    <w:p>
      <w:r>
        <w:t>[17.00-169.1 a 169.3]</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r>
        <w:t>[17.00-235.1, 236.1 a 236.3]</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t xml:space="preserve"> (FROB, cronología de la intervención de BFA-Bankia (2012-2025))</w:t>
      </w:r>
    </w:p>
    <w:p>
      <w:r>
        <w:t>[17.00-171.1 a 171.3]</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t xml:space="preserve"> (CEPES, nota de prensa (VII-2024); Comisión Internacional de Personas Expertas sobre la Democracia en el Trabajo (Ministerio de Trabajo y Economía Social), «Dos promesas a quienes trabajan: voz y propiedad», presentada el 2-II-2026)</w:t>
      </w:r>
    </w:p>
    <w:p>
      <w:r>
        <w:t>[17.00-172.1 a 172.3]</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t xml:space="preserve"> (Banco de España, «La distribución espacial de la población en España y sus implicaciones económicas» (Informe Anual 2020, publ. 2021); Fundación «la Caixa» (Observatorio Social), «Más allá de la «España vaciada»: cambio climático, despoblación y globalización en las zonas rurales» (UAB))</w:t>
      </w:r>
    </w:p>
    <w:p>
      <w:r>
        <w:t>[17.00-173.1 a 173.3]</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t xml:space="preserve"> (Sinopsis oficial del Congreso; STC 76/1983; RDL 36/2020)</w:t>
      </w:r>
    </w:p>
    <w:p>
      <w:r>
        <w:t>[17.00-174.1 a 174.3]</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t xml:space="preserve"> (resumen doctrinal sobre la Ley de Costas; fuente secundaria)</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t xml:space="preserve"> (Ley 22/1988, de Costas; STC 149/1991, de 4-VII (BOE-T-1991-19353; fallo leído en el original))</w:t>
      </w:r>
    </w:p>
    <w:p>
      <w:r>
        <w:t>[17.00-175.1 a 175.3]</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t xml:space="preserve"> (AEDAF, «50 años de evolución impositiva: avanzando juntos, superando barreras» (2019, aedaf.es/es/documentos/descarga/44858); STC 149/2023, de 7-XI (rec. 616-2023; HJ 29821))</w:t>
      </w:r>
    </w:p>
    <w:p>
      <w:r>
        <w:t>[17.00-176.1 a 176.3]</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t xml:space="preserve"> (Instituto de Estudios Económicos (IEE); IGAE, ejecución presupuestaria 2025; BOE, leyes de presupuestos (base de datos abiertos))</w:t>
      </w:r>
    </w:p>
    <w:p>
      <w:r>
        <w:t>[17.00-177.1 a 177.3]</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t xml:space="preserve"> (Banco de España, deuda de las Administraciones Públicas, mayo de 2026 (nota de 17-VII-2026); Eurostat, gov_10a_exp y gov_10dd_edpt1, 2024)</w:t>
      </w:r>
    </w:p>
    <w:p>
      <w:r>
        <w:t>[17.00-178.1 y 178.2]</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t xml:space="preserve"> (BOE núm. 5, 6-I-2023, BOE-A-2023-440)</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t xml:space="preserve"> (Tribunal de Cuentas, Informe de la Revisión entre Pares, junio de 2015, págs. 10, 11 y 29)</w:t>
      </w:r>
      <w:r>
        <w:t xml:space="preserve"> Un análisis jurídico de 2024 añade que el informe anual del Tribunal no tiene el contenido que prevé la ley.</w:t>
      </w:r>
      <w:r>
        <w:t xml:space="preserve"> (HayDerecho, 15-I-2024; fuente secundaria)</w:t>
      </w:r>
    </w:p>
    <w:p>
      <w:r>
        <w:t>[17.00-179.1 y 179.2]</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r>
        <w:t>[17.00-237.1, 238.1 a 238.3]</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xml:space="preserve"> [original: «in Spain a proper equalisation system does not exist at local level»]</w:t>
      </w:r>
      <w:r>
        <w:t>. Las transferencias suman el 35,8 % de los ingresos de los gobiernos locales, y las del Estado, el 20,25 %.</w:t>
      </w:r>
      <w:r>
        <w:t xml:space="preserve"> (Congreso de Autoridades Locales y Regionales del Consejo de Europa, informe CG(2021)41-07 que acompaña a la Recomendación 465 (2021), §§ 78, 215, 225 y 294)</w:t>
      </w:r>
    </w:p>
    <w:p>
      <w:r>
        <w:t>[17.00-181.1 a 181.3]</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t xml:space="preserve"> (Comisión Bilateral Generalitat-Estado, acuerdo de 14-VII-2025; Gestha)</w:t>
      </w:r>
    </w:p>
    <w:p>
      <w:r>
        <w:t>[17.00-182.1, 183.1 y 183.2]</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t xml:space="preserve"> (Gaceta Sanitaria (2016); Defensor del Pueblo; Ministerio de Sanidad, SISLE-SNS (31-XII-2025))</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t xml:space="preserve"> (STC 79/2017, de 22-VI; STC 111/2017, de 5-X)</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r>
        <w:t>[17.00-184.1 y 184.2, 185.1 a 185.3, 186.1 a 186.5]</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t xml:space="preserve"> (Ley 27/2013 (BOE-A-2013-13756); STC 41/2016 (BOE-A-2016-3407, fallo leído en el original); STC 111/2016, de 9-VI (rec. 1959-2014; título leído, fallo sin leer))</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r>
        <w:t>[17.00-187.1 a 187.5]</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t xml:space="preserve"> (REALA n.º 23, INAP, 2025; fuente secundaria)</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t xml:space="preserve"> (Martín-Retortillo Baquer (1991); STC 31/2010, de 28-VI)</w:t>
      </w:r>
    </w:p>
    <w:p>
      <w:r>
        <w:t>[17.00-188.1 a 188.3]</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t xml:space="preserve"> (Instituto Nacional de Administración Pública (INAP); FEMP)</w:t>
      </w:r>
    </w:p>
    <w:p>
      <w:r>
        <w:t>[17.00-189.1 a 189.3]</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t xml:space="preserve"> (Sinopsis oficial del Congreso sobre los arts. 143 y 148 CE)</w:t>
      </w:r>
    </w:p>
    <w:p>
      <w:r>
        <w:t>[17.00-190.1 a 190.3]</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t xml:space="preserve"> (la consejera de Presidencia y Administración Pública de Melilla, declaraciones en sesión de control al Gobierno de Melilla, enero de 2025 (recogidas por ceutatv.com, 3-II-2025); LO 1/1995 (BOE-A-1995-6358) y LO 2/1995 (BOE-A-1995-6359); fecha de los Acuerdos Autonómicos: Hernández Lafuente (2023), fuente secundaria)</w:t>
      </w:r>
    </w:p>
    <w:p>
      <w:r>
        <w:t>[17.00-191.1 a 191.3]</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t xml:space="preserve"> (STC 44/1986, de 17-IV; análisis académico sobre convenios interautonómicos)</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r>
        <w:t>[17.00-192.1 a 192.4]</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t xml:space="preserve"> (LO 12/1980, de 16-XII; análisis jurídico sobre el «caso Almería»; LO 2/2007 (preámbulo) y LO 6/1981)</w:t>
      </w:r>
    </w:p>
    <w:p>
      <w:r>
        <w:t>[17.00-193.1 a 193.3]</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t xml:space="preserve"> (STC 31/2010, de 28-VI (BOE-A-2010-11409))</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r>
        <w:t>[17.00-194.1 a 194.4]</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t xml:space="preserve"> (Hooghe, Marks, Schakel, Chapman Osterkatz, Niedzwiecki y Shair-Rosenfield, libro de 2016 (Oxford University Press), según la reseña de decentralization.net; libro de códigos de 2021; fuente secundaria)</w:t>
      </w:r>
    </w:p>
    <w:p>
      <w:r>
        <w:t>[17.00-195.1 y 195.2]</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t xml:space="preserve"> (STC 79/2024 (BOE-A-2024-12808); STC 44/2026 (BOE-A-2026-14760); STC 17/2026 (BOE-A-2026-7119); STC 26/2025, de 29-I-2025 (BOE-A-2025-4079, recurso 5514-2023, más de cincuenta diputados del Grupo Popular contra la Ley 12/2023 de vivienda) y STC 190/2025, de 16-XII-2025 (BOE-A-2026-1756, recurso 5516-2023, Consejo de Gobierno de las Illes Balears contra la misma ley) -ambas sobre la Ley estatal 12/2023, no sobre una ley autonómica catalana-)</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t xml:space="preserve"> (STC 118/1996 (BOE-T-1996-17381); STC 61/1997 (BOE-T-1997-8872); STC 147/1991, de 4-VII-1991 (BOE-T-1991-19351, Pleno, conflictos positivos de competencia acumulados 384/1985, 407/1985 y 340/1989))</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r>
        <w:t>[17.00-196.1 y 196.2, 197.1 a 197.5, 198.1 a 198.5]</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r>
        <w:t>[17.00-199.1]</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t xml:space="preserve"> (Sinopsis oficial del Congreso sobre las vías de acceso a la autonomía)</w:t>
      </w:r>
    </w:p>
    <w:p>
      <w:r>
        <w:t>[17.00-200.1 a 200.3]</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t xml:space="preserve"> (CGPJ, La Justicia dato a dato 2025)</w:t>
      </w:r>
      <w:r>
        <w:t>.</w:t>
      </w:r>
      <w:r>
        <w:t xml:space="preserve"> (CGPJ, La Justicia dato a dato 2025, datos por Tribunal Superior de Justicia)</w:t>
      </w:r>
    </w:p>
    <w:p>
      <w:r>
        <w:t>[17.00-201.1 a 201.3]</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t xml:space="preserve"> (Memoria del Tribunal Constitucional, 2018 (tribunalconstitucional.es); cifra citada por Noticias Jurídicas, TheObjective y El Derecho)</w:t>
      </w:r>
    </w:p>
    <w:p>
      <w:r>
        <w:t>[17.00-202.1 a 202.3]</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t xml:space="preserve"> (Julio Ponce, «Los delegados del Gobierno en España (1997-2018)», Historia y Política n.º 44 (2020))</w:t>
      </w:r>
    </w:p>
    <w:p>
      <w:r>
        <w:t>[17.00-203.1 a 203.3]</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t xml:space="preserve"> (J. M. Lafuente Balle, Revista de Derecho Político (UNED), n.º 102 (2018))</w:t>
      </w:r>
    </w:p>
    <w:p>
      <w:r>
        <w:t>[17.00-204.1 a 204.3]</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t xml:space="preserve"> (Estudios sobre corresponsabilidad fiscal autonómica; Ley 22/2009)</w:t>
      </w:r>
    </w:p>
    <w:p>
      <w:r>
        <w:t>[17.00-205.1 a 205.3]</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t xml:space="preserve"> (AEDAF, «50 años de evolución impositiva»)</w:t>
      </w:r>
    </w:p>
    <w:p>
      <w:r>
        <w:t>[17.00-206.1 a 206.3]</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t xml:space="preserve"> (Comité de Inversiones Públicas del Ministerio de Hacienda; Ley 29/1990)</w:t>
      </w:r>
    </w:p>
    <w:p>
      <w:r>
        <w:t>[17.00-207.1 a 207.3]</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r>
        <w:t>[17.00-239.1, 240.1 a 240.3]</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t xml:space="preserve"> (Constitución, art. 159.1)</w:t>
      </w:r>
      <w:r>
        <w:t>. Tres de ellos fueron nombrados por los Reales Decretos 260, 262 y 263/2017, de 10 de marzo de 2017, y el cargo dura nueve años</w:t>
      </w:r>
      <w:r>
        <w:t xml:space="preserve"> (Constitución, art. 159.3; Ley Orgánica 2/1979, art. 16.3)</w:t>
      </w:r>
      <w:r>
        <w:t>: el suyo se cumplió el 10 de marzo de 2026. El cuarto fue nombrado por el Real Decreto 757/2024, de 29 de julio, para cubrir una vacante, y la ley lo nombra «por el tiempo que a éste restase»</w:t>
      </w:r>
      <w:r>
        <w:t xml:space="preserve"> (Ley Orgánica 2/1979, art. 16.5; BOE, Real Decreto 757/2024 (BOE-A-2024-15661))</w:t>
      </w:r>
      <w:r>
        <w:t>; el decreto no dice qué vacante cubre. A 21 de septiembre de 2026, los cuatro seguían en la lista de magistrados del Tribunal, porque la ley les deja continuar «hasta que hayan tomado posesión quienes hubieren de sucederles»</w:t>
      </w:r>
      <w:r>
        <w:t xml:space="preserve"> (Ley Orgánica 2/1979, art. 17.2; Tribunal Constitucional, fichas de los magistrados, leídas el 7-X-2026 con la información a 21-IX-2026)</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t xml:space="preserve"> (Tribunal Constitucional, Auto 177/2022, de 19-XII-2022, amparo 8263-2022 (BOE núm. 17, de 20-I-2023, BOE-A-2023-1773))</w:t>
      </w:r>
    </w:p>
    <w:p>
      <w:r>
        <w:t>[17.00-209.1, 210.1 y 210.2]</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r>
        <w:t>[17.00-211.1]</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t xml:space="preserve"> (Congreso, sinopsis oficial del art. 161 CE)</w:t>
      </w:r>
    </w:p>
    <w:p>
      <w:r>
        <w:t>[17.00-212.1 y 212.2]</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t xml:space="preserve"> (Memoria del Tribunal Constitucional, 2020; STC 42/1985, de 15-III; STC 150/1990, de 4-X; ATC 155/2022 (HJ 29152; cita leída en el original, las dos sentencias solo a través de él). El ATC 874/1985, citado antes en la obra, trata de otra cuestión (retirada de la firma de un diputado) y se retira como fuente)</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r>
        <w:t>[17.00-213.1 a 213.4]</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t xml:space="preserve"> (Memoria del Tribunal Constitucional, 2024)</w:t>
      </w:r>
    </w:p>
    <w:p>
      <w:r>
        <w:t>[17.00-214.1 a 214.3]</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t xml:space="preserve"> (AATC 141/2016, 170/2016, 24/2017 (BOE-A-2017-3258) y 123/2017 (BOE-A-2017-10826); STC 185/2016 (BOE-A-2016-11818); STC 215/2016 (BOE-A-2017-650))</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r>
        <w:t>[17.00-215.1 a 215.4]</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t xml:space="preserve"> (LO 4/2021; LO 8/2022; STC 128/2023; STC 139/2024; voto particular en la STC 153/2024)</w:t>
      </w:r>
    </w:p>
    <w:p>
      <w:r>
        <w:t>[17.00-216.1 a 216.3]</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r>
        <w:t>[17.00-241.1, 242.1 a 242.3]</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t xml:space="preserve"> (Registro del Congreso de los Diputados; Revista de Derecho Político (UNED), n.º 121 (2024))</w:t>
      </w:r>
    </w:p>
    <w:p>
      <w:r>
        <w:t>[17.00-218.1 a 218.3]</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t xml:space="preserve"> (Congreso, sinopsis oficial del art. 167 CE; BOE-A-1992-20403; BOE-A-2011-15210; BOE-A-2024-3099; BOE-A-2026-10881 (reforma del art. 69.3 CE, de 19 de mayo de 2026))</w:t>
      </w:r>
    </w:p>
    <w:p>
      <w:r>
        <w:t>[17.00-219.1 a 219.3]</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t xml:space="preserve"> (Congreso, sinopsis oficial de los arts. 167 y 168 CE)</w:t>
      </w:r>
    </w:p>
    <w:p>
      <w:r>
        <w:t>[17.00-220.1 y 220.2]</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t xml:space="preserve"> (Congreso, sinopsis oficial de los arts. 167 y 169 CE)</w:t>
      </w:r>
    </w:p>
    <w:p>
      <w:r>
        <w:t>[17.00-221.1 y 221.2]</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r>
        <w:t>[17.00-243.1, 244.1]</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 xml:space="preserve">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 </w:t>
      </w:r>
      <w:r>
        <w:t>[17.00-245.2]</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xml:space="preserve">,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 </w:t>
      </w:r>
      <w:r>
        <w:t>[17.00-245.3]</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r>
        <w:br w:type="page"/>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keepNext/>
      </w:pPr>
      <w:r>
        <w:rPr>
          <w:rFonts w:ascii="Segoe UI" w:hAnsi="Segoe UI" w:eastAsia="Segoe UI" w:cs="Segoe UI"/>
          <w:b/>
          <w:color w:val="6B665E"/>
          <w:sz w:val="20"/>
        </w:rPr>
        <w:t>Notas de trabajo (estado y trazabilidad)</w:t>
      </w:r>
    </w:p>
    <w:p>
      <w:r>
        <w:t>ESTADO: APROBADO por Kiko el 7-oct-2026 («si»; conversación del aviso PASO 3.4, ya en Sonnet 5.5); sus marcas, en 04 CAPITULOS/marcas/marcas del anexo B.txt. Paso 3. Sale de la pieza 21.00 (§2 bis, §3 bis, §5, §7 a §10 y §13; archivo congelado). Plan aprobado por Kiko («si a las dos»): estructura B.0 a B.6; las horquillas del tiempo de los trámites sin la gestoría (de 2.763 a 4.778 €), con la gestoría nombrada sin cifra y su cifra a flecos; y B.5 con las comisiones bancarias «con lo que hay»: los documentos del Banco Santander son de 2021 a 2025 y el único dato de 2026 es la media de ASUFIN; la experiencia de Kiko (20 € al mes por una cuenta personal, Santander One; 30 € al mes por la de su actividad, Santander One Empresas), como experiencia del autor, sin fecha de verificación, con su permiso y con el NOMBRE DEL BANCO y los ENLACES de cada documento (Kiko, 7-oct: «el nombre del banco lo debes poner, y de dónde sacas el dato, el enlace»). No es anexo de consulta: sin defensa propia; la defensa del Estado se oye en el cargo 25 (la carga) y en el 4 (el ahorro). Escrito en tres niveles y con remisiones enlazables. Leído hoy en su original (en local): - INE, índice general de precios de consumo, base 2025 (c9a, tabla 24077): agosto de 2026, 104,638 frente a 100,345 en agosto de 2025: +4,28 % (cálculo); la tasa más alta desde febrero de 2023 (6,0 %: todas las intermedias, por debajo del 4,3); media de los doce meses hasta agosto de 2026, 3,14 %; media de 2025, 2,67 %; de 2024, 2,77 %; diciembre de 2025, 2,92 %. Todo cálculo de la obra con el índice. - AIReF, informe sobre los presupuestos iniciales de 2026, 15-4-2026 (c8b): convenios, 3,56 % en 2025 y 2,9 % en marzo de 2026; «se espera que en el conjunto de 2026 los salarios reales disminuyan de manera moderada»: remuneración por asalariado del 3 %, «algo por debajo de la inflación (3,2 %)». - INE, Encuesta de Presupuestos Familiares 2025 (c9e, tabla 73779): agua y otros servicios de la vivienda, 952,47 €; electricidad, gas y otros combustibles, 1.254,63 €; servicios financieros, 16,96 € (gasto total medio por hogar). La nota de prensa da 35.101 € por hogar y 14.066 por persona: unas 2,5 personas por hogar (cálculo). - Ley 38/1992, de Impuestos Especiales (c10): art. 99.1, electricidad, «el 5,11269632 por ciento»; art. 70, tipos del impuesto de matriculación por epígrafes de emisiones de CO2. - Texto refundido de la Ley Reguladora de las Haciendas Locales (c9e): art. 72.1 (IBI, 0,4 % y 1,10 % en urbanos) y art. 95.1 (cuota de turismos de 12,62 a 112,00 €) y 95.4 (coeficiente que no podrá ser superior a 2). - Ley General de la Seguridad Social (c5): art. 136.2.ñ) y o) (altos cargos que no sean funcionarios, y miembros de las corporaciones locales con dedicación, en el Régimen General) y art. 264.1 (personas protegidas por desempleo: los funcionarios de carrera no figuran). - Instituto Juan de Mariana, Impuestómetro 2026 (c8b): la lista de las categorías, la tasa de basuras fuera de su cifra y los 705 € municipales (IBI, IVTM, ICIO, plusvalía municipal e IAE). Estudio privado. - Banco Santander (lote nuevo 10 FUENTES LEIDAS/b_santander, bajado hoy con permiso de Kiko): cuatro documentos de información precontractual (2021, 2022 y los dos de particulares, con metadatos de 2025), la página de autónomos leída hoy y una nota de prensa de 2024; ver B.5. Hallado al escribir (erratas ya en el 07, salvo la primera, que va con él; la edición lleva la versión de la fuente): - 21.00-10.2: la pieza dice que la tasa de basuras «ya está contada» en las capas, con el Impuestómetro como apoyo. El Impuestómetro dice lo contrario: la nueva tasa de basuras, «que ronda los 200 euros por hogar en determinados municipios», no entra en su cifra «a la espera de estudios que concreten su impacto»; los 705 € municipales son IBI, IVTM, ICIO, plusvalía municipal e IAE. Coincide con 21.00-3.24. Va la versión de la fuente. - 21.00-4.4: el 15,6 % de autónomos es el 15,7 % de 21.844.414 afiliados. - 21.00-4.5: el Boletín de enero de 2025 da 3.033.304 personas (no 3.037.432), con sus porcentajes y sus cifras de carrera, laboral y otro personal. - 21.00-4.10 y 4.11: con el 31,50 % de la Orden de cotización (no el 31,4 % del modelo), 46,9, 48,9, 51,1, 53,2 y 27,5; de ahí lo que queda a la base máxima, 46,8. - 21.00-5.1: 2.531,22 € es el coste salarial del cuarto trimestre de 2025 (con la paga extra), no la media del año (2.376,55 €, +3,2 %); 27.447 € no está en el INE (ETCL de 2024, 27.622,20 €, +3,85 %). - 21.00-5.4 y 5.5: el depósito a plazo era del 1,77 % en marzo de 2026, no del 1,82 %; con él, los 10.000 € dejan 9,60 € y no 14,73 € frente a la media de ASUFIN. - 21.00-8.2: el art. 34.1 del Estatuto no da horas al año; las 1.826 de jornada son un cálculo de la obra. No entra todavía, y queda en 05 FLECOS para leerlo en su fuente (Kiko: «nunca fuera»): - 21.00-4.7: el efecto de los altos cargos sobre la media, «unos 11 euros» (cálculo anterior sin sumandos). - 21.00-4.15: que los funcionarios de carrera tampoco coticen por el Fondo de Garantía Salarial ni por formación (supuesto del cuadro, no verificado): la Orden PJC/297/2026 no dice nada de esas dos cotizaciones para ellos. - 21.00-5.5: que el agregado de depósitos de los hogares esté concentrado en las rentas altas. - 21.00-10.2 y 10.10: el 42 al 50 % de impuestos de la gasolina (Repsol y RACE), los tipos de IVA de la luz, la gasolina y el agua (los del alquiler, la alimentación y la hostelería se leyeron el 7-oct en la Ley 37/1992 y están en B.4); la comparación con las facturas de suministros. - 21.00-8.5 a 8.7 y 10.5: la gestoría de 700 a 1.500 euros al año (comparadores, no oficial). Y la tarifa vigente en 2026 del Banco Santander, que consta en el registro del Banco de España (su portal no se pudo leer desde fuera de un navegador). Conceptos que usa, ya anclados: la carga, las cinco capas, los tres perfiles y los costes indirectos (8.4); la pérdida de valor de la moneda (8.1 a 8.3); el sistema de reparto (5.1, n.º 1); el juicio y sus cargos (11). Lo que no se repite: la cifra oficial de presión fiscal, el asalariado medio con sus cinco capas y las dos bases, la cuota del autónomo y sus tipos, los costes indirectos y las 226 horas de ATA (8.4); lo que cuestan las nóminas públicas, las pensiones y los cargos políticos (anexo C).</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 </w:t>
      </w:r>
      <w:r>
        <w:t>[21.00-4.1]</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 xml:space="preserve">INE, Encuesta de Población Activa </w:t>
            </w:r>
            <w:r>
              <w:rPr>
                <w:rFonts w:ascii="Segoe UI" w:hAnsi="Segoe UI" w:eastAsia="Segoe UI" w:cs="Segoe UI"/>
                <w:color w:val="1F1D1A"/>
                <w:sz w:val="18"/>
              </w:rPr>
              <w:t>[21.00-4.2; 21.00-4.3]</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 xml:space="preserve">Agencia Tributaria, Modelo 190 </w:t>
            </w:r>
            <w:r>
              <w:rPr>
                <w:rFonts w:ascii="Segoe UI" w:hAnsi="Segoe UI" w:eastAsia="Segoe UI" w:cs="Segoe UI"/>
                <w:color w:val="1F1D1A"/>
                <w:sz w:val="18"/>
              </w:rPr>
              <w:t>[21.00-4.6]</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 xml:space="preserve">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 </w:t>
      </w:r>
      <w:r>
        <w:t>[21.00-4.7]</w:t>
      </w:r>
    </w:p>
    <w:p>
      <w:r>
        <w:t xml:space="preserve">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 </w:t>
      </w:r>
      <w:r>
        <w:t>[21.00-4.7]</w:t>
      </w:r>
    </w:p>
    <w:p>
      <w:r>
        <w:t>Los altos cargos que no son funcionarios cotizan en el Régimen General</w:t>
      </w:r>
      <w:r>
        <w:t xml:space="preserve"> (Ley General de la Seguridad Social, art. 136.2.ñ)</w:t>
      </w:r>
      <w:r>
        <w:t xml:space="preserve">; cuántos son y qué cobran está en C.1. </w:t>
      </w:r>
      <w:r>
        <w:t>[21.00-4.7]</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 xml:space="preserve">). </w:t>
      </w:r>
      <w:r>
        <w:t>[21.00-4.8; 21.00-9.6]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[21.00-4.9; 21.00-4.10; 21.00-4.11; 21.00-4.12; 21.00-4.13; 21.00-4.14; 21.00-9.7; 21.00-9.8; 21.00-9.9, con las erratas del 07: 46,9, 48,9, 51,1, 53,2 y 27,5]</w:t>
      </w: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r>
        <w:t>[21.00-4.10]</w:t>
      </w:r>
    </w:p>
    <w:p>
      <w:pPr>
        <w:pStyle w:val="ListBullet"/>
      </w:pPr>
      <w:r>
        <w:rPr>
          <w:i/>
        </w:rPr>
        <w:t>Autónomo con sociedad.</w:t>
      </w:r>
      <w:r>
        <w:t xml:space="preserve"> La capa 4 es el Impuesto de Sociedades real de la sociedad, no una hipótesis; por eso no es comparable capa a capa con los demás perfiles. </w:t>
      </w:r>
      <w:r>
        <w:t>[21.00-4.11]</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r>
        <w:t>[21.00-4.12; 21.00-4.13; 21.00-4.14; 21.00-9.7; 21.00-9.8; 21.00-9.9]</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t xml:space="preserve"> (Ley General de la Seguridad Social, art. 264.1; lectura de la obra del texto)</w:t>
      </w:r>
      <w:r>
        <w:t>. La Orden PJC/297/2026 es coherente con ello: los reservistas voluntarios cotizan por desempleo «salvo cuando sean funcionarios de carrera»</w:t>
      </w:r>
      <w:r>
        <w:t xml:space="preserve"> (Orden PJC/297/2026, art. 33.2.a), 10.º)</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xml:space="preserve">). El cuadro mide lo que el funcionario y su empleador aportan, no lo que costará pagar su pensión ni si lo aportado alcanza. </w:t>
      </w:r>
      <w:r>
        <w:t>[21.00-4.15; 21.00-9.10]</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 xml:space="preserve">). </w:t>
      </w:r>
      <w:r>
        <w:t>[21.00-4.16]</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 xml:space="preserve">. </w:t>
      </w:r>
      <w:r>
        <w:t>[21.00-4.17; 21.00-4.18]</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t xml:space="preserve"> (Instituto Juan de Mariana, Impuestómetro 2026, Anexo 1)</w:t>
      </w:r>
      <w:r>
        <w:t xml:space="preserve">.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 </w:t>
      </w:r>
      <w:r>
        <w:t>[21.00-10.1; 21.00-10.2]</w:t>
      </w:r>
    </w:p>
    <w:p>
      <w:r>
        <w:t>Con la electricidad pasa lo mismo: el impuesto especial es del 5,11269632 % sobre la base</w:t>
      </w:r>
      <w:r>
        <w:t xml:space="preserve"> (Ley 38/1992, art. 99.1)</w:t>
      </w:r>
      <w:r>
        <w:t xml:space="preserve">, y está dentro de los impuestos especiales de la capa 3. Cuánto pesa el de los hidrocarburos en el precio de la gasolina y qué tipos de IVA llevan la luz, la gasolina y el agua no se han leído en su fuente: no entran todavía. </w:t>
      </w:r>
      <w:r>
        <w:t>[21.00-10.2]</w:t>
      </w:r>
    </w:p>
    <w:p>
      <w:r>
        <w:rPr>
          <w:b/>
        </w:rPr>
        <w:t>El IVA de la vida cotidiana.</w:t>
      </w:r>
      <w:r>
        <w:t xml:space="preserve"> No está solo el de la luz y el agua: es la parte principal de la capa del IVA. La recaudación de IVA sobre el consumo de los hogares fue de 61.289 millones de euros en 2022</w:t>
      </w:r>
      <w:r>
        <w:t xml:space="preserve"> (Fedea)</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t xml:space="preserve"> (Ley 37/1992, del IVA)</w:t>
      </w:r>
      <w:r>
        <w:t xml:space="preserve">. </w:t>
      </w:r>
      <w:r>
        <w:t>[21.00-10.10]</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t xml:space="preserve"> (Eurostat, cuentas nacionales)</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t xml:space="preserve"> (Instituto Juan de Mariana, Impuestómetro 2026, con datos del Institut économique Molinari)</w:t>
      </w:r>
      <w:r>
        <w:t xml:space="preserve">, y supone, por decisión de la obra, que gasta entre el 88 y el 100 % (de 20.525 a 23.324 euros): ese reparto es un supuesto, no un dato. </w:t>
      </w:r>
      <w:r>
        <w:t>[21.00-3.9]</w:t>
      </w:r>
    </w:p>
    <w:p>
      <w:r>
        <w:rPr>
          <w:b/>
        </w:rPr>
        <w:t>Lo que no está en las capas.</w:t>
      </w:r>
      <w:r>
        <w:t xml:space="preserve"> La nueva tasa de basuras, que ronda los 200 euros por hogar en determinados municipios, según el propio Impuestómetro, que no la suma a la espera de estudios</w:t>
      </w:r>
      <w:r>
        <w:t xml:space="preserve"> (Instituto Juan de Mariana, Impuestómetro 2026)</w:t>
      </w:r>
      <w:r>
        <w:t>; las tasas de ITV y de tráfico; el impuesto de matriculación</w:t>
      </w:r>
      <w:r>
        <w:t xml:space="preserve"> (Ley 38/1992, art. 70, con tipos por epígrafes de emisiones de CO2)</w:t>
      </w:r>
      <w:r>
        <w:t xml:space="preserve">; el impuesto sobre las primas de seguros; el efecto de no deflactar el IRPF, que el informe cuenta como subida encubierta pero no cuantifica en euros; y las tasas y aranceles de notarios y registros. </w:t>
      </w:r>
      <w:r>
        <w:t>[21.00-3.24; 21.00-10.2, con la errata del 07: la tasa de basuras no está contada]</w:t>
      </w:r>
    </w:p>
    <w:p>
      <w:r>
        <w:rPr>
          <w:b/>
        </w:rPr>
        <w:t>Los tributos de la vida diaria, con lo que consta.</w:t>
      </w:r>
      <w:r>
        <w:t xml:space="preserve"> El IBI tiene un tipo mínimo del 0,4 % y máximo del 1,10 % del valor catastral en los inmuebles urbanos</w:t>
      </w:r>
      <w:r>
        <w:t xml:space="preserve"> (Texto refundido de la Ley Reguladora de las Haciendas Locales, art. 72.1)</w:t>
      </w:r>
      <w:r>
        <w:t>. El impuesto sobre vehículos de tracción mecánica tiene una cuota base por caballos fiscales —en turismos, de 12,62 a 112,00 euros— que los ayuntamientos pueden subir con un coeficiente no superior a 2</w:t>
      </w:r>
      <w:r>
        <w:t xml:space="preserve"> (art. 95.1 y 95.4)</w:t>
      </w:r>
      <w:r>
        <w:t xml:space="preserve">; ambos están dentro de los tributos municipales. Del permiso de circulación, las tasas de tráfico, la ITV (cuyas tarifas fijan las comunidades autónomas) y el seguro obligatorio no se han verificado los importes, y no están en las capas: se citan como existentes, sin cifra. </w:t>
      </w:r>
      <w:r>
        <w:t>[21.00-10.3]</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t xml:space="preserve"> (INE, EPF 2025)</w:t>
      </w:r>
      <w:r>
        <w:t xml:space="preserve">. Son medias por hogar, de unas 2,5 personas, no por trabajador (cálculo de la obra con la nota del INE). </w:t>
      </w:r>
      <w:r>
        <w:t>[21.00-10.4]</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xml:space="preserve">): quien sea autónomo debe tenerla en cuenta aparte. Cuánto cuesta no se ha leído en una fuente oficial: no entra todavía. </w:t>
      </w:r>
      <w:r>
        <w:t>[21.00-10.5]</w:t>
      </w:r>
    </w:p>
    <w:p>
      <w:r>
        <w:t xml:space="preserve">Fuentes: Instituto Juan de Mariana, Impuestómetro (metodología y categorías); Ley 38/1992, arts. 70 y 99; Texto refundido de la Ley Reguladora de las Haciendas Locales, arts. 72 y 95; INE, Encuesta de Presupuestos Familiares 2025; Eurostat, cuentas nacionales; Fedea, brecha del IVA en los hogares españoles. </w:t>
      </w:r>
      <w:r>
        <w:t>[21.00-10.11]</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xml:space="preserve">, nunca se compara con 100 lo que suma 130,6. </w:t>
      </w:r>
      <w:r>
        <w:t>[21.00-10.6; 21.00-10.8]</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xml:space="preserve">). Son euros nominales de 2025 y 2026. Los gastos fijos de vivienda y banco no se restan aquí: son costes de un hogar, no de un individuo, y mezclarían dos bases. </w:t>
      </w:r>
      <w:r>
        <w:t>[21.00-10.6; 21.00-10.7; 21.00-10.8]</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t xml:space="preserve"> (Eurostat, índice armonizado de precios de consumo)</w:t>
      </w:r>
      <w:r>
        <w:t xml:space="preserve">.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 </w:t>
      </w:r>
      <w:r>
        <w:t>[21.00-10.9]</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t xml:space="preserve"> (INE, Encuesta Trimestral de Coste Laboral; índice de precios de consumo, cálculo de la obra)</w:t>
      </w:r>
      <w:r>
        <w:t xml:space="preserve">. </w:t>
      </w:r>
      <w:r>
        <w:t>[21.00-5.1, con las erratas del 07: 27.622 y 28.519 euros, no 27.447 ni 30.375; la subida del 3,6 % que se citaba es la del cuarto trimestre, 2.531,22 euros al mes con la paga extra]</w:t>
      </w:r>
    </w:p>
    <w:p>
      <w:r>
        <w:t>Esa ganancia no está garantizada en 2026. La inflación interanual de agosto de 2026 fue del 4,3 %, la más alta desde febrero de 2023; la media de los últimos doce meses es del 3,1 %</w:t>
      </w:r>
      <w:r>
        <w:t xml:space="preserve"> (INE, índice general, cálculo de la obra)</w:t>
      </w:r>
      <w:r>
        <w:t>. El INE atribuye la subida del grupo Transporte, hasta el 9,5 %, «principalmente, al incremento de los precios de los combustibles y lubricantes para vehículos personales»</w:t>
      </w:r>
      <w:r>
        <w:t xml:space="preserve"> (INE, nota de prensa del IPC de agosto de 2026)</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t xml:space="preserve"> (AIReF, informe sobre los presupuestos iniciales de 2026, 15-4-2026)</w:t>
      </w:r>
      <w:r>
        <w:t xml:space="preserve">. Lo que queda tras las capas es una fotografía nominal de un año concreto, y la inflación erosiona ese margen en cada año en que los precios suben más deprisa que el salario. </w:t>
      </w:r>
      <w:r>
        <w:t>[21.00-5.2]</w:t>
      </w:r>
    </w:p>
    <w:p>
      <w:r>
        <w:rPr>
          <w:b/>
        </w:rPr>
        <w:t>El ahorrador paga tres veces por el mismo dinero.</w:t>
      </w:r>
      <w:r>
        <w:t xml:space="preserve"> </w:t>
      </w:r>
      <w:r>
        <w:t>[21.00-5.4; 21.00-5.5]</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t xml:space="preserve"> (Banco de España, tipos de depósitos a plazo de hogares; cálculo de la obra)</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t xml:space="preserve"> (ASUFIN, Barómetro de Comisiones Bancarias, nota de 18-5-2026, https://www.asufin.com/escalada-precios-comisiones-bancarias/; asociación de usuarios, fuente privada)</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t xml:space="preserve"> (Banco Santander, información precontractual de la Cuenta Santander One, de particulares, 28-7-2022, https://wcm.bancosantander.es/wce/documentos-cms/do-info-precontractual-santander-one.pdf; de la Cuenta Santander One Empresas (autónomos), 14-1-2021, https://wcm.bancosantander.es/wce/documentos-cms/do-cuenta-santander-one-autonomos-julio-2021.pdf; y de la Cuenta Santander, de particulares, con metadatos de 2025, https://wcm.bancosantander.es/wce/documentos-cms/do-info-precontractual-cuenta-santander.pdf)</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t xml:space="preserve"> (Banco Santander, nota de prensa de 13-6-2024, https://www.santander.com/es/sala-de-comunicacion/notas-de-prensa/2024/06/santander-lanza-la-cuenta-negocios-sin-comisiones-para-autonomos-comercios-y-microempresas)</w:t>
      </w:r>
      <w:r>
        <w:t>; su página de autónomos, leída el 7-10-2026, la ofrece sin comisión</w:t>
      </w:r>
      <w:r>
        <w:t xml:space="preserve"> (Banco Santander, https://www.bancosantander.es/empresas/autonomos/cuenta-online/)</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 xml:space="preserve">Para ilustrarlo se usan dos importes redondos, no una media: sobre 5.000 euros, el interés de 88,44 no cubre ni la media de ASUFIN (167,27), y quedan −78,83. </w:t>
      </w:r>
      <w:r>
        <w:t>[21.00-5.5]</w:t>
      </w:r>
    </w:p>
    <w:p>
      <w:r>
        <w:t xml:space="preserve">Banco Santander, documentos leídos (en 10 FUENTES LEIDAS/b_santander), con su enlace: Cuenta Santander, particulares, https://wcm.bancosantander.es/wce/documentos-cms/do-info-precontractual-cuenta-santander.pdf (comisión de 20 euros al mes, sin intereses); su versión de microsite, https://microsite.bancosantander.es/files/Cuenta123/InfoPrecontractualCuentaOne.pdf; resumen de condiciones de Santander One, https://wcm.bancosantander.es/wce/documentos-cms/do-resumen-condiciones-one.pdf; Cuenta Santander One Empresas, personas jurídicas, 14-1-2021, https://portalnhb.bancosantander.es/san/wcm/connect/sanflix/71b1298b-082d-42ea-aef8-1537be638edb/Cuenta+Santander+One+Empresas+(personas+juri%CC%81dicas)_v1.pdf?MOD=AJPERES&amp;pdfmethod=get&amp;pdf=pdf (30 euros al mes); Cuenta Santander One, particulares, 28-7-2022 (20 euros al mes; 10 con ahorro de 5.000 a menos de 25.000 euros en fondos, planes o seguros, un préstamo, seguros de 120 euros de primas, o nómina de al menos 600 euros al mes o pensión de al menos 300; exención con 1.000 acciones del banco, 25.000 euros en ahorro o depósitos o un titular menor de 29 años, según la versión de 2025); Cuenta Santander One Empresas, 14-1-2021, autónomos y personas jurídicas (30 euros al mes). Lote: 10 FUENTES LEIDAS/b_santander. </w:t>
      </w:r>
      <w:r>
        <w:t>[21.00-5.6]</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xml:space="preserve">): el mecanismo no necesita suponer intención para ser injusto. </w:t>
      </w:r>
      <w:r>
        <w:t>[lectura propia, por indicación de Kiko, 7-oct]</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xml:space="preserve">), se pueden valorar con dos referencias oficiales distintas, para no forzar una sola cifra: </w:t>
      </w:r>
      <w:r>
        <w:t>[21.00-8.1]</w:t>
      </w:r>
    </w:p>
    <w:p>
      <w:pPr>
        <w:pStyle w:val="ListBullet"/>
      </w:pPr>
      <w:r>
        <w:rPr>
          <w:i/>
        </w:rPr>
        <w:t>Con el salario mínimo de 2026,</w:t>
      </w:r>
      <w:r>
        <w:t xml:space="preserve"> 17.094 euros brutos al año</w:t>
      </w:r>
      <w:r>
        <w:t xml:space="preserve"> (Real Decreto 126/2026, de 18 de febrero)</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r>
        <w:t>[21.00-8.2, con la errata del 07]</w:t>
      </w:r>
    </w:p>
    <w:p>
      <w:pPr>
        <w:pStyle w:val="ListBullet"/>
      </w:pPr>
      <w:r>
        <w:rPr>
          <w:i/>
        </w:rPr>
        <w:t>Con el salario medio bruto,</w:t>
      </w:r>
      <w:r>
        <w:t xml:space="preserve"> 29.540,26 euros</w:t>
      </w:r>
      <w:r>
        <w:t xml:space="preserve"> (INE, Encuesta Anual de Estructura Salarial 2024)</w:t>
      </w:r>
      <w:r>
        <w:t xml:space="preserve">, la hora vale unos 16,18 euros y las 226 horas, unos 3.657 euros al año; coherente con la propia estimación de la asociación, de 15 euros la hora y 3.390 al año, que queda entre las dos. </w:t>
      </w:r>
      <w:r>
        <w:t>[21.00-8.3]</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t xml:space="preserve"> (Orden PJC/297/2026, arts. 4 y 33)</w:t>
      </w:r>
      <w:r>
        <w:t xml:space="preserve">. No incluye la cotización por accidentes de trabajo y enfermedades profesionales, que depende de la actividad. </w:t>
      </w:r>
      <w:r>
        <w:t>[21.00-8.4]</w:t>
      </w:r>
    </w:p>
    <w:p>
      <w:r>
        <w:t xml:space="preserve">Sumando esa cotización a las dos referencias: </w:t>
      </w:r>
      <w:r>
        <w:t>[21.00-8.5; 21.00-8.6]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 </w:t>
      </w:r>
      <w:r>
        <w:t>[21.00-8.7, sin la gestoría ni el nombre de «coste real»]</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 </w:t>
      </w:r>
      <w:r>
        <w:t>[8.4, lectura del autor]</w:t>
      </w:r>
    </w:p>
    <w:p>
      <w:r>
        <w:t xml:space="preserve">Fuentes: Real Decreto 126/2026, de 18-2 (SMI de 2026); Estatuto de los Trabajadores, art. 34.1; INE, Encuesta Anual de Estructura Salarial 2024; Orden PJC/297/2026, de 30-3, arts. 4 y 33. </w:t>
      </w:r>
      <w:r>
        <w:t>[21.00-8.8]</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r>
        <w:t>[21.00-13.6]</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r>
        <w:br w:type="page"/>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keepNext/>
      </w:pPr>
      <w:r>
        <w:rPr>
          <w:rFonts w:ascii="Segoe UI" w:hAnsi="Segoe UI" w:eastAsia="Segoe UI" w:cs="Segoe UI"/>
          <w:b/>
          <w:color w:val="6B665E"/>
          <w:sz w:val="20"/>
        </w:rPr>
        <w:t>Notas de trabajo (estado y trazabilidad)</w:t>
      </w:r>
    </w:p>
    <w:p>
      <w:r>
        <w:t>ESTADO: APROBADO por Kiko el 7-oct-2026 («sí»; conversación del aviso PASO 3.4); sus marcas, en 04 CAPITULOS/marcas/marcas del anexo C.txt. Paso 3. Sale de la pieza 35.00 (el anexo de datos) y de 20.00-14.1 a 14.3 y 35.13 y 34.00-11.8, 12.9 y 12.10 (archivo congelado). Plan aprobado por Kiko («sí»): el orden de la 35.00; la Casa del Rey dentro de C.2; el cuadro de las partidas como tabla resumen con remisiones. Y su corrección (7-oct): la partida de las pensiones de la Seguridad Social no es solo la de quien trabajó en la empresa privada; se desarrolla en C.5 («Lo que lleva dentro la bolsa de la Seguridad Social») y en el cuadro va el dato con una nota (C.3). Sin «clama al cielo»: es una maniobra camuflada (5.1), y el cargo 23 ya la juzga. Escrito en tres niveles y con remisiones enlazables. Es anexo de consulta: lleva su propia defensa. Leído hoy en su original (en local): - Casa de S.M. el Rey, distribución del presupuesto de 2026 (c9e, casareal_presupuestos_distribucion_2026.txt): artículo 13, «Laborales. 32.500,00 euros»; artículo 15, «Incentivos al rendimiento.1.818.350,00 euros», que «Recoge los complementos que percibe el personal que presta servicio en la Casa»; el capítulo 1 incluye «otro personal que presta servicio en la misma». Cuentas de 2025 auditadas por el Tribunal de Cuentas (c9e, nota 11.1): «las sumas destinadas a complemento retributivos que se puedan asignar a otro personal que presta servicio en la Casa, de acuerdo con la facultad establecida en el artículo 12.1 del Real Decreto 434/1988». Ninguno de los dos dice cuántas personas son. - Eurostat, cuentas de las administraciones públicas, 2025 (c5, eurostat_gov_10a_main_ES_S13.csv): cotizaciones sociales 223.612 millones, de ellas 161.409 de los empleadores (el mismo dato de 5.1, n.º 3). Hallado al escribir (erratas ya en el 07; la edición lleva la versión de la fuente): - 35.00-1.2 y 6.7: con el listado de 2025 del Portal, 392 de 743 registros (52,8 %) y media de 92.294 €, no 391 (52,6 %) ni 92.189 €. - 35.00-1.3: el Boletín de enero de 2025 da 936 eventuales en los ministerios, no 948. - 35.00-1.4: 1.195 ayuntamientos sin informar, no 1.196; los 17 parlamentos autonómicos suman 1.212 escaños (1.262 con Ceuta y Melilla), no 1.268. - 35.00-2.2: 172.749 / 3.071.725 = 56.238 €, no 57.000. - 35.00-2.8 y 3.14: los 743 registros de 2025 suman 68.574.605 € (68,57 millones), no 68,5. - 35.00-4.7, al cerrar: el Reglamento de Pensiones Parlamentarias y su reforma de 2011 están leídos en c9e (BOCG núm. 278 y 455), aunque 05 FLECOS los daba por no descargados: art. 2 (siete años), arts. 13.1 y 14.1 (una mensualidad por año, máximo de veinticuatro, al menos dos años) comprobados hoy. La fecha «13 de diciembre de 2011» se leyó el 7-oct en la página de protección social del Congreso; va también el texto de la reforma, «el día de la constitución del Congreso de los Diputados y del Senado de la X Legislatura». - Cuentas rehechas: 26,5, 23,7, 5,3 y 3,2 euros de cada 100 (antes «unos 27, 24, 5 y 3»); 33.158 € por habitante es con la deuda de 2024 (c9e); 8.591,7 millones de Interior es la Ley de 2023 (8.590,2 en la prórroga); los 3.123 millones de la Seguridad Social, por diferencia con el total y los otros tres subsectores (cálculo). No entra todavía (sin fila en el registro o sin fuente leída); cada cosa queda en 05 FLECOS, para leerla en su fuente y completarla (Kiko, 7-oct: «nunca fuera»): - La cabecera de la pieza (35.00-0.0: nombre, sello y fecha). - De la Casa del Rey: los 13 empleados declarados, la plantilla de 139 personas y los 300 a 343 complementos al mes (prensa, sin leer); los 105 millones de la Jefatura del Estado (estudio privado, sin leer); «séptimo año» y «niveles de 2008»; que Juan Carlos I y las infantas no cobren; que el resultado negativo se deba al presupuesto congelado. - Los «cálculos anteriores de este Registro» (1.747 cargos; 70.400 cargos electos; los 67.152 concejales de una fuente no oficial); los más de 166 millones de altos cargos y asesores (prensa). - Las cifras de prensa de los exparlamentarios (117 personas y 117.000 € al mes, Newtral; 222 personas y 219.012,83 €, Público; «entre 1,4 y 2,6 millones»): no comprobables en fuente oficial. Se dice, como en 8.6, que solo hay cifras de prensa y no coinciden. - El 100,2 % del PIB de mayo de 2026 (Banco de España): leído el 7-oct; entra en la tabla de partidas (deuda pública). - El salario mediano de 24.497 € (35.00-6.7): leído el 7-oct (INE: 24.497,17 euros en 2024); entra en el contrapunto 1 de 35.00-6.7. Va también el salario medio del sector privado de 8.6. - Los 2,38 millones de 35.00-3.6: es el redondeo de los 2.379.970 € de 35.00-5.9, que sí entran. Conceptos que usa, ya anclados: el velo y el muro de opacidad (8.6); la maniobra camuflada (5.1); el sistema de reparto (5.1, n.º 1); los regímenes y quién sostiene a quién (8.6); la carga (8.4); el Registro de los frutos (10.8); el juicio y sus cargos (11). Lo que no se repite: el gasto por funciones, el año, la hucha y el muro de opacidad (8.6); los aforados (8.5, n.º 8); la asignación de los diputados (7.2); la edad de jubilación del régimen general y su historia (9.1); la evaluación del desempeño y los asesores como mínimo (5.1); las cotizaciones de las administraciones y la partida de vejez (5.1, n.º 3 y 23); la deuda rebajada por la inflación de 2021 a 2025 (8.3).</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 xml:space="preserve">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 </w:t>
      </w:r>
      <w:r>
        <w:t>[35.00-0.0.2; 35.00-3.1]</w:t>
      </w:r>
    </w:p>
    <w:p>
      <w:r>
        <w:rPr>
          <w:b/>
        </w:rPr>
        <w:t>Lo que la ley obliga a publicar.</w:t>
      </w:r>
      <w:r>
        <w:t xml:space="preserve"> Las retribuciones de los altos cargos son públicas</w:t>
      </w:r>
      <w:r>
        <w:t xml:space="preserve"> (Ley 3/2015, art. 4; Ley 19/2013)</w:t>
      </w:r>
      <w:r>
        <w:t>, y el número y las retribuciones del personal eventual, también</w:t>
      </w:r>
      <w:r>
        <w:t xml:space="preserve"> (Estatuto Básico del Empleado Público, art. 12.2)</w:t>
      </w:r>
      <w:r>
        <w:t xml:space="preserve">. Pero la ley deja a cada administración publicar lo suyo: sumarlo exige buscar en fuentes distintas, con formatos, fechas y criterios distintos. </w:t>
      </w:r>
      <w:r>
        <w:t>[35.00-1.1]</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t xml:space="preserve"> (Portal de la Transparencia, retribuciones de altos cargos; recuento de la obra)</w:t>
      </w:r>
      <w:r>
        <w:t xml:space="preserve">. Los importes de 2024 del Portal suman 64,6 millones (cálculo de la obra); los de los asesores no están en él. </w:t>
      </w:r>
      <w:r>
        <w:t>[35.00-1.2, con la errata del 07: 392 y 52,8 %, media de 92.294 €]</w:t>
      </w:r>
    </w:p>
    <w:p>
      <w:r>
        <w:rPr>
          <w:i/>
        </w:rPr>
        <w:t>Dificultad:</w:t>
      </w:r>
      <w:r>
        <w:t xml:space="preserve"> la descarga tiene un tope de 1.000 registros por consulta, ordenados por año; la consulta habitual del fichero de Asuntos Exteriores devolvió error del servidor en tres intentos, y los filtros por fecha no devolvieron resultados. Por eso no se ha podido cerrar si un año es un récord histórico. </w:t>
      </w:r>
      <w:r>
        <w:t>[35.00-1.2]</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t xml:space="preserve"> (Estadística del Personal al Servicio de las Administraciones Públicas, enero de 2026, tabla 2.3)</w:t>
      </w:r>
      <w:r>
        <w:t>. En enero de 2025 había además 46 en organismos autónomos. Son un mínimo (</w:t>
      </w:r>
      <w:r>
        <w:t>5.1</w:t>
      </w:r>
      <w:r>
        <w:t>). Lo que cuesta el conjunto solo consta en la Presidencia del Gobierno: 18,03 millones al año (</w:t>
      </w:r>
      <w:r>
        <w:t>C.2</w:t>
      </w:r>
      <w:r>
        <w:t xml:space="preserve">). </w:t>
      </w:r>
      <w:r>
        <w:t>[35.00-1.3, con la errata del 07: 936 en enero de 2025]</w:t>
      </w:r>
    </w:p>
    <w:p>
      <w:r>
        <w:rPr>
          <w:i/>
        </w:rPr>
        <w:t>Dificultad:</w:t>
      </w:r>
      <w:r>
        <w:t xml:space="preserve"> solo se han podido obtener las ediciones del Boletín desde 2023 (las anteriores tienen otro nombre de fichero y no se localizaron); y el Boletín no incluye, por su propia metodología, el personal eventual de las comunidades autónomas, de los ayuntamientos y de los órganos constitucionales, ni da los sueldos de cada asesor. La ley dice que el número y las retribuciones son públicos, pero no hay un recuento consolidado. </w:t>
      </w:r>
      <w:r>
        <w:t>[35.00-1.3]</w:t>
      </w:r>
    </w:p>
    <w:p>
      <w:r>
        <w:rPr>
          <w:b/>
        </w:rPr>
        <w:t>Cargos electos.</w:t>
      </w:r>
      <w:r>
        <w:t xml:space="preserve"> 350 diputados y 266 senadores en la XV Legislatura. Los 17 parlamentos autonómicos suman 1.212 escaños, y 1.262 con las asambleas de Ceuta y Melilla</w:t>
      </w:r>
      <w:r>
        <w:t xml:space="preserve"> (la ley o el decreto de cada comunidad, suma de la obra)</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 xml:space="preserve">Fuente: ISPA 2025 (retribuciones de 2024), recuento de la obra en sus hojas. La nota del propio ISPA advierte de que los datos los facilitan las entidades, de que los listados no son definitivos y de que no responde de su veracidad. </w:t>
      </w:r>
      <w:r>
        <w:t>[35.00-1.4, con las erratas del 07: 1.195 ayuntamientos y 1.212 escaños autonómicos]</w:t>
      </w:r>
    </w:p>
    <w:p>
      <w:r>
        <w:rPr>
          <w:i/>
        </w:rPr>
        <w:t>Dificultad:</w:t>
      </w:r>
      <w:r>
        <w:t xml:space="preserve"> no se ha podido cerrar cuántos concejales se eligieron en 2023: el dossier del Ministerio del Interior devolvió un error de acceso, y la cifra oficial está repartida en los resúmenes provinciales de la Junta Electoral Central en el BOE. </w:t>
      </w:r>
      <w:r>
        <w:t>[35.00-1.4]</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t xml:space="preserve"> (La Moncloa, notas de prensa del Ministerio de Justicia de 12 y 14-9-2018)</w:t>
      </w:r>
      <w:r>
        <w:t xml:space="preserve">. </w:t>
      </w:r>
      <w:r>
        <w:t>[35.00-1.5]</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 xml:space="preserve">). </w:t>
      </w:r>
      <w:r>
        <w:t>[35.00-1.6; 35.00-1.7]</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t xml:space="preserve"> (Eurostat, remuneración de asalariados por subsectores; el último, por diferencia)</w:t>
      </w:r>
      <w:r>
        <w:t>. En enero de 2026 trabajaban para ellas 3.071.725 personas: 546.554 en el Estado, 1.930.273 en las comunidades autónomas y 594.898 en la Administración local</w:t>
      </w:r>
      <w:r>
        <w:t xml:space="preserve"> (Estadística del Personal al Servicio de las Administraciones Públicas, enero de 2026, tabla 1.1)</w:t>
      </w:r>
      <w:r>
        <w:t xml:space="preserve">. Cálculo de la obra, solo como orden de magnitud y con fechas que no coinciden: unos 56.000 euros de coste medio por empleado público al año, cotizaciones incluidas. </w:t>
      </w:r>
      <w:r>
        <w:t>[35.00-2.1; 35.00-2.2, con la errata del 07: 56.238 €]</w:t>
      </w:r>
    </w:p>
    <w:p>
      <w:r>
        <w:t xml:space="preserve">Los Presupuestos Generales del Estado de 2023 se han prorrogado en 2024, 2025 y 2026, así que sus cifras siguen vigentes. </w:t>
      </w:r>
      <w:r>
        <w:t>[35.00-2.1]</w:t>
      </w:r>
    </w:p>
    <w:p>
      <w:r>
        <w:rPr>
          <w:b/>
        </w:rPr>
        <w:t>Lo que se puede desglosar.</w:t>
      </w:r>
      <w:r>
        <w:t xml:space="preserve"> </w:t>
      </w:r>
      <w:r>
        <w:t>[35.00-2.3]</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t>[35.00-2.5 a 2.10; 35.00-1.3; 35.00-2.8, con la errata del 07: 68,57 millones. {completo} Interior: 8.591,7 millones en la Ley de 2023; 8.590,2 en el presupuesto prorrogado]</w:t>
      </w: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t xml:space="preserve"> (Senado, régimen económico, actualizado el 15-9-2026)</w:t>
      </w:r>
      <w:r>
        <w:t>. Cálculo de la obra: un senador sin cargo y de fuera de Madrid recibe unos 78.555 euros al año, de los que unos 30.700 están exentos de impuestos. {completo} El diputado recibe una indemnización exenta de 2.162,85 euros al mes, o de 1.032,38 si es elegido por Madrid</w:t>
      </w:r>
      <w:r>
        <w:t xml:space="preserve"> (Congreso de los Diputados, régimen económico de 2026)</w:t>
      </w:r>
      <w:r>
        <w:t xml:space="preserve">. </w:t>
      </w:r>
      <w:r>
        <w:t>[35.00-2.7]</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t xml:space="preserve"> (Casa de S.M. el Rey, presupuesto y retribuciones de 2026)</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t xml:space="preserve"> (Tribunal de Cuentas, informe de 25-6-2026, y cuentas anuales de 2025 de la Casa)</w:t>
      </w:r>
      <w:r>
        <w:t xml:space="preserve">. Ni el Tribunal de Cuentas ni las cuentas atribuyen ese resultado a que el presupuesto esté congelado. </w:t>
      </w:r>
      <w:r>
        <w:t>[20.00-14.1; 20.00-14.3; 35.00-2.4; 20.00-35.13, punto 1]</w:t>
      </w:r>
    </w:p>
    <w:p>
      <w:r>
        <w:t>Lo que no dicen ni su presupuesto ni sus cuentas es cuántas personas trabajan en ella. El presupuesto de 2026 dedica 32.500 euros al personal laboral de la Casa y 1.818.350 a «los complementos que percibe el personal que presta servicio en la Casa»</w:t>
      </w:r>
      <w:r>
        <w:t xml:space="preserve"> (Casa de S.M. el Rey, distribución del presupuesto de 2026, artículos 13 y 15)</w:t>
      </w:r>
      <w:r>
        <w:t>; y las cuentas explican que esos complementos «se puedan asignar a otro personal que presta servicio en la Casa»</w:t>
      </w:r>
      <w:r>
        <w:t xml:space="preserve"> (cuentas anuales de 2025, nota 11.1; Real Decreto 434/1988, art. 12.1)</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t xml:space="preserve"> (Portal de la Transparencia, relación de puestos de trabajo del Ministerio de la Presidencia, anexo de la Casa de S.M. el Rey, 1-X-2026)</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t xml:space="preserve"> (REMCO, informe sobre el coste de las jefaturas del Estado (marzo de 2026); fuente secundaria)</w:t>
      </w:r>
      <w:r>
        <w:t xml:space="preserve">. </w:t>
      </w:r>
      <w:r>
        <w:t>[20.00-14.2; 34.00-12.9; leído hoy en c9e; 17.00-83.1]</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t xml:space="preserve"> (Ley 22/2009, art. 35)</w:t>
      </w:r>
      <w:r>
        <w:t xml:space="preserve"> y, en la práctica, con la mitad del IRPF</w:t>
      </w:r>
      <w:r>
        <w:t xml:space="preserve"> (art. 26)</w:t>
      </w:r>
      <w:r>
        <w:t>, además de impuestos cedidos enteros y de los fondos del sistema. Sus entregas a cuenta fueron de 156.990 millones de euros en 2026 y serán de 170.529 millones en 2027</w:t>
      </w:r>
      <w:r>
        <w:t xml:space="preserve"> (Ministerio de Hacienda, notas de 30-7-2025 y 29-7-2026)</w:t>
      </w:r>
      <w:r>
        <w:t>. El País Vasco y Navarra tienen régimen foral propio, que aquí no se analiza. Los ayuntamientos tienen sus impuestos obligatorios, el de bienes inmuebles, el de actividades económicas y el de vehículos, y otros voluntarios</w:t>
      </w:r>
      <w:r>
        <w:t xml:space="preserve"> (Ley Reguladora de las Haciendas Locales, art. 59)</w:t>
      </w:r>
      <w:r>
        <w:t>, más su participación en los impuestos del Estado: 31.826 millones de entregas a cuenta en 2027, importe provisional</w:t>
      </w:r>
      <w:r>
        <w:t xml:space="preserve"> (Ministerio de Hacienda, 29-7-2026)</w:t>
      </w:r>
      <w:r>
        <w:t xml:space="preserve">. Cálculo de la obra, como orden de magnitud: la nómina de las comunidades, 108.023 millones en 2024, equivale a unos dos tercios de lo que reciben del sistema de financiación. </w:t>
      </w:r>
      <w:r>
        <w:t>[35.00-2.11]</w:t>
      </w:r>
    </w:p>
    <w:p>
      <w:r>
        <w:t xml:space="preserve">La cifra de 2026 es la comunicada en julio de 2025; la nota de julio de 2026 da los 170.529 millones de 2027 como «un 8,1% más que en 2026», lo que supone unos 157.750 millones para 2026 tras la actualización (cálculo). </w:t>
      </w:r>
      <w:r>
        <w:t>[35.00-2.11]</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 </w:t>
      </w:r>
      <w:r>
        <w:t>[35.00-2.12; 34.00-12.10; 35.00-2.13]</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t xml:space="preserve"> (Eurostat, gov_10a_main)</w:t>
      </w:r>
      <w:r>
        <w:t xml:space="preserve">. </w:t>
      </w:r>
      <w:r>
        <w:t>[35.00-3.1; 35.00-3.2]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[35.00-3.3]</w:t>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[35.00-3.4]</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[35.00-3.6]</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[35.00-3.7]</w:t>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[35.00-3.8]</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[35.00-3.9]</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[35.00-3.10]</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[35.00-3.11]</w:t>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[35.00-3.13]</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[35.00-3.14]</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[35.00-3.15]</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r>
              <w:rPr>
                <w:rFonts w:ascii="Segoe UI" w:hAnsi="Segoe UI" w:eastAsia="Segoe UI" w:cs="Segoe UI"/>
                <w:color w:val="1F1D1A"/>
                <w:sz w:val="18"/>
              </w:rPr>
              <w:t xml:space="preserve"> </w:t>
            </w:r>
            <w:r>
              <w:rPr>
                <w:rFonts w:ascii="Segoe UI" w:hAnsi="Segoe UI" w:eastAsia="Segoe UI" w:cs="Segoe UI"/>
                <w:color w:val="1F1D1A"/>
                <w:sz w:val="18"/>
              </w:rPr>
              <w:t>[35.00-3.16]</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[35.00-3.17]</w:t>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 xml:space="preserve">8.6 </w:t>
            </w:r>
            <w:r>
              <w:rPr>
                <w:rFonts w:ascii="Segoe UI" w:hAnsi="Segoe UI" w:eastAsia="Segoe UI" w:cs="Segoe UI"/>
                <w:color w:val="1F1D1A"/>
                <w:sz w:val="18"/>
              </w:rPr>
              <w:t>[35.00-3.18]</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 xml:space="preserve">7.2 y 8.6 </w:t>
            </w:r>
            <w:r>
              <w:rPr>
                <w:rFonts w:ascii="Segoe UI" w:hAnsi="Segoe UI" w:eastAsia="Segoe UI" w:cs="Segoe UI"/>
                <w:color w:val="1F1D1A"/>
                <w:sz w:val="18"/>
              </w:rPr>
              <w:t>[35.00-3.19]</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[35.00-3.20]</w:t>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[35.00-3.21]</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 xml:space="preserve">. </w:t>
      </w:r>
      <w:r>
        <w:t>[lectura de 35.00-3.4 a la luz de 35.00-4.7, 4.11 y 5.5, por indicación de Kiko]</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xml:space="preserve">). Es un hecho que no encaja con la dirección de aquellos cinco años, y se dice. </w:t>
      </w:r>
      <w:r>
        <w:t>[34.00-11.8]</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xml:space="preserve">);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 </w:t>
      </w:r>
      <w:r>
        <w:t>[35.00-3.22, con la cuenta rehecha: 202.975, 181.494, 40.314 y 24.837 entre 764.884]</w:t>
      </w:r>
    </w:p>
    <w:p>
      <w:r>
        <w:t xml:space="preserve">Fuentes del cuadro: Eurostat, gov_10a_main (gasto total, remuneración de asalariados e intereses, 2025) y gov_10dd_edpt1 (deuda, 2025); Ministerio de Inclusión, Seguridad Social y Migraciones, nota de pensiones de 25-9-2026; Presupuestos Generales del Estado de 2023, prorrogados, secciones 02, 07, 14, 16 y 25; Casa de S.M. el Rey, transparencia 2026; Congreso y Senado, régimen económico de 2026; Ministerio de Hacienda, notas de financiación de 30-7-2025 y 29-7-2026; AIReF, informe sobre los presupuestos iniciales de 2026. </w:t>
      </w:r>
      <w:r>
        <w:t>[35.00-3.23]</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xml:space="preserve">). Solo se recoge lo verificado en el texto oficial. </w:t>
      </w:r>
      <w:r>
        <w:t>[35.00-4.1]</w:t>
      </w:r>
    </w:p>
    <w:p>
      <w:r>
        <w:rPr>
          <w:b/>
        </w:rPr>
        <w:t>Cuándo se retira cada uno.</w:t>
      </w:r>
      <w:r>
        <w:t xml:space="preserve"> </w:t>
      </w:r>
      <w:r>
        <w:t>[35.00-4.20]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 xml:space="preserve">Ley General de la Seguridad Social, art. 205.1.a y disposición transitoria séptima </w:t>
            </w:r>
            <w:r>
              <w:rPr>
                <w:rFonts w:ascii="Segoe UI" w:hAnsi="Segoe UI" w:eastAsia="Segoe UI" w:cs="Segoe UI"/>
                <w:color w:val="1F1D1A"/>
                <w:sz w:val="18"/>
              </w:rPr>
              <w:t>[35.00-4.2]</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 xml:space="preserve">Ley de Clases Pasivas, art. 28.2.b </w:t>
            </w:r>
            <w:r>
              <w:rPr>
                <w:rFonts w:ascii="Segoe UI" w:hAnsi="Segoe UI" w:eastAsia="Segoe UI" w:cs="Segoe UI"/>
                <w:color w:val="1F1D1A"/>
                <w:sz w:val="18"/>
              </w:rPr>
              <w:t>[35.00-4.3]</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 xml:space="preserve">Ley 39/2007, de la carrera militar, arts. 113.4 y 114.2 </w:t>
            </w:r>
            <w:r>
              <w:rPr>
                <w:rFonts w:ascii="Segoe UI" w:hAnsi="Segoe UI" w:eastAsia="Segoe UI" w:cs="Segoe UI"/>
                <w:color w:val="1F1D1A"/>
                <w:sz w:val="18"/>
              </w:rPr>
              <w:t>[35.00-4.4]</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 xml:space="preserve">Ley 29/2014, art. 94.1.a; Ley Orgánica 9/2015, art. 5.2.b </w:t>
            </w:r>
            <w:r>
              <w:rPr>
                <w:rFonts w:ascii="Segoe UI" w:hAnsi="Segoe UI" w:eastAsia="Segoe UI" w:cs="Segoe UI"/>
                <w:color w:val="1F1D1A"/>
                <w:sz w:val="18"/>
              </w:rPr>
              <w:t>[35.00-4.10]</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 xml:space="preserve">Real Decreto 1449/2018, art. 2 </w:t>
            </w:r>
            <w:r>
              <w:rPr>
                <w:rFonts w:ascii="Segoe UI" w:hAnsi="Segoe UI" w:eastAsia="Segoe UI" w:cs="Segoe UI"/>
                <w:color w:val="1F1D1A"/>
                <w:sz w:val="18"/>
              </w:rPr>
              <w:t>[35.00-4.8]</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 xml:space="preserve">Ley General de la Seguridad Social, disposiciones adicionales 20.ª, 20.ª bis y 20.ª ter </w:t>
            </w:r>
            <w:r>
              <w:rPr>
                <w:rFonts w:ascii="Segoe UI" w:hAnsi="Segoe UI" w:eastAsia="Segoe UI" w:cs="Segoe UI"/>
                <w:color w:val="1F1D1A"/>
                <w:sz w:val="18"/>
              </w:rPr>
              <w:t>[35.00-4.9]</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 xml:space="preserve">Ley 7/1985, de Bases del Régimen Local, art. 75.1 y 75.2 </w:t>
            </w:r>
            <w:r>
              <w:rPr>
                <w:rFonts w:ascii="Segoe UI" w:hAnsi="Segoe UI" w:eastAsia="Segoe UI" w:cs="Segoe UI"/>
                <w:color w:val="1F1D1A"/>
                <w:sz w:val="18"/>
              </w:rPr>
              <w:t>[35.00-4.11]</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t xml:space="preserve"> (Real Decreto 405/1992, arts. 3 y 4)</w:t>
      </w:r>
      <w:r>
        <w:t>. Esa pensión es mensual, igual a la doceava parte del 80 % de las retribuciones del cargo, durante un plazo igual al tiempo que se desempeñó y con un máximo de veinticuatro mensualidades</w:t>
      </w:r>
      <w:r>
        <w:t xml:space="preserve"> (Ley 74/1980, art. 10.5, norma primera)</w:t>
      </w:r>
      <w:r>
        <w:t>. No es vitalicia: la idea, muy extendida, de un 80 % sin límite de plazo no está en la norma. Lo vitalicio es su condición de consejeros natos del Consejo de Estado, con el estatuto de los consejeros permanentes</w:t>
      </w:r>
      <w:r>
        <w:t xml:space="preserve"> (Ley Orgánica 3/1980, art. 8.1)</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t xml:space="preserve"> (Presupuestos Generales del Estado de 2023, programa 912M, concepto 480)</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t xml:space="preserve"> (Estatuto Básico del Empleado Público, art. 12)</w:t>
      </w:r>
      <w:r>
        <w:t xml:space="preserve">. El real decreto les reconoce derechos, pero no les fija ninguna obligación. </w:t>
      </w:r>
      <w:r>
        <w:t>[35.00-4.5]</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t xml:space="preserve"> (Ley 6/2003, arts. 2 y 3)</w:t>
      </w:r>
      <w:r>
        <w:t>. En el País Vasco, una pensión vitalicia del 50 % del sueldo anual del cargo al llegar a la edad de jubilación, con al menos dos años en el cargo</w:t>
      </w:r>
      <w:r>
        <w:t xml:space="preserve"> (Ley 7/1981, de Gobierno, art. 38)</w:t>
      </w:r>
      <w:r>
        <w:t>. En Andalucía, la asignación del 60 % desde los 65 años se suprimió en 2011</w:t>
      </w:r>
      <w:r>
        <w:t xml:space="preserve"> (Ley 9/2011)</w:t>
      </w:r>
      <w:r>
        <w:t>, y hoy solo quedan la oficina y la seguridad</w:t>
      </w:r>
      <w:r>
        <w:t xml:space="preserve"> (Ley 2/2005)</w:t>
      </w:r>
      <w:r>
        <w:t xml:space="preserve">. Las otras catorce comunidades están por investigar. </w:t>
      </w:r>
      <w:r>
        <w:t>[35.00-4.6]</w:t>
      </w:r>
    </w:p>
    <w:p>
      <w:r>
        <w:rPr>
          <w:b/>
        </w:rPr>
        <w:t>Lectura del autor:</w:t>
      </w:r>
      <w:r>
        <w:t xml:space="preserve"> lo previsible es que las demás sigan una tendencia parecida, aunque Andalucía muestra que estos privilegios también se pueden suprimir. </w:t>
      </w:r>
      <w:r>
        <w:t>[35.00-4.6]</w:t>
      </w:r>
    </w:p>
    <w:p>
      <w:r>
        <w:rPr>
          <w:b/>
        </w:rPr>
        <w:t>Diputados y senadores.</w:t>
      </w:r>
      <w:r>
        <w:t xml:space="preserve"> Durante el mandato, sus cotizaciones a la Seguridad Social las paga el presupuesto de la Cámara</w:t>
      </w:r>
      <w:r>
        <w:t xml:space="preserve"> (Congreso de los Diputados, protección social)</w:t>
      </w:r>
      <w:r>
        <w:t>. El complemento que elevaba su pensión de jubilación con cargo a los presupuestos de las Cámaras, que exigía haber sido diputado o senador al menos siete años</w:t>
      </w:r>
      <w:r>
        <w:t xml:space="preserve"> (Reglamento de Pensiones Parlamentarias, art. 2)</w:t>
      </w:r>
      <w:r>
        <w:t>, se suprimió en 2011, pero sin efecto retroactivo: lo conservan quienes «el día de la constitución del Congreso de los Diputados y del Senado de la X Legislatura hubieren devengado el derecho»</w:t>
      </w:r>
      <w:r>
        <w:t xml:space="preserve"> (reforma del Reglamento de 19-7-2011, art. 2, BOCG, Cortes Generales, serie A, núm. 455)</w:t>
      </w:r>
      <w:r>
        <w:t>. La página de protección social del Congreso fija esa fecha: «se mantiene para quienes hubiesen devengado el derecho a su percepción con anterioridad al 13 de diciembre de 2011»</w:t>
      </w:r>
      <w:r>
        <w:t xml:space="preserve"> (Congreso de los Diputados, «Protección Social»)</w:t>
      </w:r>
      <w:r>
        <w:t>. Al cesar, quien haya estado al menos dos años en el cargo cobra, mes a mes, una indemnización equivalente a una mensualidad de la asignación constitucional por cada año de mandato o fracción superior a seis meses, con un máximo de veinticuatro</w:t>
      </w:r>
      <w:r>
        <w:t xml:space="preserve"> (Reglamento, arts. 13 y 14.1)</w:t>
      </w:r>
      <w:r>
        <w:t>; desde la X Legislatura es incompatible con «cualquier retribución, sueldo, salario, pensión, dieta, indemnización o percepción de cualquier naturaleza, sea de carácter público o privado»</w:t>
      </w:r>
      <w:r>
        <w:t xml:space="preserve"> (art. 14.2, reformado en 2011)</w:t>
      </w:r>
      <w:r>
        <w:t xml:space="preserve">. </w:t>
      </w:r>
      <w:r>
        <w:t>[35.00-4.7]</w:t>
      </w:r>
    </w:p>
    <w:p>
      <w:r>
        <w:rPr>
          <w:b/>
        </w:rPr>
        <w:t>¿Se les puede despedir?</w:t>
      </w:r>
      <w:r>
        <w:t xml:space="preserve"> </w:t>
      </w:r>
      <w:r>
        <w:t>[35.00-4.12]</w:t>
      </w:r>
    </w:p>
    <w:p>
      <w:pPr>
        <w:pStyle w:val="ListBullet"/>
      </w:pPr>
      <w:r>
        <w:rPr>
          <w:i/>
        </w:rPr>
        <w:t>Asalariado:</w:t>
      </w:r>
      <w:r>
        <w:t xml:space="preserve"> sí, con indemnización tasada (</w:t>
      </w:r>
      <w:r>
        <w:t>8.6</w:t>
      </w:r>
      <w:r>
        <w:t>): por causas objetivas, 20 días de salario por año trabajado, con un máximo de doce mensualidades</w:t>
      </w:r>
      <w:r>
        <w:t xml:space="preserve"> (Estatuto de los Trabajadores, art. 53.1.b)</w:t>
      </w:r>
      <w:r>
        <w:t xml:space="preserve">. </w:t>
      </w:r>
      <w:r>
        <w:t>[35.00-4.13]</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t xml:space="preserve"> (Estatuto Básico del Empleado Público, arts. 63 y 96.1.a)</w:t>
      </w:r>
      <w:r>
        <w:t>. El personal laboral de la Administración sí puede ser despedido, por falta muy grave</w:t>
      </w:r>
      <w:r>
        <w:t xml:space="preserve"> (art. 96.1.b)</w:t>
      </w:r>
      <w:r>
        <w:t xml:space="preserve"> o por las causas del Estatuto de los Trabajadores. </w:t>
      </w:r>
      <w:r>
        <w:t>[35.00-4.14]</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r>
        <w:t>[35.00-4.15]</w:t>
      </w:r>
    </w:p>
    <w:p>
      <w:pPr>
        <w:pStyle w:val="ListBullet"/>
      </w:pPr>
      <w:r>
        <w:rPr>
          <w:i/>
        </w:rPr>
        <w:t>Gobierno y alcaldes:</w:t>
      </w:r>
      <w:r>
        <w:t xml:space="preserve"> al Gobierno lo puede hacer caer el Congreso con una moción de censura aprobada por mayoría absoluta</w:t>
      </w:r>
      <w:r>
        <w:t xml:space="preserve"> (Constitución, art. 113.1)</w:t>
      </w:r>
      <w:r>
        <w:t>; al alcalde, una moción de censura de los concejales</w:t>
      </w:r>
      <w:r>
        <w:t xml:space="preserve"> (Ley Orgánica del Régimen Electoral General, art. 197.1)</w:t>
      </w:r>
      <w:r>
        <w:t xml:space="preserve">. </w:t>
      </w:r>
      <w:r>
        <w:t>[35.00-4.16]</w:t>
      </w:r>
    </w:p>
    <w:p>
      <w:r>
        <w:t xml:space="preserve">La evaluación del desempeño que la ley exige a todas las administraciones, y la regla transitoria que la sustituye en la del Estado, se explican en </w:t>
      </w:r>
      <w:r>
        <w:t>5.1</w:t>
      </w:r>
      <w:r>
        <w:t xml:space="preserve">. </w:t>
      </w:r>
      <w:r>
        <w:t>[35.00-4.19]</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 </w:t>
      </w:r>
      <w:r>
        <w:t>[35.00-4.17]</w:t>
      </w:r>
    </w:p>
    <w:p>
      <w:r>
        <w:rPr>
          <w:b/>
        </w:rPr>
        <w:t>Lectura del autor:</w:t>
      </w:r>
      <w:r>
        <w:t xml:space="preserve"> la brecha entre unos regímenes y otros es desproporcionada. </w:t>
      </w:r>
      <w:r>
        <w:t>[35.00-4.18]</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r>
        <w:t xml:space="preserve"> </w:t>
      </w:r>
      <w:r>
        <w:t>[35.00-5.1]</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r>
        <w:t>[35.00-5.2]</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r>
        <w:t>[35.00-5.3]</w:t>
      </w:r>
    </w:p>
    <w:p>
      <w:r>
        <w:t xml:space="preserve">Fuente: Ministerio de Inclusión, Seguridad Social y Migraciones, nota de pensiones de 25-9-2026, que incluye los datos de Clases Pasivas de agosto. </w:t>
      </w:r>
      <w:r>
        <w:t>[35.00-5.11]</w:t>
      </w:r>
    </w:p>
    <w:p>
      <w:r>
        <w:t xml:space="preserve">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 </w:t>
      </w:r>
      <w:r>
        <w:t>[35.00-5.4]</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t xml:space="preserve"> (Ley 7/1985, art. 75.1 y 75.2)</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xml:space="preserve">): un nombre que sugiere una cosa, y una norma que dice otra; describirla no exige suponer intención. </w:t>
      </w:r>
      <w:r>
        <w:t>[lectura de 35.00-5.5, 4.7 y 4.11, por indicación de Kiko; 5.1, n.º 3 y 23; cargo 23]</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 </w:t>
      </w:r>
      <w:r>
        <w:t>[35.00-5.5]</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 </w:t>
      </w:r>
      <w:r>
        <w:t>[35.00-5.6]</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r>
        <w:t>[35.00-5.7]</w:t>
      </w:r>
    </w:p>
    <w:p>
      <w:pPr>
        <w:pStyle w:val="ListBullet"/>
      </w:pPr>
      <w:r>
        <w:rPr>
          <w:i/>
        </w:rPr>
        <w:t>B. Clases Pasivas:</w:t>
      </w:r>
      <w:r>
        <w:t xml:space="preserve"> funcionarios del Estado que ingresaron antes de 2011. Unos 1.774 millones al mes: el 6,6 % de las pensiones y el 10,9 % de la nómina. </w:t>
      </w:r>
      <w:r>
        <w:t>[35.00-5.8]</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t xml:space="preserve"> (Presupuestos Generales del Estado de 2023, prorrogados, sección 07, concepto 48000)</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r>
        <w:t>[35.00-5.9, sin las cifras de prensa]</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 </w:t>
      </w:r>
      <w:r>
        <w:t>[35.00-5.10, con lo añadido de C.5]</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 xml:space="preserve">Este anexo es de consulta: lleva su propia defensa. </w:t>
      </w:r>
      <w:r>
        <w:t>[35.00-6.1]</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t>[35.00-6.2]</w:t>
      </w:r>
      <w:r>
        <w:t xml:space="preserve">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r>
        <w:t>[35.00-6.3]</w:t>
      </w:r>
    </w:p>
    <w:p>
      <w:pPr>
        <w:pStyle w:val="ListBullet"/>
      </w:pPr>
      <w:r>
        <w:rPr>
          <w:b/>
        </w:rPr>
        <w:t>La nómina pública es la que exigen los servicios.</w:t>
      </w:r>
      <w:r>
        <w:t xml:space="preserve"> La mayor parte del personal trabaja en las comunidades autónomas, que gestionan la sanidad y la educación. </w:t>
      </w:r>
      <w:r>
        <w:t>[35.00-6.4]</w:t>
      </w:r>
      <w:r>
        <w:t xml:space="preserve">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r>
        <w:t>[35.00-6.5]</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t>[35.00-6.6]</w:t>
      </w:r>
      <w:r>
        <w:t xml:space="preserve">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r>
        <w:t>[35.00-6.7, con la errata del 07 y con el salario mediano, leído el 7-oct]</w:t>
      </w:r>
    </w:p>
    <w:p>
      <w:pPr>
        <w:pStyle w:val="ListBullet"/>
      </w:pPr>
      <w:r>
        <w:rPr>
          <w:b/>
        </w:rPr>
        <w:t>Clases Pasivas es un régimen a extinguir.</w:t>
      </w:r>
      <w:r>
        <w:t xml:space="preserve"> Desde 2011, los nuevos funcionarios cotizan en el régimen general, con las mismas edades que el resto. </w:t>
      </w:r>
      <w:r>
        <w:t>[35.00-6.8]</w:t>
      </w:r>
      <w:r>
        <w:t xml:space="preserve">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r>
        <w:t>[35.00-6.9]</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t>[35.00-6.10]</w:t>
      </w:r>
      <w:r>
        <w:t xml:space="preserve">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r>
        <w:t>[35.00-6.11, sin las cifras de prensa]</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r>
        <w:t>[20.00-35.13, puntos 1 a 3; los 105 millones, de un informe académico, leído el 7-oct]</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r>
        <w:br w:type="page"/>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palabra griega, en cursiva en D.1, D.8 y D.9 (07/herramientas/aplicar_cinco_de_forma.py). Ninguna otra palabra cambia. Cambio del 8-oct-2026 (parlamento sobre los mitos; Kiko: «sí a las tres, con tus recomendaciones» y el añadido del método de medir): dos referencias a «los mitos» pasan a «las afirmaciones sin documento». ESTADO: APROBADO por Kiko el 7-oct-2026 («sí a todo, ya lo he leído»; conversación del aviso PASO 3.3); sus marcas, en 04 CAPITULOS/marcas/marcas del anexo D.txt. Paso 3. «Usurpar» y «arrogarse» (Kiko, 7-oct): solo en la lectura del autor del D.13, con sus definiciones (DLE, «usurpar», 2.ª; DPEJ, «arrogarse»); dentro del escrito, solo la pregunta por el título (D.13, n.º 9). En el diccionario jurídico, «usurpación» es nombre de delito (Código Penal, art. 245): nunca dentro de un escrito. Sale de la pieza 36.00 (los doce modelos) y de 32.00-3.1 a 3.4 y 8.1 (archivo congelado), con lo decidido con Kiko en el parlamento del mismo día («sí a todo»): - La escalera (D.0): pedir; exigir que acrediten; recordar. La cláusula de la responsabilidad de quien tramita, solo en D.8, D.9 y D.10; cada escrito dice cuál es el siguiente paso. Dos alturas: el caso concreto (D.8 → D.10, al órgano que tramita) y los cimientos (D.9 con el D.13, a quien puede contestar). - D.1 es el escrito de petición entero que promete 10.4 (la pregunta, las seis peticiones, el fundamento de 32.00-8.1 y la buena fe), con la base legal del modelo 1 de la 36.00. - D.7, punto 3: sin «me reservo»: los derechos inherentes no nacen de ningún contrato (choca con 10.4 y 2.6). - D.9 gira sobre la pregunta de Kiko («¿en qué se apoya la presunción por la que el Estado ejerce autoridad sobre mi persona?»), con la definición de la presunción del diccionario jurídico de la RAE y de la LEC, la buena fe y «Lo que haré si no se contesta» en lugar de «me reservo todos los derechos» (retirado; 10.4 y 2.6). - D.13 (nuevo, al final, para no cambiar la numeración): la relación de presunciones que se adjunta al D.9, en dos partes: lo que la ley presume (con su norma, leída hoy) y «La vacuna: lo que se cree sin prueba» (lo que ninguna ley escribe: la creencia y el consentimiento), que abre con el orden de las leyes, el aforismo prior tempore potior iure solo como pregunta y la voz del ente sin cuerpo, y cierra con la lectura del autor. Sin la palabra «pilares». Escrito en tres niveles y con remisiones enlazables. Los modelos, en la jerga de la Administración (glosario 8.5 y 8.7). Leído hoy en su original (en local; libreta 75, 7 bis n.º 18): - RAE, Diccionario panhispánico del español jurídico, «presunción», «usurpación» y «arrogarse», y Diccionario de la lengua española, «usurpar» y «arrogar» (leídos con el navegador a petición de Kiko: 10 FUENTES LEIDAS/d_botiquin); «prior tempore potior iure» (ya bajado, c9g). El DPEJ «presunción» ya estaba en c9i (el lote de los diccionarios de «presunción», 6-oct): bajado dos veces (libreta 76, lección 44). De c9i, Nebrija (¿1495?, hoja 159): «Presumir. arrogo» y «Presuncion. arrogantia», a la lectura del autor del D.13. - Código Civil, art. 2.2 (c5). - Ley de Enjuiciamiento Civil, arts. 4, 385 y 386 (c7a). - Ley 39/2015, arts. 24.1, 38, 39.1, 43.2, 98.1 y disposición adicional primera, apartado 2 (c5). - Ley 7/1985, de Bases del Régimen Local, art. 4.1.e y f (c10). - Ley General Tributaria, arts. 108, 144 y 167.2 (c5). - Ley de Tráfico (Real Decreto Legislativo 6/2015), arts. 88 y 91 (c9n). - Código Civil, arts. 1, 6.1 y 434 (c5). - Herramienta: herramientas/presunciones_en_leyes.py (493 frases en 16 leyes; hojas/presunciones_en_leyes.md). Criba de Claude: entran las que tocan la relación entre el Estado y la persona; las de derecho privado (gananciales, paternidad, medianería, concurso de particulares…), no. Hallado al escribir: - 36.00-17.16: las «259 normas» de 2024 no tienen fila en el registro (en el informe de la CEOE, 259 son los reales decretos de 2023). Van las 894 normas de 2024, como en el cargo 8. - 36.00-5.4 y 6.3: el 50 % es la mitad de 10.5 (art. 94), y el 4,1 % y el 7,1 % de Madrid son el dato de 9.1. Mismo dato: van con su remisión. No entra: la cabecera de la pieza (36.00-0.0.2: nombre, sello y fecha); «el contador público del Registro» (36.00-14.3), que 10.8 no promete: queda como propuesta; Max Weber y el monopolio de la fuerza, sin leer (a 05 FLECOS); las fórmulas de reserva de derechos. Conceptos que usa, ya anclados: la constancia escrita y la pregunta (10.4); el botiquín (10.5); el Registro de los frutos (10.8); las presunciones y su edificio (5.2 a 5.4); la persona jurídica (2.1); el orden de las leyes y quién lo invirtió (1.1 y 1.7); la jurisdicción de la verdad (1); el juicio y sus cargos (11). Nuevo aquí: la definición jurídica de presunción y el aforismo prior tempore potior iure, explicados al usarlos. Lo que no se repite: por qué se pide cada cosa, el silencio, las vías que han funcionado, defenderse juntos y las cinco respuestas al escrito de petición están en 10.4; los plazos de multas, apremio y embargo, en 10.5.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xml:space="preserve">).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 </w:t>
      </w:r>
      <w:r>
        <w:t>[36.00-0.0.3]</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 xml:space="preserve">). </w:t>
      </w:r>
      <w:r>
        <w:t>[36.00-0.0.4]</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 xml:space="preserve">). </w:t>
      </w:r>
      <w:r>
        <w:t>[parlamento con Kiko, 7-oct-2026]</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xml:space="preserve">).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 </w:t>
      </w:r>
      <w:r>
        <w:t>[Kiko, parlamento del 7-oct-2026]</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r>
        <w:t>[36.00-1.1]</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r>
        <w:t>[36.00-1.2; 10.4, respuesta 1]</w:t>
      </w:r>
    </w:p>
    <w:p>
      <w:pPr>
        <w:pStyle w:val="ListBullet"/>
      </w:pPr>
      <w:r>
        <w:rPr>
          <w:b/>
        </w:rPr>
        <w:t>Base legal:</w:t>
      </w:r>
      <w:r>
        <w:t xml:space="preserve"> Constitución, art. 29; Ley Orgánica 4/2001, reguladora del derecho de petición, arts. 4, 9 y 11. </w:t>
      </w:r>
      <w:r>
        <w:t>[36.00-1.3]</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r>
        <w:t>[36.00-1.4]</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[órgano o unidad administrativa concreta; no «a quien corresponda»]</w:t>
      </w:r>
      <w:r>
        <w:rPr>
          <w:i/>
          <w:color w:val="6B665E"/>
        </w:rPr>
        <w:t xml:space="preserve"> Expediente o referencia: </w:t>
      </w:r>
      <w:r>
        <w:rPr>
          <w:i/>
          <w:color w:val="6B665E"/>
        </w:rPr>
        <w:t>[si existe]</w:t>
      </w:r>
      <w:r>
        <w:rPr>
          <w:i/>
          <w:color w:val="6B665E"/>
        </w:rPr>
        <w:t xml:space="preserve"> Remitente: [nombre y apellidos completos, tal como constan en el DNI] · DNI [número] · Domicilio a efectos de notificaciones: </w:t>
      </w:r>
      <w:r>
        <w:rPr>
          <w:i/>
          <w:color w:val="6B665E"/>
        </w:rPr>
        <w:t>[dirección completa]</w:t>
      </w:r>
      <w:r>
        <w:rPr>
          <w:i/>
          <w:color w:val="6B665E"/>
        </w:rPr>
        <w:t xml:space="preserve"> Fecha: [día, mes, año] · Lugar: </w:t>
      </w:r>
      <w:r>
        <w:rPr>
          <w:i/>
          <w:color w:val="6B665E"/>
        </w:rPr>
        <w:t>[localidad]</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[nombre legal completo y firma habitual, sin anotaciones, siglas, huella ni tinta de color]</w:t>
      </w:r>
    </w:p>
    <w:p>
      <w:r>
        <w:t>[32.00-3.1 a 3.4; 36.00-1.5 a 1.13; las seis peticiones, de 10.4 (32.00-6.1 a 6.9); 32.00-8.1; la buena fe y la firma, de 10.4 (32.00-7.1 y 9.1)]</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 xml:space="preserve">. </w:t>
      </w:r>
      <w:r>
        <w:t>[36.00-1.14]</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t xml:space="preserve"> (ídem, art. 9.1)</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t xml:space="preserve"> (ídem, art. 11.2)</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r>
        <w:t>[36.00-2.1 a 2.3]</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r>
        <w:t>[36.00-3.1]</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r>
        <w:t>[36.00-3.2]</w:t>
      </w:r>
    </w:p>
    <w:p>
      <w:pPr>
        <w:pStyle w:val="ListBullet"/>
      </w:pPr>
      <w:r>
        <w:rPr>
          <w:b/>
        </w:rPr>
        <w:t>Base legal:</w:t>
      </w:r>
      <w:r>
        <w:t xml:space="preserve"> Ley 19/2013, de transparencia, acceso a la información pública y buen gobierno, arts. 12, 17, 20 y 24. </w:t>
      </w:r>
      <w:r>
        <w:t>[36.00-3.3]</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r>
        <w:t>[36.00-3.4]</w:t>
      </w:r>
    </w:p>
    <w:p>
      <w:r>
        <w:rPr>
          <w:b/>
        </w:rPr>
        <w:t>Modelo para rellenar:</w:t>
      </w:r>
    </w:p>
    <w:p>
      <w:pPr>
        <w:pBdr>
          <w:left w:val="single" w:sz="18" w:space="8" w:color="E2DED6"/>
        </w:pBdr>
        <w:ind w:left="567" w:right="340"/>
      </w:pPr>
      <w:r>
        <w:rPr>
          <w:i/>
          <w:color w:val="6B665E"/>
        </w:rPr>
        <w:t xml:space="preserve">A </w:t>
      </w:r>
      <w:r>
        <w:rPr>
          <w:i/>
          <w:color w:val="6B665E"/>
        </w:rPr>
        <w:t>[titular del órgano o entidad que tiene la información]</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 xml:space="preserve">En [lugar], a [fecha]. Firma: </w:t>
      </w:r>
      <w:r>
        <w:rPr>
          <w:i/>
          <w:color w:val="6B665E"/>
        </w:rPr>
        <w:t>[firma]</w:t>
      </w:r>
    </w:p>
    <w:p>
      <w:r>
        <w:t>[36.00-3.5 a 3.12]</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 </w:t>
      </w:r>
      <w:r>
        <w:t>[36.00-3.13]</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t xml:space="preserve"> (ídem, art. 14.2)</w:t>
      </w:r>
      <w:r>
        <w:t>, y la denegación debe ser motivada</w:t>
      </w:r>
      <w:r>
        <w:t xml:space="preserve"> (ídem, art. 20.2)</w:t>
      </w:r>
      <w:r>
        <w:t>.</w:t>
      </w:r>
    </w:p>
    <w:p>
      <w:pPr>
        <w:spacing w:after="60"/>
        <w:ind w:left="510" w:hanging="397"/>
      </w:pPr>
      <w:r>
        <w:rPr>
          <w:b w:val="0"/>
        </w:rPr>
        <w:t xml:space="preserve">2. </w:t>
      </w:r>
      <w:r>
        <w:t>Si el límite afecta solo a una parte, hay que dar acceso al resto</w:t>
      </w:r>
      <w:r>
        <w:t xml:space="preserve"> (ídem, art. 16)</w:t>
      </w:r>
      <w:r>
        <w:t>.</w:t>
      </w:r>
    </w:p>
    <w:p>
      <w:pPr>
        <w:spacing w:after="60"/>
        <w:ind w:left="510" w:hanging="397"/>
      </w:pPr>
      <w:r>
        <w:rPr>
          <w:b w:val="0"/>
        </w:rPr>
        <w:t xml:space="preserve">3. </w:t>
      </w:r>
      <w:r>
        <w:t>Contra la denegación o el silencio cabe reclamación ante el Consejo de Transparencia en un mes</w:t>
      </w:r>
      <w:r>
        <w:t xml:space="preserve"> (ídem, art. 24.2)</w:t>
      </w:r>
      <w:r>
        <w:t>. La obra ya documentó el patrón: cada dato publicado por separado, nunca la suma (</w:t>
      </w:r>
      <w:r>
        <w:t>8.6</w:t>
      </w:r>
      <w:r>
        <w:t>).</w:t>
      </w:r>
    </w:p>
    <w:p>
      <w:r>
        <w:t>[36.00-4.1 a 4.3]</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r>
        <w:t>[36.00-5.1]</w:t>
      </w:r>
    </w:p>
    <w:p>
      <w:pPr>
        <w:pStyle w:val="ListBullet"/>
      </w:pPr>
      <w:r>
        <w:rPr>
          <w:b/>
        </w:rPr>
        <w:t>Cuándo usarlo:</w:t>
      </w:r>
      <w:r>
        <w:t xml:space="preserve"> cuando llega una denuncia o una sanción, por ejemplo de tráfico, y se considera injusta o mal tramitada. </w:t>
      </w:r>
      <w:r>
        <w:t>[36.00-5.2]</w:t>
      </w:r>
    </w:p>
    <w:p>
      <w:pPr>
        <w:pStyle w:val="ListBullet"/>
      </w:pPr>
      <w:r>
        <w:rPr>
          <w:b/>
        </w:rPr>
        <w:t>Base legal:</w:t>
      </w:r>
      <w:r>
        <w:t xml:space="preserve"> Real Decreto Legislativo 6/2015, texto refundido de la Ley de Tráfico, arts. 94, 95 y 96; Ley 39/2015, del Procedimiento Administrativo Común, arts. 30 y 124. </w:t>
      </w:r>
      <w:r>
        <w:t>[36.00-5.3]</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r>
        <w:t>[36.00-5.4]</w:t>
      </w:r>
    </w:p>
    <w:p>
      <w:r>
        <w:rPr>
          <w:b/>
        </w:rPr>
        <w:t>Modelo para rellenar:</w:t>
      </w:r>
    </w:p>
    <w:p>
      <w:pPr>
        <w:pBdr>
          <w:left w:val="single" w:sz="18" w:space="8" w:color="E2DED6"/>
        </w:pBdr>
        <w:ind w:left="567" w:right="340"/>
      </w:pPr>
      <w:r>
        <w:rPr>
          <w:i/>
          <w:color w:val="6B665E"/>
        </w:rPr>
        <w:t xml:space="preserve">A </w:t>
      </w:r>
      <w:r>
        <w:rPr>
          <w:i/>
          <w:color w:val="6B665E"/>
        </w:rPr>
        <w:t>[órgano que tramita el expediente]</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spacing w:after="60"/>
        <w:ind w:left="510" w:hanging="397"/>
      </w:pPr>
      <w:r>
        <w:rPr>
          <w:b w:val="0"/>
        </w:rPr>
        <w:t xml:space="preserve">1. </w:t>
      </w:r>
      <w:r>
        <w:t>[Hechos: qué ocurrió realmente.]</w:t>
      </w:r>
    </w:p>
    <w:p>
      <w:pPr>
        <w:spacing w:after="60"/>
        <w:ind w:left="510" w:hanging="397"/>
      </w:pPr>
      <w:r>
        <w:rPr>
          <w:b w:val="0"/>
        </w:rPr>
        <w:t xml:space="preserve">2. </w:t>
      </w:r>
      <w:r>
        <w:t>[Motivos: por ejemplo, falta de prueba de la infracción, error en la identificación del vehículo o de la persona, defecto en la notificación o prescripción.]</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 xml:space="preserve">En [lugar], a [fecha]. Firma: </w:t>
      </w:r>
      <w:r>
        <w:rPr>
          <w:i/>
          <w:color w:val="6B665E"/>
        </w:rPr>
        <w:t>[firma]</w:t>
      </w:r>
    </w:p>
    <w:p>
      <w:r>
        <w:t>[36.00-5.5 a 5.15]</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 </w:t>
      </w:r>
      <w:r>
        <w:t>[36.00-5.16]</w:t>
      </w:r>
    </w:p>
    <w:p>
      <w:r>
        <w:rPr>
          <w:i/>
        </w:rPr>
        <w:t>La respuesta de la obra:</w:t>
      </w:r>
    </w:p>
    <w:p>
      <w:pPr>
        <w:spacing w:after="60"/>
        <w:ind w:left="510" w:hanging="397"/>
      </w:pPr>
      <w:r>
        <w:rPr>
          <w:b w:val="0"/>
        </w:rPr>
        <w:t xml:space="preserve">1. </w:t>
      </w:r>
      <w:r>
        <w:t>Ese valor probatorio es «salvo prueba en contrario»</w:t>
      </w:r>
      <w:r>
        <w:t xml:space="preserve"> (Ley de Tráfico, art. 88)</w:t>
      </w:r>
      <w:r>
        <w:t>, y en todo procedimiento sancionador el ciudadano tiene derecho a «la presunción de no existencia de responsabilidad administrativa mientras no se demuestre lo contrario»</w:t>
      </w:r>
      <w:r>
        <w:t xml:space="preserve"> (Ley 39/2015, art. 53.2.b)</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xml:space="preserve"> (ídem, art. 53.2.a)</w:t>
      </w:r>
      <w:r>
        <w:t>, y a copia del expediente, con las pruebas en que se basa</w:t>
      </w:r>
      <w:r>
        <w:t xml:space="preserve"> (ídem, art. 53.1.a)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r>
        <w:t>[36.00-6.1 a 6.3]</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r>
        <w:t>[36.00-7.1]</w:t>
      </w:r>
    </w:p>
    <w:p>
      <w:pPr>
        <w:pStyle w:val="ListBullet"/>
      </w:pPr>
      <w:r>
        <w:rPr>
          <w:b/>
        </w:rPr>
        <w:t>Cuándo usarlo:</w:t>
      </w:r>
      <w:r>
        <w:t xml:space="preserve"> cuando Hacienda reclama una deuda tributaria, la pasa a apremio o embarga bienes o cuentas. </w:t>
      </w:r>
      <w:r>
        <w:t>[36.00-7.2]</w:t>
      </w:r>
    </w:p>
    <w:p>
      <w:pPr>
        <w:pStyle w:val="ListBullet"/>
      </w:pPr>
      <w:r>
        <w:rPr>
          <w:b/>
        </w:rPr>
        <w:t>Base legal:</w:t>
      </w:r>
      <w:r>
        <w:t xml:space="preserve"> Ley 58/2003, General Tributaria, arts. 167.3, 170.3, 223, 224 y 235. </w:t>
      </w:r>
      <w:r>
        <w:t>[36.00-7.3]</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r>
        <w:t>[36.00-7.4]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dictó el acto]</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spacing w:after="60"/>
        <w:ind w:left="510" w:hanging="397"/>
      </w:pPr>
      <w:r>
        <w:rPr>
          <w:b w:val="0"/>
        </w:rPr>
        <w:t xml:space="preserve">1. </w:t>
      </w:r>
      <w:r>
        <w:t>[Elegir el motivo admitido por la ley para este acto (arts. 167.3 o 170.3) y explicarlo.]</w:t>
      </w:r>
    </w:p>
    <w:p>
      <w:pPr>
        <w:spacing w:after="60"/>
        <w:ind w:left="510" w:hanging="397"/>
      </w:pPr>
      <w:r>
        <w:rPr>
          <w:b w:val="0"/>
        </w:rPr>
        <w:t xml:space="preserve">2. </w:t>
      </w:r>
      <w:r>
        <w:t>[Documentos que lo acreditan.]</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 xml:space="preserve">En [lugar], a [fecha]. Firma: </w:t>
      </w:r>
      <w:r>
        <w:rPr>
          <w:i/>
          <w:color w:val="6B665E"/>
        </w:rPr>
        <w:t>[firma]</w:t>
      </w:r>
    </w:p>
    <w:p>
      <w:r>
        <w:t>[36.00-7.5 a 7.14]</w:t>
      </w:r>
    </w:p>
    <w:p>
      <w:r>
        <w:rPr>
          <w:b/>
        </w:rPr>
        <w:t>La respuesta probable de la Administración:</w:t>
      </w:r>
      <w:r>
        <w:t xml:space="preserve"> que el motivo alegado no está entre los admitidos por la ley</w:t>
      </w:r>
      <w:r>
        <w:t xml:space="preserve"> (Ley General Tributaria, arts. 167.3 y 170.3)</w:t>
      </w:r>
      <w:r>
        <w:t xml:space="preserve">, que el recurso no suspende el cobro y que el embargo sigue adelante. </w:t>
      </w:r>
      <w:r>
        <w:t>[36.00-7.15]</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t xml:space="preserve"> (ídem, art. 224.1)</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t xml:space="preserve"> (ídem, arts. 167.3.c y 170.3.b)</w:t>
      </w:r>
      <w:r>
        <w:t>: pedir siempre la prueba de la notificación.</w:t>
      </w:r>
    </w:p>
    <w:p>
      <w:pPr>
        <w:spacing w:after="60"/>
        <w:ind w:left="510" w:hanging="397"/>
      </w:pPr>
      <w:r>
        <w:rPr>
          <w:b w:val="0"/>
        </w:rPr>
        <w:t xml:space="preserve">3. </w:t>
      </w:r>
      <w:r>
        <w:t>El espejo: si Hacienda devuelve tarde, debe intereses sin que se le pidan</w:t>
      </w:r>
      <w:r>
        <w:t xml:space="preserve"> (ídem, art. 31.2)</w:t>
      </w:r>
      <w:r>
        <w:t xml:space="preserve"> (</w:t>
      </w:r>
      <w:r>
        <w:t>D.11</w:t>
      </w:r>
      <w:r>
        <w:t>), y el recargo se aplica solo al ciudadano, sin que la obra haya hallado una justificación oficial de por qué existe en una sola dirección (</w:t>
      </w:r>
      <w:r>
        <w:t>7.6</w:t>
      </w:r>
      <w:r>
        <w:t xml:space="preserve">; </w:t>
      </w:r>
      <w:r>
        <w:t>cargo 13</w:t>
      </w:r>
      <w:r>
        <w:t>).</w:t>
      </w:r>
    </w:p>
    <w:p>
      <w:r>
        <w:t>[36.00-8.1 a 8.3]</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r>
        <w:t>[36.00-9.1]</w:t>
      </w:r>
    </w:p>
    <w:p>
      <w:pPr>
        <w:pStyle w:val="ListBullet"/>
      </w:pPr>
      <w:r>
        <w:rPr>
          <w:b/>
        </w:rPr>
        <w:t>Cuándo usarlo:</w:t>
      </w:r>
      <w:r>
        <w:t xml:space="preserve"> cuando la Administración está obligada a dar algo concreto a una persona, por una norma, un acto o un contrato, y no lo da. </w:t>
      </w:r>
      <w:r>
        <w:t>[36.00-9.2]</w:t>
      </w:r>
    </w:p>
    <w:p>
      <w:pPr>
        <w:pStyle w:val="ListBullet"/>
      </w:pPr>
      <w:r>
        <w:rPr>
          <w:b/>
        </w:rPr>
        <w:t>Base legal:</w:t>
      </w:r>
      <w:r>
        <w:t xml:space="preserve"> Ley 29/1998, de la Jurisdicción Contencioso-administrativa, art. 29.1; Ley 39/2015, art. 21 (obligación de resolver). </w:t>
      </w:r>
      <w:r>
        <w:t>[36.00-9.3]</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r>
        <w:t>[36.00-9.4]</w:t>
      </w:r>
    </w:p>
    <w:p>
      <w:r>
        <w:rPr>
          <w:b/>
        </w:rPr>
        <w:t>Modelo para rellenar:</w:t>
      </w:r>
    </w:p>
    <w:p>
      <w:pPr>
        <w:pBdr>
          <w:left w:val="single" w:sz="18" w:space="8" w:color="E2DED6"/>
        </w:pBdr>
        <w:ind w:left="567" w:right="340"/>
      </w:pPr>
      <w:r>
        <w:rPr>
          <w:i/>
          <w:color w:val="6B665E"/>
        </w:rPr>
        <w:t xml:space="preserve">A </w:t>
      </w:r>
      <w:r>
        <w:rPr>
          <w:i/>
          <w:color w:val="6B665E"/>
        </w:rPr>
        <w:t>[órgano obligado]</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 xml:space="preserve">En [lugar], a [fecha]. Firma: </w:t>
      </w:r>
      <w:r>
        <w:rPr>
          <w:i/>
          <w:color w:val="6B665E"/>
        </w:rPr>
        <w:t>[firma]</w:t>
      </w:r>
    </w:p>
    <w:p>
      <w:r>
        <w:t>[36.00-9.5 a 9.11]</w:t>
      </w:r>
    </w:p>
    <w:p>
      <w:r>
        <w:rPr>
          <w:b/>
        </w:rPr>
        <w:t>La respuesta probable de la Administración:</w:t>
      </w:r>
      <w:r>
        <w:t xml:space="preserve"> silencio, o que no existe una «prestación concreta» a la que la Administración esté obligada. </w:t>
      </w:r>
      <w:r>
        <w:t>[36.00-9.12]</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t xml:space="preserve"> (Ley 39/2015, art. 21.1)</w:t>
      </w:r>
      <w:r>
        <w:t>, y quien despacha el asunto es directamente responsable de hacerlo en plazo</w:t>
      </w:r>
      <w:r>
        <w:t xml:space="preserve"> (ídem, art. 21.6)</w:t>
      </w:r>
      <w:r>
        <w:t>.</w:t>
      </w:r>
    </w:p>
    <w:p>
      <w:pPr>
        <w:spacing w:after="60"/>
        <w:ind w:left="510" w:hanging="397"/>
      </w:pPr>
      <w:r>
        <w:rPr>
          <w:b w:val="0"/>
        </w:rPr>
        <w:t xml:space="preserve">3. </w:t>
      </w:r>
      <w:r>
        <w:t>Pasados tres meses, queda el recurso contencioso contra la inactividad</w:t>
      </w:r>
      <w:r>
        <w:t xml:space="preserve"> (Ley 29/1998, art. 29.1)</w:t>
      </w:r>
      <w:r>
        <w:t>, y el silencio se archiva en el Registro (</w:t>
      </w:r>
      <w:r>
        <w:t>10.8</w:t>
      </w:r>
      <w:r>
        <w:t>).</w:t>
      </w:r>
    </w:p>
    <w:p>
      <w:r>
        <w:t>[36.00-10.1 a 10.3]</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r>
        <w:t>[36.00-11.1]</w:t>
      </w:r>
    </w:p>
    <w:p>
      <w:pPr>
        <w:pStyle w:val="ListBullet"/>
      </w:pPr>
      <w:r>
        <w:rPr>
          <w:b/>
        </w:rPr>
        <w:t>Cuándo usarlo:</w:t>
      </w:r>
      <w:r>
        <w:t xml:space="preserve"> cuando una administración ha actuado mal o no ha respondido, y se quiere que una institución independiente lo investigue. </w:t>
      </w:r>
      <w:r>
        <w:t>[36.00-11.2]</w:t>
      </w:r>
    </w:p>
    <w:p>
      <w:pPr>
        <w:pStyle w:val="ListBullet"/>
      </w:pPr>
      <w:r>
        <w:rPr>
          <w:b/>
        </w:rPr>
        <w:t>Base legal:</w:t>
      </w:r>
      <w:r>
        <w:t xml:space="preserve"> Ley Orgánica 3/1981, del Defensor del Pueblo, art. 15. </w:t>
      </w:r>
      <w:r>
        <w:t>[36.00-11.3]</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r>
        <w:t>[36.00-11.4]</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 xml:space="preserve">En [lugar], a [fecha]. Firma: </w:t>
      </w:r>
      <w:r>
        <w:rPr>
          <w:i/>
          <w:color w:val="6B665E"/>
        </w:rPr>
        <w:t>[firma]</w:t>
      </w:r>
    </w:p>
    <w:p>
      <w:r>
        <w:t>[36.00-11.5 a 11.13]</w:t>
      </w:r>
    </w:p>
    <w:p>
      <w:r>
        <w:rPr>
          <w:b/>
        </w:rPr>
        <w:t>La respuesta probable de la Administración:</w:t>
      </w:r>
      <w:r>
        <w:t xml:space="preserve"> que no entra en el caso porque está pendiente de resolución judicial</w:t>
      </w:r>
      <w:r>
        <w:t xml:space="preserve"> (Ley Orgánica 3/1981, art. 17.2)</w:t>
      </w:r>
      <w:r>
        <w:t xml:space="preserve">, o que lo remite a la administración afectada. </w:t>
      </w:r>
      <w:r>
        <w:t>[36.00-11.14]</w:t>
      </w:r>
    </w:p>
    <w:p>
      <w:r>
        <w:rPr>
          <w:i/>
        </w:rPr>
        <w:t>La respuesta de la obra:</w:t>
      </w:r>
    </w:p>
    <w:p>
      <w:pPr>
        <w:spacing w:after="60"/>
        <w:ind w:left="510" w:hanging="397"/>
      </w:pPr>
      <w:r>
        <w:rPr>
          <w:b w:val="0"/>
        </w:rPr>
        <w:t xml:space="preserve">1. </w:t>
      </w:r>
      <w:r>
        <w:t>El rechazo tiene que hacerse por escrito motivado, y puede informar de las vías más oportunas</w:t>
      </w:r>
      <w:r>
        <w:t xml:space="preserve"> (ídem, art. 17.1)</w:t>
      </w:r>
      <w:r>
        <w:t>: pedir siempre esa motivación.</w:t>
      </w:r>
    </w:p>
    <w:p>
      <w:pPr>
        <w:spacing w:after="60"/>
        <w:ind w:left="510" w:hanging="397"/>
      </w:pPr>
      <w:r>
        <w:rPr>
          <w:b w:val="0"/>
        </w:rPr>
        <w:t xml:space="preserve">2. </w:t>
      </w:r>
      <w:r>
        <w:t>La queja es gratuita, no necesita abogado y siempre se acusa recibo</w:t>
      </w:r>
      <w:r>
        <w:t xml:space="preserve"> (ídem, art. 15.2)</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r>
        <w:t>[36.00-12.1 a 12.3]</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r>
        <w:t>[36.00-13.1]</w:t>
      </w:r>
    </w:p>
    <w:p>
      <w:pPr>
        <w:pStyle w:val="ListBullet"/>
      </w:pPr>
      <w:r>
        <w:rPr>
          <w:b/>
        </w:rPr>
        <w:t>Cuándo usarlo:</w:t>
      </w:r>
      <w:r>
        <w:t xml:space="preserve"> para dejar escrito que el consentimiento que el sistema presume nunca se ha dado, y archivarlo en el Registro (</w:t>
      </w:r>
      <w:r>
        <w:t>10.8</w:t>
      </w:r>
      <w:r>
        <w:t xml:space="preserve">). </w:t>
      </w:r>
      <w:r>
        <w:t>[36.00-13.2]</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r>
        <w:t>[36.00-13.3]</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r>
        <w:t>[36.00-13.4]</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 xml:space="preserve">En [lugar], a [fecha]. Firma: </w:t>
      </w:r>
      <w:r>
        <w:rPr>
          <w:i/>
          <w:color w:val="6B665E"/>
        </w:rPr>
        <w:t>[firma]</w:t>
      </w:r>
    </w:p>
    <w:p>
      <w:r>
        <w:t>[36.00-13.5 a 13.14; el punto 3, sin la fórmula «me reservo» (decisión de Kiko, 7-oct: 10.4 y 2.6); el punto 2, en 8.3 y 5.1, n.º 11]</w:t>
      </w:r>
    </w:p>
    <w:p>
      <w:r>
        <w:rPr>
          <w:b/>
        </w:rPr>
        <w:t>La respuesta probable de la Administración:</w:t>
      </w:r>
      <w:r>
        <w:t xml:space="preserve"> ninguna respuesta, o que el documento «carece de efectos jurídicos», o tratarlo como un escrito pseudolegal. </w:t>
      </w:r>
      <w:r>
        <w:t>[36.00-13.15]</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r>
        <w:t>[36.00-14.1 a 14.3]</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r>
        <w:t>[36.00-15.1]</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r>
        <w:t>[36.00-15.2]</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r>
        <w:t>[36.00-15.3]</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r>
        <w:t>[36.00-15.4]</w:t>
      </w:r>
    </w:p>
    <w:p>
      <w:r>
        <w:rPr>
          <w:b/>
        </w:rPr>
        <w:t>Modelo para rellenar:</w:t>
      </w:r>
    </w:p>
    <w:p>
      <w:pPr>
        <w:pBdr>
          <w:left w:val="single" w:sz="18" w:space="8" w:color="E2DED6"/>
        </w:pBdr>
        <w:ind w:left="567" w:right="340"/>
      </w:pPr>
      <w:r>
        <w:rPr>
          <w:i/>
          <w:color w:val="6B665E"/>
        </w:rPr>
        <w:t xml:space="preserve">A </w:t>
      </w:r>
      <w:r>
        <w:rPr>
          <w:i/>
          <w:color w:val="6B665E"/>
        </w:rPr>
        <w:t>[órgano que dictó el acto o tramita el expediente]</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[36.00-15.5 a 15.18; la buena fe, de 10.4 (32.00-7.1); el siguiente paso, decisión de Kiko del 7-oct]</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 </w:t>
      </w:r>
      <w:r>
        <w:t>[36.00-15.19]</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xml:space="preserve"> (ídem, art. 35.1)</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xml:space="preserve"> (ídem, art. 53.2.a)</w:t>
      </w:r>
      <w:r>
        <w:t>; y en todos, a identificar al personal responsable y a dar copia del expediente</w:t>
      </w:r>
      <w:r>
        <w:t xml:space="preserve"> (ídem, art. 53.1.a y b)</w:t>
      </w:r>
      <w:r>
        <w:t>.</w:t>
      </w:r>
    </w:p>
    <w:p>
      <w:pPr>
        <w:spacing w:after="60"/>
        <w:ind w:left="510" w:hanging="397"/>
      </w:pPr>
      <w:r>
        <w:rPr>
          <w:b w:val="0"/>
        </w:rPr>
        <w:t xml:space="preserve">3. </w:t>
      </w:r>
      <w:r>
        <w:t>La presunción de validez admite prueba en contrario, y los actos de un órgano manifiestamente incompetente son nulos</w:t>
      </w:r>
      <w:r>
        <w:t xml:space="preserve"> (ídem, art. 47.1.b)</w:t>
      </w:r>
      <w:r>
        <w:t>. Si no contesta, D.10.</w:t>
      </w:r>
    </w:p>
    <w:p>
      <w:r>
        <w:t>[36.00-16.1 a 16.3]</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r>
        <w:t>[36.00-17.1]</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r>
        <w:t>[36.00-17.2]</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r>
        <w:t>[36.00-17.3]</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r>
        <w:t>[36.00-17.4]</w:t>
      </w:r>
    </w:p>
    <w:p>
      <w:r>
        <w:rPr>
          <w:b/>
        </w:rPr>
        <w:t>Qué es una presunción, en el lenguaje del Derecho.</w:t>
      </w:r>
      <w:r>
        <w:t xml:space="preserve"> El diccionario jurídico de la Real Academia la define así: «Aceptación de un hecho del que no se tiene prueba y que se infiere de otro hecho demostrado»</w:t>
      </w:r>
      <w:r>
        <w:t xml:space="preserve"> (RAE, Diccionario panhispánico del español jurídico, «presunción»)</w:t>
      </w:r>
      <w:r>
        <w:t>. Y la ley dice cuándo vale: las presunciones que la ley establece eximen de probar el hecho presunto, pero «sólo serán admisibles cuando la certeza del hecho indicio del que parte la presunción haya quedado establecida mediante admisión o prueba»</w:t>
      </w:r>
      <w:r>
        <w:t xml:space="preserve"> (Ley de Enjuiciamiento Civil, art. 385.1)</w:t>
      </w:r>
      <w:r>
        <w:t>, y admiten prueba en contrario, salvo que la ley lo prohíba expresamente</w:t>
      </w:r>
      <w:r>
        <w:t xml:space="preserve"> (ídem, art. 385.3)</w:t>
      </w:r>
      <w:r>
        <w:t>. Esa ley se aplica también, en lo que no regulen las suyas, a los procesos contencioso-administrativos</w:t>
      </w:r>
      <w:r>
        <w:t xml:space="preserve"> (ídem, art. 4)</w:t>
      </w:r>
      <w:r>
        <w:t xml:space="preserve">. En pocas palabras: una presunción necesita un hecho de partida admitido o probado. El escrito pide ese hecho. </w:t>
      </w:r>
      <w:r>
        <w:t>[parlamento con Kiko, 7-oct-2026; leído hoy]</w:t>
      </w:r>
    </w:p>
    <w:p>
      <w:r>
        <w:rPr>
          <w:b/>
        </w:rPr>
        <w:t>Modelo para rellenar:</w:t>
      </w:r>
    </w:p>
    <w:p>
      <w:pPr>
        <w:pBdr>
          <w:left w:val="single" w:sz="18" w:space="8" w:color="E2DED6"/>
        </w:pBdr>
        <w:ind w:left="567" w:right="340"/>
      </w:pPr>
      <w:r>
        <w:rPr>
          <w:i/>
          <w:color w:val="6B665E"/>
        </w:rPr>
        <w:t xml:space="preserve">A </w:t>
      </w:r>
      <w:r>
        <w:rPr>
          <w:i/>
          <w:color w:val="6B665E"/>
        </w:rPr>
        <w:t>[Presidencia del Gobierno u órgano al que se dirige]</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 xml:space="preserve">En [lugar], a [fecha]. Firma: </w:t>
      </w:r>
      <w:r>
        <w:rPr>
          <w:i/>
          <w:color w:val="6B665E"/>
        </w:rPr>
        <w:t>[firma]</w:t>
      </w:r>
    </w:p>
    <w:p>
      <w:r>
        <w:t>[36.00-17.5 a 17.9 y 17.17 a 17.20; los siete puntos de 36.00-17.10 a 17.16 pasan a la relación del D.13, con las 894 normas de 2024 en lugar de las 259 (cargo 8); la definición, la constancia, la buena fe y «Lo que haré si no se contesta», decididos con Kiko el 7-oct, sin la fórmula «me reservo todos los derechos» (10.4 y 2.6)]</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 xml:space="preserve">. </w:t>
      </w:r>
      <w:r>
        <w:t>[36.00-17.21]</w:t>
      </w:r>
    </w:p>
    <w:p>
      <w:r>
        <w:rPr>
          <w:i/>
        </w:rPr>
        <w:t>La respuesta de la obra:</w:t>
      </w:r>
    </w:p>
    <w:p>
      <w:pPr>
        <w:spacing w:after="60"/>
        <w:ind w:left="510" w:hanging="397"/>
      </w:pPr>
      <w:r>
        <w:rPr>
          <w:b w:val="0"/>
        </w:rPr>
        <w:t xml:space="preserve">1. </w:t>
      </w:r>
      <w:r>
        <w:t>La inadmisión tiene que ser motivada y en cuarenta y cinco días hábiles</w:t>
      </w:r>
      <w:r>
        <w:t xml:space="preserve"> (Ley Orgánica 4/2001, art. 9.1)</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r>
        <w:t>[36.00-18.1 a 18.3]</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r>
        <w:t>[36.00-19.1]</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r>
        <w:t>[36.00-19.2]</w:t>
      </w:r>
    </w:p>
    <w:p>
      <w:pPr>
        <w:pStyle w:val="ListBullet"/>
      </w:pPr>
      <w:r>
        <w:rPr>
          <w:b/>
        </w:rPr>
        <w:t>Base legal:</w:t>
      </w:r>
      <w:r>
        <w:t xml:space="preserve"> Ley 39/2015, arts. 20.1, 20.2, 21.1, 21.6 y 53.1.a y b; Ley 29/1998, art. 29 (si la Administración está obligada a una prestación concreta, </w:t>
      </w:r>
      <w:r>
        <w:t>D.5</w:t>
      </w:r>
      <w:r>
        <w:t xml:space="preserve">). </w:t>
      </w:r>
      <w:r>
        <w:t>[36.00-19.3]</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r>
        <w:t>[36.00-19.4]</w:t>
      </w:r>
    </w:p>
    <w:p>
      <w:r>
        <w:rPr>
          <w:b/>
        </w:rPr>
        <w:t>Modelo para rellenar:</w:t>
      </w:r>
    </w:p>
    <w:p>
      <w:pPr>
        <w:pBdr>
          <w:left w:val="single" w:sz="18" w:space="8" w:color="E2DED6"/>
        </w:pBdr>
        <w:ind w:left="567" w:right="340"/>
      </w:pPr>
      <w:r>
        <w:rPr>
          <w:i/>
          <w:color w:val="6B665E"/>
        </w:rPr>
        <w:t xml:space="preserve">A </w:t>
      </w:r>
      <w:r>
        <w:rPr>
          <w:i/>
          <w:color w:val="6B665E"/>
        </w:rPr>
        <w:t>[titular de la unidad administrativa que tramita el expediente]</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 xml:space="preserve">En [lugar], a [fecha]. Firma: </w:t>
      </w:r>
      <w:r>
        <w:rPr>
          <w:i/>
          <w:color w:val="6B665E"/>
        </w:rPr>
        <w:t>[firma]</w:t>
      </w:r>
    </w:p>
    <w:p>
      <w:r>
        <w:t>[36.00-19.5 a 19.16; el siguiente paso, de 36.00-20.2]</w:t>
      </w:r>
    </w:p>
    <w:p>
      <w:r>
        <w:rPr>
          <w:b/>
        </w:rPr>
        <w:t>La respuesta probable de la Administración:</w:t>
      </w:r>
      <w:r>
        <w:t xml:space="preserve"> que el retraso se debe a la carga de trabajo, o seguir en silencio. </w:t>
      </w:r>
      <w:r>
        <w:t>[36.00-19.17]</w:t>
      </w:r>
    </w:p>
    <w:p>
      <w:r>
        <w:rPr>
          <w:i/>
        </w:rPr>
        <w:t>La respuesta de la obra:</w:t>
      </w:r>
    </w:p>
    <w:p>
      <w:pPr>
        <w:spacing w:after="60"/>
        <w:ind w:left="510" w:hanging="397"/>
      </w:pPr>
      <w:r>
        <w:rPr>
          <w:b w:val="0"/>
        </w:rPr>
        <w:t xml:space="preserve">1. </w:t>
      </w:r>
      <w:r>
        <w:t>La obligación de resolver no tiene excepción por carga de trabajo</w:t>
      </w:r>
      <w:r>
        <w:t xml:space="preserve"> (Ley 39/2015, art. 21.1)</w:t>
      </w:r>
      <w:r>
        <w:t>, y su incumplimiento da lugar a responsabilidad disciplinaria</w:t>
      </w:r>
      <w:r>
        <w:t xml:space="preserve"> (ídem, art. 21.6)</w:t>
      </w:r>
      <w:r>
        <w:t>.</w:t>
      </w:r>
    </w:p>
    <w:p>
      <w:pPr>
        <w:spacing w:after="60"/>
        <w:ind w:left="510" w:hanging="397"/>
      </w:pPr>
      <w:r>
        <w:rPr>
          <w:b w:val="0"/>
        </w:rPr>
        <w:t xml:space="preserve">2. </w:t>
      </w:r>
      <w:r>
        <w:t>Se puede pedir a la Administración de la que depende el personal que exija esa responsabilidad</w:t>
      </w:r>
      <w:r>
        <w:t xml:space="preserve"> (ídem, art. 20.2)</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r>
        <w:t>[36.00-20.1 a 20.3]</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r>
        <w:t>[36.00-21.1]</w:t>
      </w:r>
    </w:p>
    <w:p>
      <w:pPr>
        <w:pStyle w:val="ListBullet"/>
      </w:pPr>
      <w:r>
        <w:rPr>
          <w:b/>
        </w:rPr>
        <w:t>Cuándo usarlo:</w:t>
      </w:r>
      <w:r>
        <w:t xml:space="preserve"> cuando Hacienda devuelve tarde una cantidad, o devuelve algo cobrado de forma indebida, sin pagar los intereses de demora. </w:t>
      </w:r>
      <w:r>
        <w:t>[36.00-21.2]</w:t>
      </w:r>
    </w:p>
    <w:p>
      <w:pPr>
        <w:pStyle w:val="ListBullet"/>
      </w:pPr>
      <w:r>
        <w:rPr>
          <w:b/>
        </w:rPr>
        <w:t>Base legal:</w:t>
      </w:r>
      <w:r>
        <w:t xml:space="preserve"> Ley 58/2003, General Tributaria, arts. 26, 31.2, 32.2 y 223.1. </w:t>
      </w:r>
      <w:r>
        <w:t>[36.00-21.3]</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r>
        <w:t>[36.00-21.4]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acordó la devolución]</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[36.00-21.5 a 21.12]</w:t>
      </w:r>
    </w:p>
    <w:p>
      <w:r>
        <w:rPr>
          <w:b/>
        </w:rPr>
        <w:t>La respuesta probable de la Administración:</w:t>
      </w:r>
      <w:r>
        <w:t xml:space="preserve"> que no procede porque la demora no es imputable a la Administración</w:t>
      </w:r>
      <w:r>
        <w:t xml:space="preserve"> (Ley General Tributaria, art. 31.2)</w:t>
      </w:r>
      <w:r>
        <w:t xml:space="preserve">, o que los intereses ya se incluyeron. </w:t>
      </w:r>
      <w:r>
        <w:t>[36.00-21.13]</w:t>
      </w:r>
    </w:p>
    <w:p>
      <w:r>
        <w:rPr>
          <w:i/>
        </w:rPr>
        <w:t>La respuesta de la obra:</w:t>
      </w:r>
    </w:p>
    <w:p>
      <w:pPr>
        <w:spacing w:after="60"/>
        <w:ind w:left="510" w:hanging="397"/>
      </w:pPr>
      <w:r>
        <w:rPr>
          <w:b w:val="0"/>
        </w:rPr>
        <w:t xml:space="preserve">1. </w:t>
      </w:r>
      <w:r>
        <w:t>El interés se debe «sin necesidad de que el obligado lo solicite»</w:t>
      </w:r>
      <w:r>
        <w:t xml:space="preserve"> (ídem, arts. 31.2 y 32.2)</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 xml:space="preserve"> (ídem, art. 26)</w:t>
      </w:r>
      <w:r>
        <w:t>.</w:t>
      </w:r>
    </w:p>
    <w:p>
      <w:pPr>
        <w:spacing w:after="60"/>
        <w:ind w:left="510" w:hanging="397"/>
      </w:pPr>
      <w:r>
        <w:rPr>
          <w:b w:val="0"/>
        </w:rPr>
        <w:t xml:space="preserve">3. </w:t>
      </w:r>
      <w:r>
        <w:t>El espejo: al ciudadano el recargo se le aplica sin preguntar por qué pagó tarde</w:t>
      </w:r>
      <w:r>
        <w:t xml:space="preserve"> (ídem, art. 28)</w:t>
      </w:r>
      <w:r>
        <w:t xml:space="preserve"> (</w:t>
      </w:r>
      <w:r>
        <w:t>7.6</w:t>
      </w:r>
      <w:r>
        <w:t>). Contra la negativa, recurso de reposición en un mes</w:t>
      </w:r>
      <w:r>
        <w:t xml:space="preserve"> (ídem, art. 223.1)</w:t>
      </w:r>
      <w:r>
        <w:t>.</w:t>
      </w:r>
    </w:p>
    <w:p>
      <w:r>
        <w:t>[36.00-22.1 a 22.3]</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r>
        <w:t>[36.00-23.1]</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r>
        <w:t>[36.00-23.2]</w:t>
      </w:r>
    </w:p>
    <w:p>
      <w:pPr>
        <w:pStyle w:val="ListBullet"/>
      </w:pPr>
      <w:r>
        <w:rPr>
          <w:b/>
        </w:rPr>
        <w:t>Base legal:</w:t>
      </w:r>
      <w:r>
        <w:t xml:space="preserve"> Ley 40/2015, del Régimen Jurídico del Sector Público, arts. 32 y 36.1; Ley 39/2015, arts. 67.1, 67.2 y 91.3. </w:t>
      </w:r>
      <w:r>
        <w:t>[36.00-23.3]</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r>
        <w:t>[36.00-23.4]</w:t>
      </w:r>
    </w:p>
    <w:p>
      <w:r>
        <w:rPr>
          <w:b/>
        </w:rPr>
        <w:t>Modelo para rellenar:</w:t>
      </w:r>
    </w:p>
    <w:p>
      <w:pPr>
        <w:pBdr>
          <w:left w:val="single" w:sz="18" w:space="8" w:color="E2DED6"/>
        </w:pBdr>
        <w:ind w:left="567" w:right="340"/>
      </w:pPr>
      <w:r>
        <w:rPr>
          <w:i/>
          <w:color w:val="6B665E"/>
        </w:rPr>
        <w:t xml:space="preserve">A </w:t>
      </w:r>
      <w:r>
        <w:rPr>
          <w:i/>
          <w:color w:val="6B665E"/>
        </w:rPr>
        <w:t>[Administración responsable del servicio]</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 xml:space="preserve">En [lugar], a [fecha]. Firma: </w:t>
      </w:r>
      <w:r>
        <w:rPr>
          <w:i/>
          <w:color w:val="6B665E"/>
        </w:rPr>
        <w:t>[firma]</w:t>
      </w:r>
    </w:p>
    <w:p>
      <w:r>
        <w:t>[36.00-23.5 a 23.16]</w:t>
      </w:r>
    </w:p>
    <w:p>
      <w:r>
        <w:rPr>
          <w:b/>
        </w:rPr>
        <w:t>La respuesta probable de la Administración:</w:t>
      </w:r>
      <w:r>
        <w:t xml:space="preserve"> que el daño es de los que el ciudadano «tiene el deber jurídico de soportar», que no hay relación de causalidad, que ha prescrito, o el silencio a los seis meses. </w:t>
      </w:r>
      <w:r>
        <w:t>[36.00-23.17]</w:t>
      </w:r>
    </w:p>
    <w:p>
      <w:r>
        <w:rPr>
          <w:i/>
        </w:rPr>
        <w:t>La respuesta de la obra:</w:t>
      </w:r>
    </w:p>
    <w:p>
      <w:pPr>
        <w:spacing w:after="60"/>
        <w:ind w:left="510" w:hanging="397"/>
      </w:pPr>
      <w:r>
        <w:rPr>
          <w:b w:val="0"/>
        </w:rPr>
        <w:t xml:space="preserve">1. </w:t>
      </w:r>
      <w:r>
        <w:t>El daño tiene que ser efectivo, evaluable e individualizado</w:t>
      </w:r>
      <w:r>
        <w:t xml:space="preserve"> (Ley 40/2015, art. 32.2)</w:t>
      </w:r>
      <w:r>
        <w:t>: documentarlo desde el primer día y presentar la reclamación antes de que pase un año</w:t>
      </w:r>
      <w:r>
        <w:t xml:space="preserve"> (Ley 39/2015, art. 67.1)</w:t>
      </w:r>
      <w:r>
        <w:t>.</w:t>
      </w:r>
    </w:p>
    <w:p>
      <w:pPr>
        <w:spacing w:after="60"/>
        <w:ind w:left="510" w:hanging="397"/>
      </w:pPr>
      <w:r>
        <w:rPr>
          <w:b w:val="0"/>
        </w:rPr>
        <w:t xml:space="preserve">2. </w:t>
      </w:r>
      <w:r>
        <w:t>Con sinceridad: la anulación de un acto no da por sí sola derecho a indemnización</w:t>
      </w:r>
      <w:r>
        <w:t xml:space="preserve"> (Ley 40/2015, art. 32.1)</w:t>
      </w:r>
      <w:r>
        <w:t>; hay que probar el daño y la relación con el servicio.</w:t>
      </w:r>
    </w:p>
    <w:p>
      <w:pPr>
        <w:spacing w:after="60"/>
        <w:ind w:left="510" w:hanging="397"/>
      </w:pPr>
      <w:r>
        <w:rPr>
          <w:b w:val="0"/>
        </w:rPr>
        <w:t xml:space="preserve">3. </w:t>
      </w:r>
      <w:r>
        <w:t>Si a los seis meses no hay resolución, se entiende desestimada</w:t>
      </w:r>
      <w:r>
        <w:t xml:space="preserve"> (Ley 39/2015, art. 91.3)</w:t>
      </w:r>
      <w:r>
        <w:t xml:space="preserve"> y queda la vía contencioso-administrativa; la respuesta, o el silencio, se archivan en el Registro (</w:t>
      </w:r>
      <w:r>
        <w:t>10.8</w:t>
      </w:r>
      <w:r>
        <w:t>).</w:t>
      </w:r>
    </w:p>
    <w:p>
      <w:r>
        <w:t>[36.00-24.1 a 24.3]</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xml:space="preserve">); aquí no se repite. Cada presunción lleva entre paréntesis el apartado de la obra que la explica; en el escrito que se presente, esos paréntesis se quitan. </w:t>
      </w:r>
      <w:r>
        <w:t>[parlamento con Kiko, 7-oct-2026]</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t xml:space="preserve"> (Ley 39/2015, art. 39.1)</w:t>
      </w:r>
      <w:r>
        <w:t>; en los municipios, provincias e islas, la ley les reconoce «La presunción de legitimidad y la ejecutividad de sus actos»</w:t>
      </w:r>
      <w:r>
        <w:t xml:space="preserve"> (Ley 7/1985, de Bases del Régimen Local, art. 4.1.e)</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t xml:space="preserve"> (Ley 39/2015, art. 98.1)</w:t>
      </w:r>
      <w:r>
        <w:t>, y la Administración puede ejecutarlos por sí misma, previo apercibimiento</w:t>
      </w:r>
      <w:r>
        <w:t xml:space="preserve"> (ídem, art. 99)</w:t>
      </w:r>
      <w:r>
        <w:t>; la providencia de apremio «tendrá la misma fuerza ejecutiva que la sentencia judicial»</w:t>
      </w:r>
      <w:r>
        <w:t xml:space="preserve"> (Ley General Tributaria, art. 167.2)</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t xml:space="preserve"> (Ley 39/2015, art. 77.5)</w:t>
      </w:r>
      <w:r>
        <w:t>; las denuncias de los agentes de tráfico «tendrán valor probatorio, salvo prueba en contrario»</w:t>
      </w:r>
      <w:r>
        <w:t xml:space="preserve"> (Ley de Tráfico, art. 88)</w:t>
      </w:r>
      <w:r>
        <w:t>; las actas de la inspección de los tributos «hacen prueba de los hechos que motiven su formalización, salvo que se acredite lo contrario»</w:t>
      </w:r>
      <w:r>
        <w:t xml:space="preserve"> (Ley General Tributaria, art. 144.1)</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t xml:space="preserve"> (Ley General Tributaria, art. 108.4)</w:t>
      </w:r>
      <w:r>
        <w:t>, y lo que acepta en un acta de inspección se presume cierto y solo puede rectificarse probando un error de hecho</w:t>
      </w:r>
      <w:r>
        <w:t xml:space="preserve"> (ídem, art. 144.2)</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t xml:space="preserve"> (ídem, art. 108.3)</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t xml:space="preserve"> (Ley 39/2015, art. 43.2)</w:t>
      </w:r>
      <w:r>
        <w:t>, y la de tráfico publicada en el BOE se entenderá practicada a los veinte días naturales</w:t>
      </w:r>
      <w:r>
        <w:t xml:space="preserve"> (Ley de Tráfico, art. 91)</w:t>
      </w:r>
      <w:r>
        <w:t>.</w:t>
      </w:r>
    </w:p>
    <w:p>
      <w:pPr>
        <w:spacing w:after="60"/>
        <w:ind w:left="510" w:hanging="397"/>
      </w:pPr>
      <w:r>
        <w:rPr>
          <w:b w:val="0"/>
        </w:rPr>
        <w:t xml:space="preserve">7. </w:t>
      </w:r>
      <w:r>
        <w:rPr>
          <w:b/>
        </w:rPr>
        <w:t>El silencio que dice no.</w:t>
      </w:r>
      <w:r>
        <w:t xml:space="preserve"> En el derecho de petición, el silencio tiene efecto desestimatorio</w:t>
      </w:r>
      <w:r>
        <w:t xml:space="preserve"> (Ley 39/2015, art. 24.1)</w:t>
      </w:r>
      <w:r>
        <w:t>, y en el acceso a la información pública, la solicitud sin respuesta «se entenderá que […] ha sido desestimada»</w:t>
      </w:r>
      <w:r>
        <w:t xml:space="preserve"> (Ley 19/2013, art. 20.4)</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t xml:space="preserve"> (Código Civil, art. 6.1)</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t xml:space="preserve"> (Constitución, art. 24.2)</w:t>
      </w:r>
      <w:r>
        <w:t>, y en todo procedimiento sancionador, «a la presunción de no existencia de responsabilidad administrativa mientras no se demuestre lo contrario»</w:t>
      </w:r>
      <w:r>
        <w:t xml:space="preserve"> (Ley 39/2015, art. 53.2.b)</w:t>
      </w:r>
      <w:r>
        <w:t>.</w:t>
      </w:r>
    </w:p>
    <w:p>
      <w:pPr>
        <w:pStyle w:val="ListBullet"/>
      </w:pPr>
      <w:r>
        <w:t>«La buena fe se presume siempre, y al que afirma la mala fe de un poseedor corresponde la prueba»</w:t>
      </w:r>
      <w:r>
        <w:t xml:space="preserve"> (Código Civil, art. 434)</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t xml:space="preserve"> (Ley 39/2015, art. 24.1)</w:t>
      </w:r>
      <w:r>
        <w:t>.</w:t>
      </w:r>
    </w:p>
    <w:p>
      <w:pPr>
        <w:pStyle w:val="ListBullet"/>
      </w:pPr>
      <w:r>
        <w:t>Toda presunción legal admite prueba en contrario, salvo que la ley lo prohíba expresamente</w:t>
      </w:r>
      <w:r>
        <w:t xml:space="preserve"> (Ley de Enjuiciamiento Civil, art. 385.3; Ley General Tributaria, art. 108.1)</w:t>
      </w:r>
      <w:r>
        <w:t>; y la que no establece ninguna norma solo vale si entre el hecho demostrado y el que se deduce «haya un enlace preciso y directo según las reglas del criterio humano»</w:t>
      </w:r>
      <w:r>
        <w:t xml:space="preserve"> (Ley General Tributaria, art. 108.2; Ley de Enjuiciamiento Civil, art. 386.1)</w:t>
      </w:r>
      <w:r>
        <w:t>.</w:t>
      </w:r>
    </w:p>
    <w:p>
      <w:r>
        <w:t>[presunciones_en_leyes.py; leído hoy en local: Ley 39/2015, Ley 7/1985, Ley General Tributaria, Ley de Tráfico, Código Civil y Ley de Enjuiciamiento Civil; las 894 normas, del cargo 8]</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t xml:space="preserve"> (Código Civil, art. 1.3)</w:t>
      </w:r>
      <w:r>
        <w:t>; la jerarquía termina en la Constitución</w:t>
      </w:r>
      <w:r>
        <w:t xml:space="preserve"> (Constitución, art. 9.1)</w:t>
      </w:r>
      <w:r>
        <w:t>, que reconoce derechos «inherentes» a la persona, anteriores a ella</w:t>
      </w:r>
      <w:r>
        <w:t xml:space="preserve"> (art. 10.1)</w:t>
      </w:r>
      <w:r>
        <w:t>; y «Ninguna confesión tendrá carácter estatal»</w:t>
      </w:r>
      <w:r>
        <w:t xml:space="preserve"> (art. 16.3)</w:t>
      </w:r>
      <w:r>
        <w:t xml:space="preserve">, con lo que ninguna ley de Dios entra en el ordenamiento. Según el aforismo </w:t>
      </w:r>
      <w:r>
        <w:rPr>
          <w:i/>
        </w:rPr>
        <w:t>prior tempore potior iure</w:t>
      </w:r>
      <w:r>
        <w:t>, «Primero en el tiempo, preferido en el derecho»</w:t>
      </w:r>
      <w:r>
        <w:t xml:space="preserve"> (RAE, Diccionario panhispánico del español jurídico, «prior tempore potior iure»)</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t xml:space="preserve"> (Ley 40/2015, art. 23)</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t xml:space="preserve"> (Constitución, art. 1.2)</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t>[36.00-17.10 a 17.16, ampliados con el edificio de 5.2 y los cargos 1 a 23, por decisión de Kiko (7-oct); el art. 1.3 del Código Civil, leído hoy; la Ley 40/2015, art. 23, ya en 1.7; Hume, ya en 6.1; Max Weber, sin leer: no entra]</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t xml:space="preserve"> (RAE, Diccionario de la lengua española, «usurpar», 2.ª acepción)</w:t>
      </w:r>
      <w:r>
        <w:t>; y arrogarse es, en el diccionario jurídico, «Apropiarse indebidamente de honores, títulos o derechos»</w:t>
      </w:r>
      <w:r>
        <w:t xml:space="preserve"> (RAE, Diccionario panhispánico del español jurídico, «arrogarse»)</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t xml:space="preserve"> (Elio Antonio de Nebrija, Vocabulario español-latino, Salamanca, ¿1495?, hoja 159; NTLLE de la RAE)</w:t>
      </w:r>
      <w:r>
        <w:t xml:space="preserve"> [original: «Presumir. arrogo. as. insolesco. is.» / «Presuncion. arrogantia. ę. insolentia. ę.»]</w:t>
      </w:r>
      <w:r>
        <w:t>. El poder de uno solo vive de que muchos se lo den (</w:t>
      </w:r>
      <w:r>
        <w:t>4.1</w:t>
      </w:r>
      <w:r>
        <w:t xml:space="preserve">); el aliento que articula sus palabras es el que le prestan quienes creen en él y consienten. Por eso esta parte se llama la vacuna: quien sabe en qué se cree sin prueba ya no consiente sin saberlo. </w:t>
      </w:r>
      <w:r>
        <w:t>[Kiko, parlamento del 7-oct-2026; con la fórmula de la edición, glosario 9.1]</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r>
        <w:br w:type="page"/>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keepNext/>
      </w:pPr>
      <w:r>
        <w:rPr>
          <w:rFonts w:ascii="Segoe UI" w:hAnsi="Segoe UI" w:eastAsia="Segoe UI" w:cs="Segoe UI"/>
          <w:b/>
          <w:color w:val="6B665E"/>
          <w:sz w:val="20"/>
        </w:rPr>
        <w:t>Notas de trabajo (estado y trazabilidad)</w:t>
      </w:r>
    </w:p>
    <w:p>
      <w:r>
        <w:t>Cambio del 12-oct-2026 (Kiko, chat de 08.18, 06:3x, pasado por 08.18 tal cual, a «¿das el sí a los nueve cambios de 07.6?»: «si»; borrador B13, el barrido de los cuantificadores vagos en las frases con dato): en «En pocas palabras» y en E.4, «quien sufre un daño reclama a la Administración, no (o nunca) al empleado» lleva su alcance, «por un servicio público» (Ley 40/2015, art. 36.1; 10.4). Ninguna otra palabra cambia. Cambio del 9-oct-2026 (fase de reparación; Kiko: «sí me gustaría que lo pusieras»): en E.1, «la sentencia más citada» deja de ser presunción: un estudio de la Alberta Law Review (Netolitzky, 2019, pág. 1186) cuenta 198 resoluciones canadienses que citan Meads y dice que CanLII la da como la más citada del Tribunal del Banco de la Reina de Alberta desde 2012; se quita lo de «cataloga con más detalle que ninguna otra», que el estudio no dice con esas palabras. Cambio del 9-oct-2026 (fase de reparación; Kiko: «Sí, corrígelos»): en E.2, la sentencia Class (D.D.C., 16-4-2014) no «rechazó expresamente cuatro teorías por su nombre»: rechazó la objeción de las mayúsculas («no encuentra apoyo en la ley») y descartó la del nombre comercial registrado y el Código de Comercio Uniforme por «no respaldada e irrelevante»; en E.3, la Cestui Que Vie Act 1666 no trata del arrendatario que se ausenta, sino de la persona por cuya vida se concedió el arrendamiento. Leídas las dos en su original; sin {presunción} en esos apartados. Cambio del 8-oct-2026 (parlamento sobre los mitos; Kiko: «sí a las tres, con tus recomendaciones» y el añadido del método de medir): el anexo pasa de «Los mitos del movimiento soberano» a «Lo que se afirma sin documento». Se quitan el nombre del grupo y las palabras «mito», «creencia falsa» y «sin verificar»; la excepción de los mitos queda sustituida por una regla general (libro de estilo §2): lo que no tiene documento es una presunción (0.4), se dice como afirmación y lleva la marca de presunción; se pide a quien la sostenga que aporte dónde nace. Se añade el método de medir (E.0). No cambia ningún dato ni ninguna cita. ESTADO: APROBADO por Kiko el 7-oct-2026 («sí a las dos»: el anexo y su forma, que vale para todos los anexos); sus marcas, en 04 CAPITULOS/marcas/marcas del anexo E.txt. Paso 3. Es el primero de los anexos. Sale de la pieza 09.00 (archivo congelado) y se traslada tal cual. Sin agentes ni descargas. HISTORIA, superada el 8-oct (véase la primera línea): EXCEPCIÓN DE LOS MITOS (Kiko, 7-oct, después de aprobarlo): «Referente al apartado de los mitos, no puedes borrarlo porque no exista información: lo refuta como que es un mito. Esta es la única excepción. En este apartado concreto no se borra nada, y no se verifica y no se le pone fuente […]. Porque los mitos no tienen fuente: por eso esos mitos son creencias falsas». Y: crear una marca nueva para esta situación, por si se repite. La marca es {mito} (libro de estilo §7): el texto va como lo dejó la pieza, y el lector le pone en los tres niveles la etiqueta «sin verificar». Repuesto con ella todo lo que había quedado fuera: la historia de la escritura romana (09.00-1.1), United States v. Rodney Class (1.2), las fuentes que nombró la pieza (1.3, 2.2, 3.2 y 4.5), lo que regula la ley inglesa de 1666 (2.1), que Meads sea la sentencia más citada (3.1) y Maine (4.4). Lo leído hoy en su original sigue con su fuente. Y (Kiko, 7-oct): explicar en el anexo que, buscada a fondo la fuente de cada creencia y no hallada, se catalogó como mito por ese motivo. Va en E.0, «Por qué se llaman mitos», y en «En pocas palabras», con lo que de verdad se buscó y se halló (las búsquedas de la pieza, 09.00-4.4 y 5.1; Bueker y Meads, leídos hoy). Y (Kiko, 7-oct): lo que la obra usa para desmontar los mitos tiene que apoyarse en algo. Sin romper el orden de trabajo (al redactar no se descarga), queda marcado con {mito} y apuntado para leer en su fuente en 05 FLECOS, sección 5: la escritura romana y la carolingia (con lo que Kiko recuerda: que se impuso por un criterio, quizá el de los monjes), Rodney Class, la ley de 1666, Maine y «la más citada». Al leerlo, pierde {mito} y lleva su fuente.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E no tiene ninguna en 16 CIFRAS POR MIRAR; cada número, en su fila o leído hoy (los 736 párrafos de Meads, c9k, entrada 15). Orden: Meads va primero, porque ahora sostiene también los mitos de las mayúsculas y del certificado de nacimiento (la pieza lo ponía en tercer lugar). Las traducciones de Meads y de Bueker son de la edición, con el original al lado. Leído hoy en su original (en local; libreta 75, 7 bis n.º 10): - Meads v. Meads, 2012 ABQB 571, de 18-9-2012 (Tribunal del Banco de la Reina de Alberta; c9h, copia de 2014 del archivo de Internet): ¶ 1, 42 a 44, 212, 323, 378, 435, 445, 507, 526, 536, 538, 541 y 736, y su apéndice A (pág. PDF 181). - Bueker v. Madison County, 2016 IL 120024 (Tribunal Supremo de Illinois; c9c): ¶ 1, 3, 4, 9, 16 y 26. - Del registro (con su pasaje): Meads, ¶ 1 y 736 (c9k, entradas 14 y 15); Bueker, ¶ 1 y 26 (c9c, entradas 62 a 64); Ley 40/2015, arts. 32 y 36 (c10; ya en 10.4). Hallado al escribir (sin errata para el 07): - 09.00-4.2: la fianza nombraba al condado como beneficiario, pero el Tribunal dice que por error: por ley, el beneficiario es «the People of the State of Illinois» (el pueblo del Estado de Illinois; ¶ 16), nunca los ciudadanos a título particular. Va así. - 09.00-4.4: el límite decía que no se había localizado ninguna sentencia que describiera el mito de las fianzas. Meads reproduce en su apéndice A el documento del litigante que exige a los funcionarios entregar «any and all surety bonds» (todas y cada una de las fianzas), y el juez dice de esos documentos que no tienen fuerza legal (¶ 526). No lo describe por su nombre, pero lo recoge: va así. - 09.00-1.2: United States v. Rodney Class no tiene fuente leída; lo sustituye Meads, leído: los tribunales canadienses rechazaron que haya diferencia legal entre un nombre en mayúsculas y en minúsculas (¶ 323), y la persona doble «no tiene efecto jurídico» (¶ 445). No entra: solo la cabecera de la pieza antigua (09.00-0.0: nombre, sello y fecha), que no es texto del anexo. Lo que 2.6 dice de la escritura romana y de la ley de 1666 queda cubierto por la excepción: ya no va al repaso final. Conceptos que usa, ya anclados: el movimiento soberano y sus mitos (2.6); la persona y la persona jurídica (2.1); la responsabilidad de la Administración y de su personal (10.4). Nuevo aquí: el fideicomiso, explicado al usarlo. Lo que no se repite: el riesgo penal en España y el patrón de los mitos están en 2.6 (09.00-5.1, 5.2 y 6.1); las defensas, en el juicio (09.00-7, capítulo 11).</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[Kiko, 8-oct-2026: la presunción y el método de medir; 09.00-0.1, 4.4 y 5.1]</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r>
        <w:t>[09.00-0.1 y 6.1, ya en 2.6]</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xml:space="preserve"> [original: Court of Queen’s Bench of Alberta]</w:t>
      </w:r>
      <w:r>
        <w:t>, dictó una sentencia de 736 párrafos</w:t>
      </w:r>
      <w:r>
        <w:t xml:space="preserve"> (Meads v. Meads, 2012 ABQB 571, de 18-9-2012, ¶ 736)</w:t>
      </w:r>
      <w:r>
        <w:t>. En ella reúne a unos litigantes que se presentan con distintos nombres («no hay una lista cerrada»)</w:t>
      </w:r>
      <w:r>
        <w:t xml:space="preserve"> [original: «Freemen or Freemen-on-the-Land; Sovereign Men or Sovereign Citizens; […] and other labels - there is no closed list»]</w:t>
      </w:r>
      <w:r>
        <w:t>, y les da un nombre común, que es del juez y no de esta obra: litigantes del «argumento comercial pseudolegal organizado» (OPCA, por sus siglas en inglés)</w:t>
      </w:r>
      <w:r>
        <w:t xml:space="preserve"> [original: «In the absence of a better moniker, I have collectively labelled them as Organized Pseudolegal Commercial Argument litigants [“OPCA litigants”], to functionally define them collectively for what they literally are»]</w:t>
      </w:r>
      <w:r>
        <w:t xml:space="preserve"> (ídem, ¶ 1)</w:t>
      </w:r>
      <w:r>
        <w:t>.</w:t>
      </w:r>
    </w:p>
    <w:p>
      <w:r>
        <w:t>La sentencia examina las estrategias de estos litigantes una por una, y concluye que la naturaleza y la jurisdicción de los tribunales canadienses las derrotan todas, salvo los esquemas de «dinero a cambio de nada», que examina aparte</w:t>
      </w:r>
      <w:r>
        <w:t xml:space="preserve"> [original: «The nature and jurisdiction of Canadian courts, globally, defeats all the OPCA strategies and concepts identified and reviewed in these Reasons […]. The exceptions are the ‘money for nothing’ schemes that I will review at a later point.»]</w:t>
      </w:r>
      <w:r>
        <w:t xml:space="preserve"> (ídem, ¶ 378)</w:t>
      </w:r>
      <w:r>
        <w:t>. Uno de esos esquemas es el de E.3.</w:t>
      </w:r>
    </w:p>
    <w:p>
      <w:r>
        <w:t>De los papeles que le presentó el propio litigante, el juez dice: «Esto es, por supuesto, un disparate»; no tienen «fuerza ni sentido en derecho»</w:t>
      </w:r>
      <w:r>
        <w:t xml:space="preserve"> [original: «This is, of course, nonsense. As I have noted to Mr. Meads, these materials have no force or meaning in law»]</w:t>
      </w:r>
      <w:r>
        <w:t xml:space="preserve"> (ídem, ¶ 44)</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xml:space="preserve"> [original: «In Canada, Meads has been cited in 198 reported court and tribunal decisions, and endorsed by five Canadian Courts of Appeal»]</w:t>
      </w:r>
      <w:r>
        <w:t>, y que CanLII la da como la decisión más citada del Tribunal del Banco de la Reina de Alberta desde 2012</w:t>
      </w:r>
      <w:r>
        <w:t xml:space="preserve"> [original: «CanLII indicates Meads is the most cited post-2012 decision issued by the Alberta Court of Queen’s Bench»]</w:t>
      </w:r>
      <w:r>
        <w:t>. Fuera de Canadá, el mismo estudio dice que se acepta ampliamente en la Commonwealth: Reino Unido, Australia, Jersey, Irlanda, Nueva Zelanda, Irlanda del Norte y Escocia</w:t>
      </w:r>
      <w:r>
        <w:t xml:space="preserve"> [original: «Meads is broadly accepted throughout the Commonwealth: in the UK, Australia, Jersey, the Republic of Ireland, New Zealand, Northern Ireland, and Scotland»]</w:t>
      </w:r>
      <w:r>
        <w:t xml:space="preserve"> (Donald J. Netolitzky, «After the Hammer: Six Years of Meads v. Meads», Alberta Law Review 56:4 (2019), pág. 1186; fuente secundaria, académica)</w:t>
      </w:r>
      <w:r>
        <w:t>.</w:t>
      </w:r>
    </w:p>
    <w:p>
      <w:r>
        <w:t>Fuente leída hoy: Netolitzky, «After the Hammer: Six Years of Meads v. Meads», Alberta Law Review 56:4 (2019), págs. 1167 y siguientes (42 páginas; descargada de albertalawreview.com); la sentencia Meads, leída en local (c9h).</w:t>
      </w:r>
    </w:p>
    <w:p>
      <w:r>
        <w:t>[09.00-3.1 y 3.2; Meads, leído hoy en local (c9h), ¶ 1, 44, 378 y 736; lo de «la más citada», Netolitzky 2019, leído hoy en local (flecos_finales), pág. 1186]</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t>[09.00-1.1, entero; la historia de la escritura, presunción: sin leer en esta edición; por leer en su fuente, 05, sección 5]</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t xml:space="preserve"> [original: «In brief, the capital letter version of the name is some kind of non-human thing, while the lower case name is the ‘flesh and blood’ aspect of the litigant»]</w:t>
      </w:r>
      <w:r>
        <w:t xml:space="preserve"> (Meads v. Meads, ¶ 212)</w:t>
      </w:r>
      <w:r>
        <w:t>. Recoge que los tribunales canadienses ya habían rechazado que haya diferencia legal entre un nombre escrito en mayúsculas y minúsculas y un nombre todo en mayúsculas</w:t>
      </w:r>
      <w:r>
        <w:t xml:space="preserve"> [original: «there is no legal distinction between a name in upper case and lower case letters, and a name all in capital letters»]</w:t>
      </w:r>
      <w:r>
        <w:t xml:space="preserve"> (ídem, ¶ 323, con las sentencias que cita)</w:t>
      </w:r>
      <w:r>
        <w:t>. Y concluye: «Los esquemas de la "persona doble o dividida" no tienen efecto jurídico. No tienen base en la ley. A una persona solo le corresponde una identidad legal»</w:t>
      </w:r>
      <w:r>
        <w:t xml:space="preserve"> [original: «‘Double/split person’ schemes have no legal effect. These schemes have no basis in law. There is only one legal identity that attaches to a person.»]</w:t>
      </w:r>
      <w:r>
        <w:t xml:space="preserve"> (ídem, ¶ 445)</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xml:space="preserve"> [original: «find no support in the law and, in fact, have been squarely rejected by at least one court»]</w:t>
      </w:r>
      <w:r>
        <w:t>, que calificó objeciones parecidas de «manifiestamente carentes de fundamento»</w:t>
      </w:r>
      <w:r>
        <w:t xml:space="preserve"> [original: «patently without merit»]</w:t>
      </w:r>
      <w:r>
        <w:t>. Y aclaró que la persona acusada es «Rodney Class, el ser humano, y no una corporación ni ninguna otra “entidad ficticia”»</w:t>
      </w:r>
      <w:r>
        <w:t xml:space="preserve"> [original: «the person charged in this case is Rodney Class the human being, and not a corporation or any other “fictional entity,”»]</w:t>
      </w:r>
      <w:r>
        <w:t xml:space="preserve"> (United States v. Class, causa 13-253 (GK), D.D.C., 16-4-2014, págs. 5 y 6)</w:t>
      </w:r>
      <w:r>
        <w:t>. Otra petición suya, que decía que su nombre de nacimiento se había convertido en un «nombre comercial registrado» en violación del Código de Comercio Uniforme, la descartó por «no respaldada e irrelevante»</w:t>
      </w:r>
      <w:r>
        <w:t xml:space="preserve"> [original: «These allegations are unsupported and irrelevant»]</w:t>
      </w:r>
      <w:r>
        <w:t xml:space="preserve"> (ídem, pág. 29)</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r>
        <w:t>presunción</w:t>
      </w:r>
      <w:r>
        <w:t xml:space="preserve"> Fuentes que se citan para la historia de la escritura, sin leer en esta edición: Wikipedia, «Mayúsculas cuadradas romanas»; dossier didáctico de epigrafía romana (bv.gva.es); Tentulogo, «La escritura mayúscula romana». La sentencia Class se leyó entera en su original (govinfo.gov, documento 76, 31 páginas; sin capa de texto: reconocimiento óptico y las páginas 6 y 29 a la vista).</w:t>
      </w:r>
    </w:p>
    <w:p>
      <w:r>
        <w:t>[Meads, leído hoy en local (c9h), ¶ 212, 323 y 445; 09.00-1.2 y 1.3; Class, leído hoy en local (flecos_finales), págs. 5, 6 y 29; la historia de la escritura, presunción: sin leer en esta edición]</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xml:space="preserve"> [original: «shall be accounted as naturally dead»]</w:t>
      </w:r>
      <w:r>
        <w:t>; y si reaparece, el arrendatario vuelve a la finca y cobra los beneficios que perdió, con intereses</w:t>
      </w:r>
      <w:r>
        <w:t xml:space="preserve"> (Cestui Que Vie Act 1666, arts. I y IV, legislation.gov.uk)</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t>Fuente leída hoy: Cestui Que Vie Act 1666, texto revisado de legislation.gov.uk (cuatro artículos, dos derogados; sin efectos pendientes en el registro).</w:t>
      </w:r>
    </w:p>
    <w:p>
      <w:r>
        <w:t>[09.00-2.1 y 2.2, enteros; la Cestui Que Vie Act 1666, leída entera hoy en local (flecos_finales)]</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t xml:space="preserve"> (Meads v. Meads, ¶ 42 y 435)</w:t>
      </w:r>
      <w:r>
        <w:t>, y pidió que lo que debía a su mujer y a sus hijos se pagara desde una cuenta bancaria secreta</w:t>
      </w:r>
      <w:r>
        <w:t xml:space="preserve"> (ídem, ¶ 43 y 538)</w:t>
      </w:r>
      <w:r>
        <w:t>. El juez explica la creencia: quienes venden este esquema aseguran que, «con la combinación correcta de documentos oficiales», una persona puede acceder a su cuenta bancaria secreta y a sus fondos</w:t>
      </w:r>
      <w:r>
        <w:t xml:space="preserve"> [original: «OPCA gurus who sell the A4V scheme claim that, with a correct combination of government documents, a person can access their secret bank account and its funds»]</w:t>
      </w:r>
      <w:r>
        <w:t xml:space="preserve"> (ídem, ¶ 536)</w:t>
      </w:r>
      <w:r>
        <w:t>. Y responde que todo ese esquema ya lo habían examinado y rechazado otros tribunales: «Yo hago lo mismo»</w:t>
      </w:r>
      <w:r>
        <w:t xml:space="preserve"> [original: «The entire A4V concept has been reviewed and rejected in Underworld Services Ltd. v. Money Stop Ltd., 2012 ABQB 327, and Mercedes-Benz Financial v. Kovacevic […]. I do the same.»]</w:t>
      </w:r>
      <w:r>
        <w:t xml:space="preserve"> (ídem, ¶ 541)</w:t>
      </w:r>
      <w:r>
        <w:t>.</w:t>
      </w:r>
    </w:p>
    <w:p>
      <w:r>
        <w:t>[09.00-2.1; Meads, leído hoy en local (c9h), ¶ 42, 43, 435, 536, 538 y 541]</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xml:space="preserve">) y que cualquier ciudadano perjudicado puede reclamar contra ella, o incluso embargar al funcionario, para cobrarse el daño. </w:t>
      </w:r>
      <w:r>
        <w:t>[09.00-4.1]</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xml:space="preserve"> [original: «Public official bonds are instruments “by which a public officer and a secondary obligor undertake to pay up to a fixed sum of money if the public officer does not faithfully discharge the duties of his or her office.”»]</w:t>
      </w:r>
      <w:r>
        <w:t>. Las leyes de Illinois la exigen, por ejemplo, a los tesoreros y a los recaudadores de condado</w:t>
      </w:r>
      <w:r>
        <w:t xml:space="preserve"> (Tribunal Supremo de Illinois, Bueker v. Madison County, 2016 IL 120024, de 1-12-2016, ¶ 9, con la definición del Restatement (Third) of Suretyship and Guaranty)</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t xml:space="preserve"> (ídem, ¶ 3)</w:t>
      </w:r>
      <w:r>
        <w:t>, y demandaron directamente a la aseguradora que avalaba su fianza</w:t>
      </w:r>
      <w:r>
        <w:t xml:space="preserve"> (ídem, ¶ 4)</w:t>
      </w:r>
      <w:r>
        <w:t>. El Tribunal Supremo de Illinois confirmó que la demanda contra la aseguradora se desestimara: «los demandantes, como ciudadanos particulares, no pueden reclamar contra la fianza de cargo público exigida por ley de que se trata»</w:t>
      </w:r>
      <w:r>
        <w:t xml:space="preserve"> [original: «We agree and hold that plaintiffs, as private citizens, are precluded from making claims on the statutorily mandated, public official bond at issue in this case.»]</w:t>
      </w:r>
      <w:r>
        <w:t xml:space="preserve"> (ídem, ¶ 1; casi igual en el ¶ 26)</w:t>
      </w:r>
      <w:r>
        <w:t>. La fianza nombraba como beneficiario al condado; el Tribunal dice que por error, porque las leyes que la exigen nombran al pueblo del Estado de Illinois</w:t>
      </w:r>
      <w:r>
        <w:t xml:space="preserve"> [original: «the bond at issue in this case erroneously names "Madison County Government" as the obligee instead of "the People of the State of Illinois," as prescribed by the statutes requiring the bond»]</w:t>
      </w:r>
      <w:r>
        <w:t xml:space="preserve"> (ídem, ¶ 16)</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t xml:space="preserve"> (Meads v. Meads, ¶ 507)</w:t>
      </w:r>
      <w:r>
        <w:t>) exige a ese funcionario entregar «todas y cada una de las fianzas» y pólizas de seguro que hagan falta para pagar lo que el litigante le reclame</w:t>
      </w:r>
      <w:r>
        <w:t xml:space="preserve"> [original: «agrees to surrender any and all surety bonds, public and/or corporate insurance policies, CAFR funds, or corporate property as needed to satisfy any and all claims and/or assessments as filed against said officer, agent, or representative by the Secured Party»]</w:t>
      </w:r>
      <w:r>
        <w:t xml:space="preserve"> (ídem, apéndice A, pág. PDF 181)</w:t>
      </w:r>
      <w:r>
        <w:t>. De esos documentos, el juez dice que no tienen fuerza legal, y que por eso las amenazas que contienen son, por definición, ilícitas</w:t>
      </w:r>
      <w:r>
        <w:t xml:space="preserve"> [original: «Since ‘fee schedules’ have no legal force, the threats they contain are by definition unlawful.»]</w:t>
      </w:r>
      <w:r>
        <w:t xml:space="preserve"> (ídem, ¶ 526)</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t>[09.00-4.4, entero; lo de Maine, presunción: sin leer en esta edición; por leer en su fuente, 05, sección 5]</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r>
        <w:t>presunción</w:t>
      </w:r>
      <w:r>
        <w:t xml:space="preserve"> Fuentes que se citan, algunas sin leer en esta edición: Tribunal Supremo de Illinois, Bueker v. Madison County, 2016 IL 120024, de 1-XII-2016 (texto oficial, illinoiscourts.gov); Ley 40/2015, arts. 32 a 36; Maine Municipal Association, «Sovereign Citizens» (fuente secundaria).</w:t>
      </w:r>
    </w:p>
    <w:p>
      <w:r>
        <w:t>[09.00-4.1 a 4.5; Bueker, leído hoy en local (c9c), ¶ 1, 3, 4, 9, 16 y 26; Meads, leído hoy en local (c9h), ¶ 507 y 526 y apéndice A; Ley 40/2015, arts. 32 y 36, ya en 10.4; la Maine Municipal Association, presunción: sin leer en esta edición; por leer en su fuente, 05, sección 5]</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r>
        <w:t>[09.00-5.1, ya en 2.6]</w:t>
      </w:r>
    </w:p>
    <w:p>
      <w:pPr>
        <w:pStyle w:val="ListBullet"/>
      </w:pPr>
      <w:r>
        <w:rPr>
          <w:b/>
        </w:rPr>
        <w:t>La sentencia de Illinois fija la regla de la fianza, pero no trata de quienes la invocan.</w:t>
      </w:r>
      <w:r>
        <w:t xml:space="preserve"> Ese uso se ve en el apéndice de Meads, que lo recoge sin describirlo por su nombre. </w:t>
      </w:r>
      <w:r>
        <w:t>[09.00-4.4]</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r>
        <w:t>[Kiko, 8-oct-2026; 09.00-1.1 a 4.5]</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[09.00-7.1 a 7.10, ya en el capítulo 11; clasificación de las defensas, aprobada]</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r>
        <w:br w:type="page"/>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(b) en F.9, «algo distinto de lo que» en lugar de «otra cosa de lo que» (07/herramientas/aplicar_cinco_de_forma.py).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F.9, el punto 16 de «Lo extenso» (los pasajes del ungido, en la Reina-Valera Antigua, con el hebreo del códice de Leningrado; la Bhagavad Gita en la traducción inglesa de Arnold y el Shujing y Mencio en la de Legge, con la traducción de esta edición y el inglés al lado), una frase en «La idea», otra en «Cómo se leyó» y su remisión en la línea de fuente.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F.9, el punto 15 de «Lo extenso» (los pasajes del séptimo sello, en la Reina-Valera Antigua y con el griego de la edición SBLGNT donde dice otra cosa o donde el verbo importa), una frase en «La idea», otra en «Cómo se leyó» y su remisión en la línea de fuente. Sin palabra nueva. Ninguna otra palabra cambia. Cambio del 12-oct-2026 (Kiko, chat de 08.24, 15:0x, pasado por 08.24 tal cual: «SI CONCUERDO» a la línea de dato junto al «¿qué vas a hacer cuando nadie te mira?», fila 569 de 08/01; ADELANTE de 08.25, 15:1x): en F.9, el punto 14 de «Lo extenso» (los pasajes de «todo se ve y queda escrito», tradición por tradición, con la fecha del Ganying Pian según Legge), una frase en «La idea», otra en «Cómo se leyó», las fuentes nuevas en {completo} y su remisión en la línea de fuente (borrador construido por programa desde el índice verificado el_registro_de_todo).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F.9 «Las reglas del juego de la vida, tradición por tradición», detrás de F.8 (cómo se leyó, lo que cada fuente dice de otro modo y, en «Lo extenso», los pasajes de 3.7 tradición por tradición, los del cribado y la cuenta del aviso y de quién ejecuta); su línea en F.0 (la de F.8 acaba ahora en punto y coma); un punto en «En pocas palabras» y otro en «Para recordar» (borrador B19, construido por programa desde los índices verificados). Y una corrección en el «Límite honesto», en «Lo que no se leyó no entra»: el Popol Vuh no se leyó para los principios del Arca, pero sí después (2.3 y F.9). Ninguna otra palabra cambia. Cambio del 9-oct-2026 (cierre de los avisos de las patas del Arca, tras el informe del agente de fuentes; Kiko: «sigue con el agente y cierra lo pendiente»): en F.1 (P5), en la lista de textos de la P4, en F.4 (Ptahhotep), en F.6 y en F.7 (Gran Ley de la Paz) se ajustan los avisos a lo que sostienen las fuentes leídas.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F.1, P2 y P5, y la lista de textos de la P4, llevan su aviso (una sola historia; Código de la Alianza; libro 20 de las Analectas); en F.4, el aviso de Ptahhotep; en F.6 y F.7, el aviso de la fecha de la Gran Ley de la Paz.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orden de las cuatro leyes (la costumbre por encima de la ley escrita) remitía a 1.2 (La ley de Dios) y está en 1.1. Cambio del 8-oct-2026 (fase de reparación, auditoría con todos los trozos de cada original): el original del hadiz de Muslim 1847 («corazón de demonios») no era literal; ahora lleva la frase tal cual de la traducción de Siddiqui, «men who will have the hearts of devils in the bodies of human beings». Cambio del 8-oct-2026 (fase de reparación; Kiko: «mantener el criterio de los hadices como segunda mano, y especifica el porqué»): escrito el motivo por el que los hadices van como fuente secundaria. Cambio del 8-oct-2026 (fase de reparación, traducciones sin original): puesto el original hebreo de Horayot 10b junto a la cita (leído en Sefaria). Cambio del 8-oct-2026 (fase de reparación, auditoría de las citas contra los originales): (1) Mencio 1B8, el texto de Legge dice «Chau» y no «Zhou» (se pone el literal); (2) Sahih Muslim 1847, leído en la traducción de Siddiqui (hadith-api, libro 33, hadiz 82): el original dice «even if your back is flogged and your wealth is snatched, you should listen and obey», y la cita ya no va reordenada. ESTADO: APROBADO por Kiko el 7-oct-2026 («si a las dos preguntas»: el anexo y el cambio de las notas del capítulo 3 que daban por pendientes lo que está aquí); sus marcas, en 04 CAPITULOS/marcas/marcas del anexo F.txt. Paso 3. Sin agentes ni descargas. Es el segundo de los anexos. Sale del archivo del Arca (06 EDICION DE LECTURA/01 GLOSARIO UNICO/EL ARCA - REFUERZO DE CADA LEY POR TRADICIONES (vivo).md, verificado por Claude el 5-oct: cada texto literal, con su lugar y su nivel; el capítulo 3 se aprobó con él y no se ha vuelto a revisar), de la pieza 07.00 (archivo congelado: 1.1 y 1.2, el pan propio; 2.1 a 10.2, los órdenes de costumbre; 18.5 y 18.6, errar el blanco) y de 01.00-13.4 (las songlines).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F no tiene ninguna en 16 CIFRAS POR MIRAR. Cada número, en su fila o leído hoy: 930, 1800 y 1845 (Gjerset, pp. 33, 346 y 377); 1861 (Kimball); «ochenta leyes» (Ixtlilxóchitl, p. 187); doce jueces (Zorita, p. 111); 40.000 años (ALRC 31, § 22); unas 250 lenguas y más de 500 dialectos (Oficina de Estadística de Australia, 1999); 2024 (UNESCO, RL 02087); 2022 (Ellis v R); 2001 (NZLC, SP9); 1993 y la Ley 34 de 1995 (gov.za); 1896 (Boas); 2007 (Nunavut); 2017 (Oosten); hacia 2600 a. C. (Biggs, p. 26); hacia 2000 a. C. (Žába, p. 1); 810-870 (Biblioteca del Congreso de Estados Unidos); unos tres mil quinientos años (la suma, 07.00-1.1, corregida el 5-oct); el resto, del archivo del Arca. Leído hoy en su original (en local; libreta 75, 7 bis n.º 11): - 10 FUENTES LEIDAS/g/otros (bajado el 5-oct para el informe g/INFORME_PAN_Y_OTROS.md, grupos 1 a 3): Instrucciones de Shuruppak, ETCSL c.5.6.1, líneas 28-31 (sumerio y traducción); R. D. Biggs, Inscriptions from Tell Abū Ṣalābīkh, 1974, p. 26 (la fecha, «no more than a suggestion»); Z. Žába, Les Maximes de Ptahhotep, 1956, p. 1 y vv. 300 y 317; B. G. Gunn, The Instruction of Ptah-hotep, 1906, máxima 20; Musonio Rufo, Disertación XI (Hense, 1905, pp. 60 y 63); registro de autoridad de al-Bujari (Biblioteca del Congreso, 810-870); Monier-Williams, 1899, p. 51 (apa-rādh y aparādha); Norris y Harney, 2014 (resumen); Norris, 2016, p. 17; Higgins, 2021, pp. 724-725. - 10 FUENTES LEIDAS/g/costumbre: Parker, The Constitution of the Five Nations, 1916, art. 42 («as a birthright»). - 10 FUENTES LEIDAS/ant: Hesíodo, Trabajos y días 240 (Evelyn-White); los traductores ingleses de Perseus y Gutenberg (Rackham para la Política, Bury para las Leyes, Kenyon para la Constitución de los atenienses). - Del registro (paso 2 bis, con su pasaje) y del informe de procedencia de los órdenes de costumbre (g/INFORME_COSTUMBRE.md, 5-oct: 43 datos A, con la cita y su página): 07.00-2.1 a 9.1. Hallado al escribir (sin errata para el 07): - Shuruppak, Ptahhotep (máximas 19 y 20) y Musonio Rufo no estaban sin fuente: los leyó el informe del 5-oct (g/INFORME_PAN_Y_OTROS.md, grupo 1), la pieza 07.00-1.1 ya se corrigió con ellos, y hoy se han leído otra vez en local, letra a letra. El capítulo 3 (3.1) y el aviso los daban por pendientes. Entran en F.4: lo verificado que se omitió se repone (Kiko, 7-oct). - 07.00-4.1, «as a birthright»: el paso 2 bis lo dejó en flecos («sin localizar en lo descargado»); está en Parker, art. 42: «and in them is it vested as a birthright». La búsqueda del paso 2 bis solo miraba en la fuente nombrada del párrafo, y esa fila no tenía ninguna; la copia normalizada de Parker sí lo tiene. Fleco resuelto. - 07.00-9.1: el Tribunal Supremo de Nueva Zelanda declaró por unanimidad que el tikanga ha sido y seguirá siendo reconocido en su common law (§ 19); lo que aceptó la mayoría es que fue el primer derecho del país (§ 22). Va así. - 07.00-8.1: «Tenía un alto tribunal de justicia» va como lo dice la fuente: «it possessed both legislative and judicial powers» (Gjerset, p. 34). No entra: - Del archivo del Arca, lo que da como «No comprobado por Claude» y su «Pendiente»: el Popol Vuh, Grinnell sobre los cheyenes, la Constitución de Hawái (la ley del remo astillado), la Fetha Nagast, el estudio del xeer de 2023, Cicerón, De officiis II, 78 y 84, y Platón, Leyes V (contra la cancelación de deudas, según el agente), la Udyoga Parva 5.34, la Sabha Parva 2.5, la Brihadaranyaka 1.4.14, el edicto en roca 6 de Ashoka y los Angs 1032 y 145. Y lo que el Arca no encontró: el edicto de Ammisaduqa y la frase de Urukagina sobre «el recaudador de impuestos». - 07.00-8.1: que el Althing sea «uno de los parlamentos más antiguos del mundo», sin fuente leída (la web del Althingi devolvió 403). - 07.00-5.1: la remisión a la figura «Geis y Brehon Law» de la Biblioteca (pieza 04.00), que la edición no tiene. - 01.00-13.4: la valoración «un pilar prometedor, pero menos cerrado que Mencio o Heráclito», que es una comparación del autor, no un dato. - 07.00-18.7 (el giri japonés): quitado de la pieza el 5-oct al leerlo en los diccionarios (giri nombra el deber, no la falta; informe g, 2.3); va al límite honesto, como la fila budista que se quitó con él. Lo que no se repite (se nombra, con su remisión): lo que ya está en 3.1 (el pan propio, cinco textos), 3.2 (principio a principio), 3.3 (la usura), 3.4 (quién escribe la pata coja, con sus frutos), 3.6 (el hilo de servir), 5.2 (Lc 11:46), 6.2 (Roboam) y 10.1 (Corán 4:59). Niveles: los textos chinos de Wikisource, A (texto original leído), como en el capítulo 3 (el archivo del Arca proponía unificarlos así); los hadices, B, como en el archivo y en el capítulo 3. Conceptos que usa, ya anclados: el Arca, los nueve principios y la pata coja (3.0 a 3.2); la convergencia y las patas independientes (1.4 y 3.1); quién escribe la pata coja (3.4); errar el blanco (3.2); el orden de las leyes (1.2). Nuevo aquí: los órdenes de costumbre y las piezas de refuerzo, explicados al usarlos (F.7).</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[archivo del Arca, «Método» y «Los principios», verificado por Claude el 5-oct-2026; 3.2]</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r>
        <w:t>Fuente: la Reina-Valera Antigua (biblegateway). Nivel A.</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t xml:space="preserve"> (Dt 17:17-20)</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t xml:space="preserve"> (Ez 34:2-4)</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t xml:space="preserve"> (Dt 5:15)</w:t>
      </w:r>
      <w:r>
        <w:t>.</w:t>
      </w:r>
    </w:p>
    <w:p>
      <w:pPr>
        <w:pStyle w:val="ListBullet"/>
      </w:pPr>
      <w:r>
        <w:rPr>
          <w:b/>
        </w:rPr>
        <w:t>P4.</w:t>
      </w:r>
      <w:r>
        <w:t xml:space="preserve"> «No tendrás en tu bolsa pesa grande y pesa chica. No tendrás en tu casa epha grande y epha pequeño. Pesas cumplidas y justas tendrás»</w:t>
      </w:r>
      <w:r>
        <w:t xml:space="preserve"> (Dt 25:13-15)</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t xml:space="preserve"> (Lc 19:8)</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r>
        <w:t>[archivo del Arca, bloque de la Biblia (Reina-Valera Antigua, biblegateway), nivel A]</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r>
        <w:t>Fuentes: el Corán, en la traducción de Julio Cortés (tanzil.net; las 35 aleyas, letra a letra); la Mishná y el Talmud, en hebreo y arameo (Sefaria; los 21 pasajes coinciden); el Avesta, en avesta.org, con las traducciones de Bartholomae, Mills y Darmesteter. Nivel A. Los hadices se leyeron en una copia de datos de las colecciones (fawazahmed0/hadith-api), con las traducciones inglesas de Muhsin Khan (al-Bujari) y Siddiqui (Muslim): son fuente secundaria hasta cotejarlos con una edición impresa, y así se marcan.</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t xml:space="preserve"> [original: «huxshathrâ xshêñtãm mâ-nê dushe-xshathrâ xshêñtâ»; en la traducción de Bartholomae, «Let good rulers rule us, not evil rulers»]</w:t>
      </w:r>
      <w:r>
        <w:t xml:space="preserve"> (Avesta, Yasna 48.5)</w:t>
      </w:r>
      <w:r>
        <w:t>. Y la plegaria Ahuna Vairya: «el Reino es para Ahura, que dará al pobre quien lo sustente»</w:t>
      </w:r>
      <w:r>
        <w:t xml:space="preserve"> [original: «the Kingdom (is) for Ahura which to the poor shall offer a nurturer», en la traducción de Mills]</w:t>
      </w:r>
      <w:r>
        <w:t xml:space="preserve"> (Avesta, Ahuna Vairya)</w:t>
      </w:r>
      <w:r>
        <w:t>.</w:t>
      </w:r>
    </w:p>
    <w:p>
      <w:pPr>
        <w:pStyle w:val="ListBullet2"/>
      </w:pPr>
      <w:r>
        <w:rPr>
          <w:b/>
        </w:rPr>
        <w:t>El islam:</w:t>
      </w:r>
      <w:r>
        <w:t xml:space="preserve"> «¡No obedezcáis las órdenes de los inmoderados, que corrompen en la tierra y no la reforman!»</w:t>
      </w:r>
      <w:r>
        <w:t xml:space="preserve"> (Corán 26:151-152, traducción de Julio Cortés)</w:t>
      </w:r>
      <w:r>
        <w:t>. Y: «Mi alianza no incluye a los impíos»</w:t>
      </w:r>
      <w:r>
        <w:t xml:space="preserve"> (Corán 2:124, traducción de Julio Cortés)</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t xml:space="preserve"> [original: «Any man whom Allah has given the authority of ruling some people and he does not look after them in an honest manner, will never feel even the smell of Paradise», en la traducción de Muhsin Khan]</w:t>
      </w:r>
      <w:r>
        <w:t xml:space="preserve"> (Sahih al-Bujari 7150; fuente secundaria)</w:t>
      </w:r>
      <w:r>
        <w:t>.</w:t>
      </w:r>
    </w:p>
    <w:p>
      <w:pPr>
        <w:pStyle w:val="ListBullet2"/>
      </w:pPr>
      <w:r>
        <w:t>«¿Creéis que os doy autoridad? Servidumbre os doy»</w:t>
      </w:r>
      <w:r>
        <w:t xml:space="preserve"> [original: «עַבְדוּת אֲנִי נוֹתֵן לָכֶם»]</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t xml:space="preserve"> [original: «אֵינוֹ רַשַּׁאי לְכוֹפָן»]</w:t>
      </w:r>
      <w:r>
        <w:t xml:space="preserve"> (Mishná, Bava Metsiá 7:1)</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t xml:space="preserve"> (Corán 28:73, traducción de Julio Cortés)</w:t>
      </w:r>
      <w:r>
        <w:t>; y ha «hecho de vuestro sueño descanso […] del día medio de subsistencia»</w:t>
      </w:r>
      <w:r>
        <w:t xml:space="preserve"> (Corán 78:9-11, traducción de Julio Cortés)</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t xml:space="preserve"> (Corán 7:85, traducción de Julio Cortés)</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t xml:space="preserve"> (Corán 2:283, traducción de Julio Cortés)</w:t>
      </w:r>
      <w:r>
        <w:t xml:space="preserve">. Corán 4:58 y 8:27, en </w:t>
      </w:r>
      <w:r>
        <w:t>3.2</w:t>
      </w:r>
      <w:r>
        <w:t>.</w:t>
      </w:r>
    </w:p>
    <w:p>
      <w:pPr>
        <w:pStyle w:val="ListBullet2"/>
      </w:pPr>
      <w:r>
        <w:rPr>
          <w:b/>
        </w:rPr>
        <w:t>Persia:</w:t>
      </w:r>
      <w:r>
        <w:t xml:space="preserve"> «no rompas el contrato, ni el que hiciste con un infiel ni el que hiciste con uno de tu fe»</w:t>
      </w:r>
      <w:r>
        <w:t xml:space="preserve"> [original: «Break not the contract […] neither the one that thou hadst entered into with one of the unfaithful, nor the one […] with one of the faithful», en la traducción de Darmesteter]</w:t>
      </w:r>
      <w:r>
        <w:t xml:space="preserve"> (Avesta, Mihr Yasht 10.2)</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[original: «אֲפִלּוּ לְמָדַי»]</w:t>
      </w:r>
      <w:r>
        <w:t xml:space="preserve"> y, si la víctima murió, a sus herederos</w:t>
      </w:r>
      <w:r>
        <w:t xml:space="preserve"> (Mishná, Bava Kamma 9:5)</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t xml:space="preserve"> (Corán 53:39, traducción de Julio Cortés)</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t xml:space="preserve"> (Corán 5:42 y 5:63, traducción de Julio Cortés)</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t xml:space="preserve"> (Corán 2:185, traducción de Julio Cortés)</w:t>
      </w:r>
      <w:r>
        <w:t>; el Profeta «les libera de sus cargas y de las cadenas que sobre ellos pesaban»</w:t>
      </w:r>
      <w:r>
        <w:t xml:space="preserve"> (Corán 7:157, traducción de Julio Cortés)</w:t>
      </w:r>
      <w:r>
        <w:t>; Dios «no os ha impuesto ninguna carga en la religión»</w:t>
      </w:r>
      <w:r>
        <w:t xml:space="preserve"> (Corán 22:78, traducción de Julio Cortés)</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t xml:space="preserve"> [original: «men who will have the hearts of devils in the bodies of human beings»; «even if your back is flogged and your wealth is snatched, you should listen and obey», en la traducción de Siddiqui]</w:t>
      </w:r>
      <w:r>
        <w:t xml:space="preserve"> (Sahih Muslim 1847; fuente secundaria)</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t xml:space="preserve"> [original: «דִּינָא דְמַלְכוּתָא דִּינָא»]</w:t>
      </w:r>
      <w:r>
        <w:t xml:space="preserve"> (Talmud, Bava Kamma 113a)</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r>
        <w:t>[archivo del Arca, bloque del islam, Persia y la tradición rabínica, verificado por Claude el 5-oct: el Corán, la Mishná, el Talmud y el Avesta, nivel A; los hadices, nivel B (Bujari 7150 y Muslim 1847, comprobados por Claude en la copia de datos)]</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r>
        <w:t>Fuentes: el texto chino original de Wikisource, cita por cita (35 coinciden letra a letra; la 36.ª, el Daodejing 79, está con el comentario de Wang Bi intercalado); las traducciones inglesas de James Legge y, para Zhuangzi, la de Giles. No se usó ctext.org, cuya página prohíbe el acceso automatizado. Nivel A.</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t xml:space="preserve"> [original: «聞誅一夫紂矣，未聞弒君也»; Legge: «I have heard of the cutting off of the fellow Chau, but I have not heard of the putting a sovereign to death»]</w:t>
      </w:r>
      <w:r>
        <w:t xml:space="preserve"> (Mencio 1B8)</w:t>
      </w:r>
      <w:r>
        <w:t>.</w:t>
      </w:r>
    </w:p>
    <w:p>
      <w:pPr>
        <w:pStyle w:val="ListBullet2"/>
      </w:pPr>
      <w:r>
        <w:t>El gobernante es la barca y el pueblo, el agua: «el agua la sostiene y el agua la vuelca»</w:t>
      </w:r>
      <w:r>
        <w:t xml:space="preserve"> [original: «水則載舟，水則覆舟»]</w:t>
      </w:r>
      <w:r>
        <w:t xml:space="preserve"> (Xunzi, 王制)</w:t>
      </w:r>
      <w:r>
        <w:t>.</w:t>
      </w:r>
    </w:p>
    <w:p>
      <w:pPr>
        <w:pStyle w:val="ListBullet2"/>
      </w:pPr>
      <w:r>
        <w:t>«El Cielo ve como ve mi pueblo; el Cielo oye como oye mi pueblo»</w:t>
      </w:r>
      <w:r>
        <w:t xml:space="preserve"> [original: «天視自我民視，天聽自我民聽»; Legge: «Heaven sees according as my people see; Heaven hears according as my people hear»]</w:t>
      </w:r>
      <w:r>
        <w:t xml:space="preserve"> (Mencio 5A5)</w:t>
      </w:r>
      <w:r>
        <w:t>.</w:t>
      </w:r>
    </w:p>
    <w:p>
      <w:pPr>
        <w:pStyle w:val="ListBullet2"/>
      </w:pPr>
      <w:r>
        <w:t>Los jefes no se pusieron para engrosar sus rangos y salarios, sino «para procurar el beneficio y quitar el daño a todo el pueblo»</w:t>
      </w:r>
      <w:r>
        <w:t xml:space="preserve"> [original: «將以爲萬民興利除害»]</w:t>
      </w:r>
      <w:r>
        <w:t xml:space="preserve"> (Mozi, 尚同中)</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xml:space="preserve"> [original: «其實皆什一也»]</w:t>
      </w:r>
      <w:r>
        <w:t>, y el señor sabio «toma del pueblo con límite fijo»</w:t>
      </w:r>
      <w:r>
        <w:t xml:space="preserve"> [original: «取於民有制»]</w:t>
      </w:r>
      <w:r>
        <w:t xml:space="preserve"> (Mencio 3A3)</w:t>
      </w:r>
      <w:r>
        <w:t>.</w:t>
      </w:r>
    </w:p>
    <w:p>
      <w:pPr>
        <w:pStyle w:val="ListBullet2"/>
      </w:pPr>
      <w:r>
        <w:t>Cargar más que el camino de los reyes sabios Yao y Shun «es un gran Jie o un pequeño Jie»</w:t>
      </w:r>
      <w:r>
        <w:t xml:space="preserve"> [original: «大桀、小桀也»]</w:t>
      </w:r>
      <w:r>
        <w:t>, es decir, un tirano</w:t>
      </w:r>
      <w:r>
        <w:t xml:space="preserve"> (Mencio 6B10)</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t xml:space="preserve"> [original: «如知其非義，斯速已矣，何待來年»]</w:t>
      </w:r>
      <w:r>
        <w:t xml:space="preserve"> (Mencio 3B8)</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xml:space="preserve"> [original: «歛也無時，暴也»]</w:t>
      </w:r>
      <w:r>
        <w:t>, palabras que Xunzi atribuye a Confucio</w:t>
      </w:r>
      <w:r>
        <w:t xml:space="preserve"> (Xunzi, 宥坐)</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t xml:space="preserve"> [original: «以無度取於民»]</w:t>
      </w:r>
      <w:r>
        <w:t xml:space="preserve"> (Xunzi, 君道)</w:t>
      </w:r>
      <w:r>
        <w:t>.</w:t>
      </w:r>
    </w:p>
    <w:p>
      <w:pPr>
        <w:pStyle w:val="ListBullet2"/>
      </w:pPr>
      <w:r>
        <w:t>En el equinoccio «se unifican las medidas y se igualan las balanzas»</w:t>
      </w:r>
      <w:r>
        <w:t xml:space="preserve"> [original: «同度量，平權衡»]</w:t>
      </w:r>
      <w:r>
        <w:t xml:space="preserve"> (Libro de los Ritos, 月令)</w:t>
      </w:r>
      <w:r>
        <w:t>.</w:t>
      </w:r>
    </w:p>
    <w:p>
      <w:pPr>
        <w:pStyle w:val="ListBullet2"/>
      </w:pPr>
      <w:r>
        <w:t>«Los tiranos y los funcionarios corruptos siempre descuidan los linderos»</w:t>
      </w:r>
      <w:r>
        <w:t xml:space="preserve"> [original: «暴君污吏必慢其經界»]</w:t>
      </w:r>
      <w:r>
        <w:t xml:space="preserve"> (Mencio 3A3)</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xml:space="preserve"> [original: «則反諸其人乎»]</w:t>
      </w:r>
      <w:r>
        <w:t>, o se quedará mirando cómo mueren</w:t>
      </w:r>
      <w:r>
        <w:t xml:space="preserve"> (Mencio 2B4)</w:t>
      </w:r>
      <w:r>
        <w:t>.</w:t>
      </w:r>
    </w:p>
    <w:p>
      <w:pPr>
        <w:pStyle w:val="ListBullet2"/>
      </w:pPr>
      <w:r>
        <w:t>Es noble aquel a quien «se le puede confiar un huérfano»</w:t>
      </w:r>
      <w:r>
        <w:t xml:space="preserve"> [original: «可以託六尺之孤»]</w:t>
      </w:r>
      <w:r>
        <w:t xml:space="preserve"> (Analectas 8.6)</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xml:space="preserve"> [original: «因燒其券，民稱萬歲»]</w:t>
      </w:r>
      <w:r>
        <w:t>, y dijo a su señor que así le había comprado la justicia</w:t>
      </w:r>
      <w:r>
        <w:t xml:space="preserve"> (Estrategias de los Reinos Combatientes, Feng Xuan)</w:t>
      </w:r>
      <w:r>
        <w:t>.</w:t>
      </w:r>
    </w:p>
    <w:p>
      <w:pPr>
        <w:pStyle w:val="ListBullet2"/>
      </w:pPr>
      <w:r>
        <w:t>«El sabio guarda la mitad izquierda del contrato y no reclama a los demás»</w:t>
      </w:r>
      <w:r>
        <w:t xml:space="preserve"> [original: «是以聖人執左契，而不責於人»]</w:t>
      </w:r>
      <w:r>
        <w:t xml:space="preserve"> (Daodejing 79)</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t xml:space="preserve"> [original: «罪人不孥»; Legge: «the wives and children of criminals were not involved in their guilt»]</w:t>
      </w:r>
      <w:r>
        <w:t xml:space="preserve"> (Mencio 1B5)</w:t>
      </w:r>
      <w:r>
        <w:t>.</w:t>
      </w:r>
    </w:p>
    <w:p>
      <w:pPr>
        <w:pStyle w:val="ListBullet2"/>
      </w:pPr>
      <w:r>
        <w:t>«El castigo no excedía el delito»</w:t>
      </w:r>
      <w:r>
        <w:t xml:space="preserve"> [original: «刑不過罪»]</w:t>
      </w:r>
      <w:r>
        <w:t>; en los tiempos de desorden, «si uno delinque, se extermina a los tres clanes»</w:t>
      </w:r>
      <w:r>
        <w:t xml:space="preserve"> [original: «一人有罪而三族皆夷»]</w:t>
      </w:r>
      <w:r>
        <w:t xml:space="preserve"> (Xunzi, 君子)</w:t>
      </w:r>
      <w:r>
        <w:t>.</w:t>
      </w:r>
    </w:p>
    <w:p>
      <w:pPr>
        <w:pStyle w:val="ListBullet2"/>
      </w:pPr>
      <w:r>
        <w:t>«Si todos lo odian, hay que examinarlo»</w:t>
      </w:r>
      <w:r>
        <w:t xml:space="preserve"> [original: «眾惡之，必察焉»]</w:t>
      </w:r>
      <w:r>
        <w:t xml:space="preserve"> (Analectas 15.27)</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xml:space="preserve"> [original: «惟貨»]</w:t>
      </w:r>
      <w:r>
        <w:t>, y quien incurre en ellos comete un delito igual al del reo; y «lo que se gana con los pleitos no es un tesoro»: acumula culpa</w:t>
      </w:r>
      <w:r>
        <w:t xml:space="preserve"> [original: «獄貨非寶»; Legge: «Gain (so) got by the decision of cases is no precious acquisition; it is an accumulation of guilt»]</w:t>
      </w:r>
      <w:r>
        <w:t xml:space="preserve"> (Libro de los Documentos, 呂刑)</w:t>
      </w:r>
      <w:r>
        <w:t>.</w:t>
      </w:r>
    </w:p>
    <w:p>
      <w:pPr>
        <w:pStyle w:val="ListBullet2"/>
      </w:pPr>
      <w:r>
        <w:t>Esperar a que el pueblo sin medios caiga en delito para castigarlo «es tenderle una red al pueblo»</w:t>
      </w:r>
      <w:r>
        <w:t xml:space="preserve"> [original: «是罔民也»]</w:t>
      </w:r>
      <w:r>
        <w:t xml:space="preserve"> (Mencio 3A3)</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t xml:space="preserve"> [original: «賄賂並行»]</w:t>
      </w:r>
      <w:r>
        <w:t xml:space="preserve"> (Comentario de Zuo, duque Zhao, año 6)</w:t>
      </w:r>
      <w:r>
        <w:t xml:space="preserve">; el mismo pasaje, «cuando un Estado va a perecer, multiplica sus reglamentos», está en </w:t>
      </w:r>
      <w:r>
        <w:t>3.2</w:t>
      </w:r>
      <w:r>
        <w:t>.</w:t>
      </w:r>
    </w:p>
    <w:p>
      <w:pPr>
        <w:pStyle w:val="ListBullet2"/>
      </w:pPr>
      <w:r>
        <w:t>«Cuantos más castigos, menos se vence el mal»</w:t>
      </w:r>
      <w:r>
        <w:t xml:space="preserve"> [original: «刑彌繁而邪不勝»]</w:t>
      </w:r>
      <w:r>
        <w:t xml:space="preserve"> (Xunzi, 宥坐)</w:t>
      </w:r>
      <w:r>
        <w:t>.</w:t>
      </w:r>
    </w:p>
    <w:p>
      <w:pPr>
        <w:pStyle w:val="ListBullet2"/>
      </w:pPr>
      <w:r>
        <w:t>Los gobernantes de hoy cargan pesos excesivos y castigan al que no puede; «sin bienes, [el pueblo] roba»: ¿a quién hay que culpar?</w:t>
      </w:r>
      <w:r>
        <w:t xml:space="preserve"> [original: «財不足則盜»; Giles: «If their means are insufficient, they will steal. And for such robbery and theft, who is really responsible?»]</w:t>
      </w:r>
      <w:r>
        <w:t xml:space="preserve"> (Zhuangzi, 則陽)</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xml:space="preserve"> [original: «相牧司連坐»]</w:t>
      </w:r>
      <w:r>
        <w:t>; a los que opinaban sobre las leyes los desterró, y después «nadie se atrevió a opinar sobre las órdenes»</w:t>
      </w:r>
      <w:r>
        <w:t xml:space="preserve"> [original: «民莫敢議令»]</w:t>
      </w:r>
      <w:r>
        <w:t xml:space="preserve"> (Shiji 68)</w:t>
      </w:r>
      <w:r>
        <w:t>.</w:t>
      </w:r>
    </w:p>
    <w:p>
      <w:pPr>
        <w:pStyle w:val="ListBullet2"/>
      </w:pPr>
      <w:r>
        <w:t>Han Feizi defiende «agravar las penas para prohibir el mal»</w:t>
      </w:r>
      <w:r>
        <w:t xml:space="preserve"> [original: «脩刑重罰以爲禁邪也»]</w:t>
      </w:r>
      <w:r>
        <w:t xml:space="preserve"> y la recaudación «para llenar los graneros»</w:t>
      </w:r>
      <w:r>
        <w:t xml:space="preserve"> [original: «徵賦錢粟以實倉庫»]</w:t>
      </w:r>
      <w:r>
        <w:t>, y dice que la inteligencia del pueblo no sirve, porque es «como la mente de un niño de pecho»</w:t>
      </w:r>
      <w:r>
        <w:t xml:space="preserve"> [original: «猶嬰兒之心也»]</w:t>
      </w:r>
      <w:r>
        <w:t xml:space="preserve"> (Han Feizi, 顯學)</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r>
        <w:t>[archivo del Arca, bloque de China, verificado por Claude el 5-oct: texto chino de Wikisource, nivel A]</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r>
        <w:t>Fuentes: Hammurabi, en la traducción de L. W. King (Avalon Project); Urukagina y Ur-Namma, en el CDLI (sumerio y traducción línea a línea); Hesíodo (Evelyn-White), Ptahhotep y la Constitución de los atenienses (Kenyon), en Gutenberg; el Campesino Elocuente y la Enseñanza para Merikare, en Erman y Blackman (1927); Cicerón, Séneca y Tácito, en latín (The Latin Library); Platón (Bury), Aristóteles (Rackham) e Isócrates, en Perseus. Se comprobaron 44 frases exactas, y todas coinciden. Nivel A.</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t xml:space="preserve"> [original: «That the strong might not injure the weak, in order to protect the widows and orphans», en la traducción de King]</w:t>
      </w:r>
      <w:r>
        <w:t xml:space="preserve"> (Código de Hammurabi, epílogo)</w:t>
      </w:r>
      <w:r>
        <w:t>.</w:t>
      </w:r>
    </w:p>
    <w:p>
      <w:pPr>
        <w:pStyle w:val="ListBullet2"/>
      </w:pPr>
      <w:r>
        <w:t>«El huérfano no será sometido al rico»</w:t>
      </w:r>
      <w:r>
        <w:t xml:space="preserve"> [original: «The orphan to the rich man should not be made subordinate», en la traducción del CDLI]</w:t>
      </w:r>
      <w:r>
        <w:t xml:space="preserve"> (Código de Ur-Namma, líneas 162-163)</w:t>
      </w:r>
      <w:r>
        <w:t>; y Urukagina dice lo mismo de la viuda y el huérfano frente al poderoso.</w:t>
      </w:r>
    </w:p>
    <w:p>
      <w:pPr>
        <w:pStyle w:val="ListBullet2"/>
      </w:pPr>
      <w:r>
        <w:t>Dios hizo para los hombres gobernantes, «un sostén para sostener la espalda del débil»</w:t>
      </w:r>
      <w:r>
        <w:t xml:space="preserve"> [original: «a supporter to support the back of the weak», en la traducción de Erman y Blackman]</w:t>
      </w:r>
      <w:r>
        <w:t xml:space="preserve"> (Enseñanza para Merikare)</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t xml:space="preserve"> [original: «in five years men had contributed the whole of their substance», en la traducción de Rackham]</w:t>
      </w:r>
      <w:r>
        <w:t xml:space="preserve"> (Aristóteles, Política V, 1313b)</w:t>
      </w:r>
      <w:r>
        <w:t>.</w:t>
      </w:r>
    </w:p>
    <w:p>
      <w:pPr>
        <w:pStyle w:val="ListBullet2"/>
      </w:pPr>
      <w:r>
        <w:t>Hay que esforzarse para que no haya que imponer el tributo «por la escasez del erario»</w:t>
      </w:r>
      <w:r>
        <w:t xml:space="preserve"> [original: «propter aerarii tenuitatem»]</w:t>
      </w:r>
      <w:r>
        <w:t xml:space="preserve"> (Cicerón, De officiis II, 74)</w:t>
      </w:r>
      <w:r>
        <w:t>.</w:t>
      </w:r>
    </w:p>
    <w:p>
      <w:pPr>
        <w:pStyle w:val="ListBullet2"/>
      </w:pPr>
      <w:r>
        <w:t>Pisístrato «cargó al pueblo lo menos posible»</w:t>
      </w:r>
      <w:r>
        <w:t xml:space="preserve"> [original: «burdened the people as little as possible», en la traducción de Kenyon]</w:t>
      </w:r>
      <w:r>
        <w:t xml:space="preserve"> (Constitución de los atenienses 16)</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t xml:space="preserve"> [original: «a balance that tilteth»; «Cheating maketh justice too small; one must give good measure», en la traducción de Erman y Blackman]</w:t>
      </w:r>
      <w:r>
        <w:t xml:space="preserve"> (El Campesino Elocuente)</w:t>
      </w:r>
      <w:r>
        <w:t>.</w:t>
      </w:r>
    </w:p>
    <w:p>
      <w:pPr>
        <w:pStyle w:val="ListBullet2"/>
      </w:pPr>
      <w:r>
        <w:t>En Atenas, los inspectores de pesos y medidas, elegidos por sorteo, «vigilan que los vendedores usen pesos y medidas justos»</w:t>
      </w:r>
      <w:r>
        <w:t xml:space="preserve"> [original: «see that sellers use fair weights and measures», en la traducción de Kenyon]</w:t>
      </w:r>
      <w:r>
        <w:t xml:space="preserve"> (Constitución de los atenienses 51)</w:t>
      </w:r>
      <w:r>
        <w:t>.</w:t>
      </w:r>
    </w:p>
    <w:p>
      <w:pPr>
        <w:pStyle w:val="ListBullet2"/>
      </w:pPr>
      <w:r>
        <w:t>«Toma medida justa de tu vecino y devuélvele con justicia la misma medida»</w:t>
      </w:r>
      <w:r>
        <w:t xml:space="preserve"> [original: «Take fair measure from your neighbour and pay him back fairly with the same measure», en la traducción de Evelyn-White]</w:t>
      </w:r>
      <w:r>
        <w:t xml:space="preserve"> (Hesíodo, Trabajos y días 349-350)</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t xml:space="preserve"> (Constitución de los atenienses 6)</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t xml:space="preserve"> [original: «ira festinat»]</w:t>
      </w:r>
      <w:r>
        <w:t xml:space="preserve"> (Séneca, De ira I, 18)</w:t>
      </w:r>
      <w:r>
        <w:t>.</w:t>
      </w:r>
    </w:p>
    <w:p>
      <w:pPr>
        <w:pStyle w:val="ListBullet2"/>
      </w:pPr>
      <w:r>
        <w:t>«Toma al hombre por sus actos»</w:t>
      </w:r>
      <w:r>
        <w:t xml:space="preserve"> [original: «take to thyself a man because of his actions», en la traducción de Erman y Blackman]</w:t>
      </w:r>
      <w:r>
        <w:t xml:space="preserve"> (Enseñanza para Merikare)</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t xml:space="preserve"> [original: «βασιλῆς […] δωροφάγοι»]</w:t>
      </w:r>
      <w:r>
        <w:t xml:space="preserve"> (Trabajos y días 263-264)</w:t>
      </w:r>
      <w:r>
        <w:t xml:space="preserve">; su «enderezad vuestras sentencias», en </w:t>
      </w:r>
      <w:r>
        <w:t>3.2</w:t>
      </w:r>
      <w:r>
        <w:t>.</w:t>
      </w:r>
    </w:p>
    <w:p>
      <w:pPr>
        <w:pStyle w:val="ListBullet2"/>
      </w:pPr>
      <w:r>
        <w:t>La ley dice: «no prestes ningún servicio a cambio de regalos»</w:t>
      </w:r>
      <w:r>
        <w:t xml:space="preserve"> [original: «Perform no service for gifts», en la traducción de Bury]</w:t>
      </w:r>
      <w:r>
        <w:t xml:space="preserve"> (Platón, Leyes XII, 955d)</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t xml:space="preserve"> [original: «utque antehac flagitiis ita tunc legibus laborabatur»]</w:t>
      </w:r>
      <w:r>
        <w:t xml:space="preserve"> (Tácito, Anales III, 25)</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t xml:space="preserve"> [original: «his daughter shall be put to death», en la traducción de King]</w:t>
      </w:r>
      <w:r>
        <w:t xml:space="preserve"> (Código de Hammurabi § 210)</w:t>
      </w:r>
      <w:r>
        <w:t>; y «a menudo toda una ciudad sufre por un solo malvado»</w:t>
      </w:r>
      <w:r>
        <w:t xml:space="preserve"> [original: «Often even a whole city suffers for a bad man», en la traducción de Evelyn-White]</w:t>
      </w:r>
      <w:r>
        <w:t xml:space="preserve"> (Hesíodo, Trabajos y días 240)</w:t>
      </w:r>
      <w:r>
        <w:t xml:space="preserve">. Séneca (De ira I, 19), en </w:t>
      </w:r>
      <w:r>
        <w:t>3.2</w:t>
      </w:r>
      <w:r>
        <w:t>.</w:t>
      </w:r>
    </w:p>
    <w:p>
      <w:pPr>
        <w:pStyle w:val="ListBullet2"/>
      </w:pPr>
      <w:r>
        <w:t xml:space="preserve">Contra P5: el depósito que no se devuelve al que ha enloquecido (Cicerón), en </w:t>
      </w:r>
      <w:r>
        <w:t>3.2</w:t>
      </w:r>
      <w:r>
        <w:t>.</w:t>
      </w:r>
    </w:p>
    <w:p>
      <w:r>
        <w:t>[archivo del Arca, bloque del antiguo Oriente, Egipto, Grecia y Roma, verificado por Claude el 5-oct, nivel A; Hesíodo 240 y los traductores ingleses, leídos hoy en local (ant)]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t xml:space="preserve"> [original: «niĝ2 nam-mu-zuḫ-zuḫ»; «dumu-ĝu10 sa gaz nam-mu-u3-ak-e»; en la traducción del ETCSL, «You should not steal anything»; «My son, you should not commit robbery»]</w:t>
      </w:r>
      <w:r>
        <w:t xml:space="preserve"> (Instrucciones de Shuruppak, líneas 28-31 (The Electronic Text Corpus of Sumerian Literature [Corpus electrónico de la literatura sumeria], Universidad de Oxford, c.5.6.1))</w:t>
      </w:r>
      <w:r>
        <w:t>. Sus tablillas más antiguas son de hacia 2600 a. C., una fecha que su editor da como «no más que una sugerencia»</w:t>
      </w:r>
      <w:r>
        <w:t xml:space="preserve"> [original: «are probably to be dated somewhere around 2600 B.C.»; «it is no more than a suggestion»]</w:t>
      </w:r>
      <w:r>
        <w:t xml:space="preserve"> (R. D. Biggs, Inscriptions from Tell Abū Ṣalābīkh (Inscripciones de Tell Abu Salabikh), Chicago, 1974, p. 26)</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t xml:space="preserve"> [original: «garde-toi de l'avidité»; «ne sois cupide de rien excepté de ce qui t'appartient», en la traducción de Žába]</w:t>
      </w:r>
      <w:r>
        <w:t xml:space="preserve"> (Máximas de Ptahhotep 19 y 20, vv. 300 y 317 (Z. Žába, Les Maximes de Ptahhotep [Las máximas de Ptahhotep], Praga, 1956; la fecha, p. 1))</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t xml:space="preserve"> [original: «χρὴ πονεῖν καὶ κακοπαθεῖν τῷ σώματι μᾶλλον ἢ ἑτέρου δεῖσθαι τοῦ τρέφοντος»]</w:t>
      </w:r>
      <w:r>
        <w:t xml:space="preserve"> (Musonio Rufo, Disertación XI (O. Hense, C. Musonii Rufi reliquiae [Restos de Musonio Rufo], Leipzig, 1905, p. 60))</w:t>
      </w:r>
      <w:r>
        <w:t>, y tuvo por el medio de vida más apropiado para el filósofo el que sale del campo</w:t>
      </w:r>
      <w:r>
        <w:t xml:space="preserve"> [original: «ὁ πόρος ἐκ γεωργίας φαίνεται ὢν τῷ φιλοσόφῳ πρεπωδέστατος»]</w:t>
      </w:r>
      <w:r>
        <w:t xml:space="preserve"> (ídem, p. 63)</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t xml:space="preserve"> (Biblioteca del Congreso de Estados Unidos, registro de autoridad de al-Bujari)</w:t>
      </w:r>
      <w:r>
        <w:t>. No todos son independientes: el Talmud comenta la Biblia, Musonio heredó a los griegos y el hadiz nombra a David. Pero al menos tres lo escribieron sin haberse leído entre sí: Grecia, Israel y la India (</w:t>
      </w:r>
      <w:r>
        <w:t>3.1</w:t>
      </w:r>
      <w:r>
        <w:t>).</w:t>
      </w:r>
    </w:p>
    <w:p>
      <w:r>
        <w:t>[07.00-1.1 y 1.2; leído hoy en local (g/otros): ETCSL c.5.6.1, Biggs 1974, p. 26, Žába 1956, p. 1 y vv. 300 y 317, Gunn 1906, máxima 20, Hense 1905, pp. 60 y 63, y el registro de autoridad de la Biblioteca del Congreso; informe del 5-oct, g/INFORME_PAN_Y_OTROS.md, grupo 1]</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r>
        <w:t>Fuentes: el canon pali, en SuttaCentral (pali y traducción inglesa de Sujato; la española de Baron cuando existe); el sánscrito, en GRETIL (el Mahabharata en su edición crítica; Manu, el Arthashastra y Vasishtha, en sus ediciones); las traducciones inglesas de Ganguli (Mahabharata), Bühler (Manu y Vasishtha), Shamasastry (Arthashastra), Tatia (Tattvartha Sutra), Cowell (Jatakas), Burlingame (comentario al Dhammapada) y Dhammika (los edictos de Ashoka, leídos en esa versión inglesa y no en el prácrito); y el Guru Granth Sahib, en BaniDB, con las traducciones de Sant Singh Khalsa y Manmohan Singh. Cada cita, comprobada en el original y en la traducción. Nivel A.</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t xml:space="preserve"> [original: «dhammena pare rañjeti»]</w:t>
      </w:r>
      <w:r>
        <w:t xml:space="preserve"> (Digha Nikaya 27, traducción de Baron)</w:t>
      </w:r>
      <w:r>
        <w:t>.</w:t>
      </w:r>
    </w:p>
    <w:p>
      <w:pPr>
        <w:pStyle w:val="ListBullet2"/>
      </w:pPr>
      <w:r>
        <w:t>«El rey que no protege a sus súbditos es en verdad un ladrón»</w:t>
      </w:r>
      <w:r>
        <w:t xml:space="preserve"> [original: «na rakṣati prajāḥ samyag yaḥ sa pārthivataskaraḥ»; Ganguli: «That king who does not protect his subjects is truly a thief»]</w:t>
      </w:r>
      <w:r>
        <w:t xml:space="preserve"> (Mahabharata 12.137.96)</w:t>
      </w:r>
      <w:r>
        <w:t>.</w:t>
      </w:r>
    </w:p>
    <w:p>
      <w:pPr>
        <w:pStyle w:val="ListBullet2"/>
      </w:pPr>
      <w:r>
        <w:t>El rey que dice a su pueblo que es su protector, y no lo protege o no puede, «debería morir a manos de sus súbditos unidos»</w:t>
      </w:r>
      <w:r>
        <w:t xml:space="preserve"> [original: «That king who tells his people that he is their protector but who does not or is unable to protect them […] should be slain by his combined subjects», en la traducción de Ganguli]</w:t>
      </w:r>
      <w:r>
        <w:t xml:space="preserve"> (Mahabharata 13.60.20)</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t xml:space="preserve"> [original: «where another common man would be fined one karshapana, the king shall be fined one thousand», en la traducción de Bühler]</w:t>
      </w:r>
      <w:r>
        <w:t xml:space="preserve"> (Leyes de Manu VIII, 336)</w:t>
      </w:r>
      <w:r>
        <w:t>.</w:t>
      </w:r>
    </w:p>
    <w:p>
      <w:pPr>
        <w:pStyle w:val="ListBullet2"/>
      </w:pPr>
      <w:r>
        <w:t>Guru Nanak: «los reyes son tigres, y sus oficiales, perros»; y en la Corte del Señor, «los que traicionaron la confianza del pueblo quedarán deshonrados»</w:t>
      </w:r>
      <w:r>
        <w:t xml:space="preserve"> [original: «raaje seeh mukadham kute»; en la traducción de Sant Singh Khalsa, «The kings are tigers, and their officials are dogs»; y «those who have violated the people's trust will be disgraced»]</w:t>
      </w:r>
      <w:r>
        <w:t xml:space="preserve"> (Guru Granth Sahib, Ang 1288)</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t xml:space="preserve"> [original: «His subjects being oppressed by taxation took their wives and families and wandered in the forest like wild beasts»; «where once stood villages, there now were none»; «By night to thieves a prey are we, to publicans by day», en la traducción de Francis, en la edición de Cowell]</w:t>
      </w:r>
      <w:r>
        <w:t xml:space="preserve"> (Jataka 520)</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t xml:space="preserve"> [original: «so revenue shall be collected as often as it becomes ripe […] lest their source may be injured», en la traducción de Shamasastry]</w:t>
      </w:r>
      <w:r>
        <w:t xml:space="preserve"> (Arthashastra 5.2.70)</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t xml:space="preserve"> [original: «from the molestation of oppressive fines, free labour, and taxes», en la traducción de Shamasastry]</w:t>
      </w:r>
      <w:r>
        <w:t xml:space="preserve"> (Arthashastra 2.1)</w:t>
      </w:r>
      <w:r>
        <w:t xml:space="preserve">. </w:t>
      </w:r>
      <w:r>
        <w:rPr>
          <w:b/>
        </w:rPr>
        <w:t>Cautela:</w:t>
      </w:r>
      <w:r>
        <w:t xml:space="preserve"> el motivo que da el texto es fiscal.</w:t>
      </w:r>
    </w:p>
    <w:p>
      <w:pPr>
        <w:pStyle w:val="ListBullet2"/>
      </w:pPr>
      <w:r>
        <w:t>En el jainismo, «sobrecargar» a personas y bestias es una falta contra el voto de no violencia</w:t>
      </w:r>
      <w:r>
        <w:t xml:space="preserve"> [original: «overloading», en la traducción de Tatia]</w:t>
      </w:r>
      <w:r>
        <w:t xml:space="preserve"> (Tattvartha Sutra 7.20)</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t xml:space="preserve"> [original: «misrepresenting the weight of goods one is buying or selling», en la traducción de Tatia]</w:t>
      </w:r>
      <w:r>
        <w:t xml:space="preserve"> (Tattvartha Sutra 7.22)</w:t>
      </w:r>
      <w:r>
        <w:t>.</w:t>
      </w:r>
    </w:p>
    <w:p>
      <w:pPr>
        <w:pStyle w:val="ListBullet2"/>
      </w:pPr>
      <w:r>
        <w:t>Kabir: «no miden con la cinta completa y cobran grandes sobornos»</w:t>
      </w:r>
      <w:r>
        <w:t xml:space="preserve"> [original: «They do not measure with a full tape, and they take huge amounts in bribes», en la traducción de BaniDB]</w:t>
      </w:r>
      <w:r>
        <w:t xml:space="preserve"> (Guru Granth Sahib, Ang 793)</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t xml:space="preserve"> [original: «to the punishment for theft», en la traducción de Shamasastry]</w:t>
      </w:r>
      <w:r>
        <w:t xml:space="preserve"> (Arthashastra 3.12)</w:t>
      </w:r>
      <w:r>
        <w:t>.</w:t>
      </w:r>
    </w:p>
    <w:p>
      <w:pPr>
        <w:pStyle w:val="ListBullet2"/>
      </w:pPr>
      <w:r>
        <w:t>Quien, al reclamarle la deuda, huye diciendo «¡no te debo nada!» es un paria</w:t>
      </w:r>
      <w:r>
        <w:t xml:space="preserve"> [original: «I don't owe you anything!», en la traducción de Sujato]</w:t>
      </w:r>
      <w:r>
        <w:t xml:space="preserve"> (Sutta Nipata 1.7:8)</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t xml:space="preserve"> [original: «the king's death shall stop the interest on money (lent)», en la traducción de Bühler]</w:t>
      </w:r>
      <w:r>
        <w:t xml:space="preserve"> (Vasishtha 2.49)</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t xml:space="preserve"> [original: «by slaying a single robber, his wife, mother, father and children are all slain», en la traducción de Ganguli]</w:t>
      </w:r>
      <w:r>
        <w:t xml:space="preserve"> (Mahabharata 12.259.9-10)</w:t>
      </w:r>
      <w:r>
        <w:t>: por eso el rey debe reflexionar a fondo antes de castigar.</w:t>
      </w:r>
    </w:p>
    <w:p>
      <w:pPr>
        <w:pStyle w:val="ListBullet2"/>
      </w:pPr>
      <w:r>
        <w:t>Antes de castigar hay que averiguar el motivo, el tiempo y el lugar</w:t>
      </w:r>
      <w:r>
        <w:t xml:space="preserve"> (Leyes de Manu VIII, 126)</w:t>
      </w:r>
      <w:r>
        <w:t>; y si se castiga a un inocente, el rey ayuna tres días</w:t>
      </w:r>
      <w:r>
        <w:t xml:space="preserve"> [original: «if an innocent man is punished», en la traducción de Bühler]</w:t>
      </w:r>
      <w:r>
        <w:t xml:space="preserve"> (Vasishtha 19.42-43)</w:t>
      </w:r>
      <w:r>
        <w:t>.</w:t>
      </w:r>
    </w:p>
    <w:p>
      <w:pPr>
        <w:pStyle w:val="ListBullet2"/>
      </w:pPr>
      <w:r>
        <w:t>Ashoka: «aun cumpliendo la ley, algunos son encarcelados, maltratados e incluso muertos sin causa»</w:t>
      </w:r>
      <w:r>
        <w:t xml:space="preserve"> [original: «while being completely law-abiding, some people are imprisoned, treated harshly and even killed without cause», en la versión de Dhammika]</w:t>
      </w:r>
      <w:r>
        <w:t xml:space="preserve"> (Ashoka, edicto separado de Kalinga I)</w:t>
      </w:r>
      <w:r>
        <w:t>; y pide «igualdad en la ley y en las penas»</w:t>
      </w:r>
      <w:r>
        <w:t xml:space="preserve"> [original: «uniformity in law and uniformity in sentencing», en la versión de Dhammika]</w:t>
      </w:r>
      <w:r>
        <w:t xml:space="preserve"> (Ashoka, edicto de la columna IV)</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t xml:space="preserve"> (Leyes de Manu IX, 246)</w:t>
      </w:r>
      <w:r>
        <w:t>.</w:t>
      </w:r>
    </w:p>
    <w:p>
      <w:pPr>
        <w:pStyle w:val="ListBullet2"/>
      </w:pPr>
      <w:r>
        <w:t>«No eres justo por juzgar con precipitación»</w:t>
      </w:r>
      <w:r>
        <w:t xml:space="preserve"> [original: «You don't become just by passing hasty judgment», en la traducción de Sujato]</w:t>
      </w:r>
      <w:r>
        <w:t xml:space="preserve"> (Dhammapada 256-257)</w:t>
      </w:r>
      <w:r>
        <w:t>; según el comentario, los versos nacen al ver a unos «señores de la justicia que aceptaban sobornos»</w:t>
      </w:r>
      <w:r>
        <w:t xml:space="preserve"> [original: «lords of justice taking bribes», en la traducción de Burlingame]</w:t>
      </w:r>
      <w:r>
        <w:t xml:space="preserve"> (comentario al Dhammapada)</w:t>
      </w:r>
      <w:r>
        <w:t>.</w:t>
      </w:r>
    </w:p>
    <w:p>
      <w:pPr>
        <w:pStyle w:val="ListBullet2"/>
      </w:pPr>
      <w:r>
        <w:t>Guru Nanak: «se hacen jueces y se sientan a impartir justicia […]; aceptan sobornos y niegan el derecho»</w:t>
      </w:r>
      <w:r>
        <w:t xml:space="preserve"> [original: «Becoming judges, they sit and administer justice […] They accept bribes, and block justice», en la traducción de BaniDB]</w:t>
      </w:r>
      <w:r>
        <w:t xml:space="preserve"> (Guru Granth Sahib, Ang 951)</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t xml:space="preserve"> [original: «when sentient beings are in decline and the true teaching is disappearing there are more training rules», en la traducción de Sujato]</w:t>
      </w:r>
      <w:r>
        <w:t xml:space="preserve"> (Majjhima Nikaya 65)</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t xml:space="preserve"> [original: «don't make new decrees or abolish existing decrees», en la traducción de Sujato]</w:t>
      </w:r>
      <w:r>
        <w:t xml:space="preserve"> (Digha Nikaya 16)</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t xml:space="preserve"> [original: «only against the seditious and the wicked»; «only once and never twice», en la traducción de Shamasastry]</w:t>
      </w:r>
      <w:r>
        <w:t xml:space="preserve"> (Arthashastra 5.2)</w:t>
      </w:r>
      <w:r>
        <w:t>.</w:t>
      </w:r>
    </w:p>
    <w:p>
      <w:pPr>
        <w:pStyle w:val="ListBullet2"/>
      </w:pPr>
      <w:r>
        <w:t>Contra P7: «estas son las dieciocho clases de tortura»</w:t>
      </w:r>
      <w:r>
        <w:t xml:space="preserve"> [original: «These are the 18 kinds of torture», en la traducción de Shamasastry]</w:t>
      </w:r>
      <w:r>
        <w:t xml:space="preserve"> (Arthashastra 4.8)</w:t>
      </w:r>
      <w:r>
        <w:t>; pero el mismo capítulo pide «pruebas concluyentes»</w:t>
      </w:r>
      <w:r>
        <w:t xml:space="preserve"> [original: «conclusive evidences»]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t xml:space="preserve"> [original: «taking wealth from all except Brahmanas», en la traducción de Ganguli]</w:t>
      </w:r>
      <w:r>
        <w:t xml:space="preserve"> (Mahabharata 12.72.21)</w:t>
      </w:r>
      <w:r>
        <w:t>.</w:t>
      </w:r>
    </w:p>
    <w:p>
      <w:r>
        <w:t>[archivo del Arca, bloque de la India, verificado por Claude el 5-oct, nivel A]</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r>
        <w:t xml:space="preserve">Fuentes (archive.org; cada cita comprobada, y todas coinciden, salvo erratas del reconocimiento de texto): David Malo, </w:t>
      </w:r>
      <w:r>
        <w:rPr>
          <w:i/>
        </w:rPr>
        <w:t>Hawaiian Antiquities</w:t>
      </w:r>
      <w:r>
        <w:t xml:space="preserve"> (Antigüedades hawaianas), trad. de N. B. Emerson, Honolulu, 1903; Samuel Johnson, </w:t>
      </w:r>
      <w:r>
        <w:rPr>
          <w:i/>
        </w:rPr>
        <w:t>The History of the Yorubas</w:t>
      </w:r>
      <w:r>
        <w:t xml:space="preserve"> (Historia de los yorubas), 1921; A. C. Parker, </w:t>
      </w:r>
      <w:r>
        <w:rPr>
          <w:i/>
        </w:rPr>
        <w:t>The Constitution of the Five Nations</w:t>
      </w:r>
      <w:r>
        <w:t xml:space="preserve"> (La Constitución de las Cinco Naciones, la Gran Ley iroquesa), Albany, 1916; el Inca Garcilaso, </w:t>
      </w:r>
      <w:r>
        <w:rPr>
          <w:i/>
        </w:rPr>
        <w:t>Comentarios reales</w:t>
      </w:r>
      <w:r>
        <w:t xml:space="preserve">, ed. Urteaga, Lima, 1918; Sahagún, </w:t>
      </w:r>
      <w:r>
        <w:rPr>
          <w:i/>
        </w:rPr>
        <w:t>Historia general de las cosas de Nueva España</w:t>
      </w:r>
      <w:r>
        <w:t xml:space="preserve">, ed. Bustamante, México, 1829; Hernán Cortés, </w:t>
      </w:r>
      <w:r>
        <w:rPr>
          <w:i/>
        </w:rPr>
        <w:t>Cartas y relaciones</w:t>
      </w:r>
      <w:r>
        <w:t xml:space="preserve">, ed. Gayangos, París, 1866; la </w:t>
      </w:r>
      <w:r>
        <w:rPr>
          <w:i/>
        </w:rPr>
        <w:t>Kebra Nagast</w:t>
      </w:r>
      <w:r>
        <w:t xml:space="preserve">, trad. de Budge, 1922; R. S. Rattray, </w:t>
      </w:r>
      <w:r>
        <w:rPr>
          <w:i/>
        </w:rPr>
        <w:t>Ashanti Law and Constitution</w:t>
      </w:r>
      <w:r>
        <w:t xml:space="preserve"> (Derecho y constitución ashanti), 1929; E. Casalis, </w:t>
      </w:r>
      <w:r>
        <w:rPr>
          <w:i/>
        </w:rPr>
        <w:t>The Basutos</w:t>
      </w:r>
      <w:r>
        <w:t xml:space="preserve"> (Los basutos), 1861. Las traducciones de los textos ingleses son de esta edición, con el inglés al lado. Nivel A.</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t xml:space="preserve"> [original: «so long, however, as he did right»]</w:t>
      </w:r>
      <w:r>
        <w:t xml:space="preserve"> (Malo, Antigüedades hawaianas XVIII, 3)</w:t>
      </w:r>
      <w:r>
        <w:t>; y «antiguamente el pueblo hacía la guerra a los malos reyes»</w:t>
      </w:r>
      <w:r>
        <w:t xml:space="preserve"> [original: «The people made war against bad kings in old times»]</w:t>
      </w:r>
      <w:r>
        <w:t xml:space="preserve"> (Malo, Antigüedades hawaianas XVIII, 45)</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t xml:space="preserve"> [original: «the sovereigns, instead of being supported by the community, are the chief supporters of it»]</w:t>
      </w:r>
      <w:r>
        <w:t xml:space="preserve"> (Casalis, Los basutos, p. 155)</w:t>
      </w:r>
      <w:r>
        <w:t>, y deben, con sus rebaños, «alimentar a los pobres»</w:t>
      </w:r>
      <w:r>
        <w:t xml:space="preserve"> [original: «feed the poor»]</w:t>
      </w:r>
      <w:r>
        <w:t xml:space="preserve"> (Casalis, Los basutos, p. 216)</w:t>
      </w:r>
      <w:r>
        <w:t>.</w:t>
      </w:r>
    </w:p>
    <w:p>
      <w:pPr>
        <w:pStyle w:val="ListBullet2"/>
      </w:pPr>
      <w:r>
        <w:rPr>
          <w:b/>
        </w:rPr>
        <w:t>Los yorubas de Oyó:</w:t>
      </w:r>
      <w:r>
        <w:t xml:space="preserve"> el poder del rey «debe ejercerse dentro del límite de la constitución no escrita»</w:t>
      </w:r>
      <w:r>
        <w:t xml:space="preserve"> [original: «must be exercised within the limit of the unwritten constitution»]</w:t>
      </w:r>
      <w:r>
        <w:t>, y si es tiránico, el Basorun, «como portavoz del pueblo», propone su rechazo</w:t>
      </w:r>
      <w:r>
        <w:t xml:space="preserve"> [original: «as the mouth-piece of the people»]</w:t>
      </w:r>
      <w:r>
        <w:t xml:space="preserve"> (Johnson, Historia de los yorubas, p. 70)</w:t>
      </w:r>
      <w:r>
        <w:t>.</w:t>
      </w:r>
    </w:p>
    <w:p>
      <w:pPr>
        <w:pStyle w:val="ListBullet2"/>
      </w:pPr>
      <w:r>
        <w:rPr>
          <w:b/>
        </w:rPr>
        <w:t>Los iroqueses:</w:t>
      </w:r>
      <w:r>
        <w:t xml:space="preserve"> «esta sarta de wampum da al pueblo el derecho de corregir a sus señores extraviados»</w:t>
      </w:r>
      <w:r>
        <w:t xml:space="preserve"> [original: «This string of wampum vests the people with the right to correct their erring Lords»]</w:t>
      </w:r>
      <w:r>
        <w:t xml:space="preserve"> (Gran Ley de la Paz, art. 59)</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xml:space="preserve"> [original: «We do not wish greediness»]</w:t>
      </w:r>
      <w:r>
        <w:t>, y no aceptar el consejo de los suyos «era causa legítima de destronamiento»</w:t>
      </w:r>
      <w:r>
        <w:t xml:space="preserve"> [original: «was a legitimate cause for destoolment»]</w:t>
      </w:r>
      <w:r>
        <w:t xml:space="preserve"> (Rattray, Derecho y constitución ashanti, p. 82)</w:t>
      </w:r>
      <w:r>
        <w:t>.</w:t>
      </w:r>
    </w:p>
    <w:p>
      <w:pPr>
        <w:pStyle w:val="ListBullet2"/>
      </w:pPr>
      <w:r>
        <w:rPr>
          <w:b/>
        </w:rPr>
        <w:t>Los mexicas:</w:t>
      </w:r>
      <w:r>
        <w:t xml:space="preserve"> el señor es nombrado «padre y madre de este reino», y ha de sustentar al pueblo «como á niños que están en la cuna»</w:t>
      </w:r>
      <w:r>
        <w:t xml:space="preserve"> (Sahagún, Historia general VI, cap. X)</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t xml:space="preserve"> (Garcilaso, Comentarios reales V, cap. XV)</w:t>
      </w:r>
      <w:r>
        <w:t>; y «no era justo pedir a los vasallos lo que no tenían de cosecha»</w:t>
      </w:r>
      <w:r>
        <w:t xml:space="preserve"> (Garcilaso, Comentarios reales V, cap. VI)</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t xml:space="preserve"> [original: «issue any orders to the districts for food»]</w:t>
      </w:r>
      <w:r>
        <w:t xml:space="preserve"> (Malo XXXVIII, 52)</w:t>
      </w:r>
      <w:r>
        <w:t>; y varios reyes perdieron la vida «por sus crueles exacciones sobre el pueblo llano»</w:t>
      </w:r>
      <w:r>
        <w:t xml:space="preserve"> [original: «on account of their cruel exactions on the commoners»]</w:t>
      </w:r>
      <w:r>
        <w:t xml:space="preserve"> (Malo XXXVIII, 68)</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t xml:space="preserve"> (Garcilaso V, cap. XV)</w:t>
      </w:r>
      <w:r>
        <w:t>.</w:t>
      </w:r>
    </w:p>
    <w:p>
      <w:pPr>
        <w:pStyle w:val="ListBullet2"/>
      </w:pPr>
      <w:r>
        <w:t>Había jueces en cada pueblo para que el pobre no tuviera que salir a pleitear, porque «muchas veces monta más esto que lo que van a pedir»</w:t>
      </w:r>
      <w:r>
        <w:t xml:space="preserve"> (Garcilaso II, cap. XIII)</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t xml:space="preserve"> (Hernán Cortés, Segunda carta, 1520)</w:t>
      </w:r>
      <w:r>
        <w:t>.</w:t>
      </w:r>
    </w:p>
    <w:p>
      <w:pPr>
        <w:pStyle w:val="ListBullet2"/>
      </w:pPr>
      <w:r>
        <w:t>El señor cuidaba el mercado «por amor de la gente popular […] para que nadie los hiciese fraude»</w:t>
      </w:r>
      <w:r>
        <w:t xml:space="preserve"> (Sahagún VIII, cap. XXXVI)</w:t>
      </w:r>
      <w:r>
        <w:t>.</w:t>
      </w:r>
    </w:p>
    <w:p>
      <w:pPr>
        <w:pStyle w:val="ListBullet"/>
      </w:pPr>
      <w:r>
        <w:rPr>
          <w:b/>
        </w:rPr>
        <w:t>P5. Devolver lo confiado</w:t>
      </w:r>
      <w:r>
        <w:t xml:space="preserve"> (un punto débil). </w:t>
      </w:r>
    </w:p>
    <w:p>
      <w:pPr>
        <w:pStyle w:val="ListBullet2"/>
      </w:pPr>
      <w:r>
        <w:t>Si el animal del vecino entra entre tus bienes, «hazlo volver a él»</w:t>
      </w:r>
      <w:r>
        <w:t xml:space="preserve"> [original: «make it go back to him»]</w:t>
      </w:r>
      <w:r>
        <w:t>; y si no sabes de quién es, cuídalo hasta saberlo, y entonces devuélveselo</w:t>
      </w:r>
      <w:r>
        <w:t xml:space="preserve"> (Kebra Nagast, cap. 90)</w:t>
      </w:r>
      <w:r>
        <w:t>.</w:t>
      </w:r>
    </w:p>
    <w:p>
      <w:pPr>
        <w:pStyle w:val="ListBullet2"/>
      </w:pPr>
      <w:r>
        <w:t>El súbdito que guarda los rebaños del jefe debe «presentarlos a su verdadero dueño»</w:t>
      </w:r>
      <w:r>
        <w:t xml:space="preserve"> [original: «present the flocks to their real owners»]</w:t>
      </w:r>
      <w:r>
        <w:t xml:space="preserve"> cuando este quiera</w:t>
      </w:r>
      <w:r>
        <w:t xml:space="preserve"> (Casalis, p. 155)</w:t>
      </w:r>
      <w:r>
        <w:t>; y el robo se repara con restitución y multa, en algunas tribus «de cuatro a uno»</w:t>
      </w:r>
      <w:r>
        <w:t xml:space="preserve"> [original: «in the proportion of four to one»]</w:t>
      </w:r>
      <w:r>
        <w:t xml:space="preserve"> (Casalis, p. 228)</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t xml:space="preserve"> (Sahagún VIII, cap. XIV)</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t xml:space="preserve"> (Garcilaso V, cap. XI)</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t xml:space="preserve"> (Garcilaso II, cap. XIII)</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t xml:space="preserve"> [original: «until their cases have been lawfully examined»]</w:t>
      </w:r>
      <w:r>
        <w:t xml:space="preserve"> (Casalis, p. 226)</w:t>
      </w:r>
      <w:r>
        <w:t>, y «las causas se discuten siempre en público»</w:t>
      </w:r>
      <w:r>
        <w:t xml:space="preserve"> [original: «Causes are always discussed in public»]</w:t>
      </w:r>
      <w:r>
        <w:t xml:space="preserve"> (Casalis, p. 230)</w:t>
      </w:r>
      <w:r>
        <w:t>.</w:t>
      </w:r>
    </w:p>
    <w:p>
      <w:pPr>
        <w:pStyle w:val="ListBullet2"/>
      </w:pPr>
      <w:r>
        <w:t>Los jueces mexicas pedían primero «la pintura en que estaban escritas ó pintadas las causas», y después los testigos</w:t>
      </w:r>
      <w:r>
        <w:t xml:space="preserve"> (Sahagún VIII, cap. XV)</w:t>
      </w:r>
      <w:r>
        <w:t>; y al señor se le aconsejaba: «antes debes quedar atrás en el castigo y ejecución del que no pasar adelante»</w:t>
      </w:r>
      <w:r>
        <w:t xml:space="preserve"> (Sahagún VI, cap. X)</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t xml:space="preserve"> (Garcilaso II, cap. XIII)</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t xml:space="preserve"> (Sahagún VIII, caps. XIV y XV)</w:t>
      </w:r>
      <w:r>
        <w:t>.</w:t>
      </w:r>
    </w:p>
    <w:p>
      <w:pPr>
        <w:pStyle w:val="ListBullet2"/>
      </w:pPr>
      <w:r>
        <w:t>«Cuando te pongas a juzgar, no ames los regalos, es decir, los sobornos»</w:t>
      </w:r>
      <w:r>
        <w:t xml:space="preserve"> [original: «When thou undertakest to judge, love not gifts (i.e., bribes)»]</w:t>
      </w:r>
      <w:r>
        <w:t xml:space="preserve"> (Kebra Nagast, cap. 41)</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t xml:space="preserve"> [original: «generally temporary»; «the use and wont, which constitute the real laws of the country»]</w:t>
      </w:r>
      <w:r>
        <w:t xml:space="preserve"> (Casalis, p. 228)</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t xml:space="preserve"> [original: «Only a small portion of the kings and chiefs ruled with kindness; the large majority simply lorded it over the people»]</w:t>
      </w:r>
      <w:r>
        <w:t xml:space="preserve"> (Malo XVIII, 65)</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t xml:space="preserve"> [original: «the fruit of robbery and extortion»]</w:t>
      </w:r>
      <w:r>
        <w:t xml:space="preserve"> (Malo XVIII, 46)</w:t>
      </w:r>
      <w:r>
        <w:t>, y el pueblo vivía «siempre cargado con una exacción u otra»</w:t>
      </w:r>
      <w:r>
        <w:t xml:space="preserve"> [original: «constantly burdened with one exaction or another»]</w:t>
      </w:r>
      <w:r>
        <w:t xml:space="preserve"> (Malo XIX, 6)</w:t>
      </w:r>
      <w:r>
        <w:t>. La «ley común» y la «ley casera» de los incas, en 3.2; y la misma ley mandaba comer «las puertas abiertas», para que los ministros de los jueces entraran a inspeccionar las casas</w:t>
      </w:r>
      <w:r>
        <w:t xml:space="preserve"> (Garcilaso V, cap. XI)</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t xml:space="preserve"> [original: «in return for a loan of much less value»]</w:t>
      </w:r>
      <w:r>
        <w:t xml:space="preserve"> (Casalis, p. 231)</w:t>
      </w:r>
      <w:r>
        <w:t>.</w:t>
      </w:r>
    </w:p>
    <w:p>
      <w:pPr>
        <w:pStyle w:val="ListBullet2"/>
      </w:pPr>
      <w:r>
        <w:rPr>
          <w:b/>
        </w:rPr>
        <w:t>Contra P7:</w:t>
      </w:r>
      <w:r>
        <w:t xml:space="preserve"> por la culpa del mayordomo, echaban de la casa a sus hijos y parientes, y «la casa con toda la hacienda se aplicaba al señor»</w:t>
      </w:r>
      <w:r>
        <w:t xml:space="preserve"> (Sahagún VIII, cap. XIX)</w:t>
      </w:r>
      <w:r>
        <w:t>; y en la Kebra Nagast, «él, su mujer y sus hijos serán condenados»</w:t>
      </w:r>
      <w:r>
        <w:t xml:space="preserve"> [original: «he and his wife and his children shall be condemned»]</w:t>
      </w:r>
      <w:r>
        <w:t xml:space="preserve"> (Kebra Nagast, cap. 89)</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t xml:space="preserve"> [original: «any sum which a Chief cared to demand»]</w:t>
      </w:r>
      <w:r>
        <w:t xml:space="preserve"> (Rattray, cap. XIV)</w:t>
      </w:r>
      <w:r>
        <w:t>; y entre los basutos, la pena de muerte por homicidio se conmutaba, por lo general, «por la confiscación»</w:t>
      </w:r>
      <w:r>
        <w:t xml:space="preserve"> [original: «into confiscation»]</w:t>
      </w:r>
      <w:r>
        <w:t xml:space="preserve"> (Casalis, p. 228)</w:t>
      </w:r>
      <w:r>
        <w:t>.</w:t>
      </w:r>
    </w:p>
    <w:p>
      <w:r>
        <w:t>[archivo del Arca, bloque de África, América y Oceanía, verificado por Claude el 5-oct, nivel 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xml:space="preserve"> [original: «when we find analogous single traits of culture among distant peoples, the presumption is not that there has been a common historical source, but that they have arisen independently»]</w:t>
      </w:r>
      <w:r>
        <w:t>, escribió Franz Boas en 1896. Y el mismo Boas pone el límite: «los mismos fenómenos pueden desarrollarse de muchísimas maneras»</w:t>
      </w:r>
      <w:r>
        <w:t xml:space="preserve"> [original: «the same phenomena may develop in a multitude of ways»]</w:t>
      </w:r>
      <w:r>
        <w:t xml:space="preserve"> (F. Boas, «The Limitations of the Comparative Method of Anthropology» (Los límites del método comparativo en antropología), Science, 1896, en Race, Language and Culture, 1940, pp. 271 y 273)</w:t>
      </w:r>
      <w:r>
        <w:t>, de modo que el parecido no prueba una misma causa. Con esa doble cautela se leen las tradiciones que siguen, cada una con su fuente.</w:t>
      </w:r>
    </w:p>
    <w:p>
      <w:r>
        <w:t>[07.00-2.1]</w:t>
      </w:r>
    </w:p>
    <w:p>
      <w:r>
        <w:rPr>
          <w:b/>
        </w:rPr>
        <w:t>Los inuit.</w:t>
      </w:r>
      <w:r>
        <w:t xml:space="preserve"> «Los ancianos describen los maligait, las leyes naturales, como las leyes más fundamentales arraigadas en la sociedad inuit»</w:t>
      </w:r>
      <w:r>
        <w:t xml:space="preserve"> [original: «Elders describe maligait (natural laws) as the most fundamental laws entrenched in Inuit society»]</w:t>
      </w:r>
      <w:r>
        <w:t>. El marco educativo del Gobierno de Nunavut los resume en cuatro: trabajar por el bien común, respetar a todos los seres vivos, mantener la armonía, y planificar y prepararse continuamente para un futuro mejor</w:t>
      </w:r>
      <w:r>
        <w:t xml:space="preserve"> (Departamento de Educación de Nunavut, Inuit Qaujimajatuqangit Education Framework for Nunavut Curriculum (Marco educativo del conocimiento tradicional inuit), 2007)</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t xml:space="preserve"> (J. Oosten y otros, Inuit Laws: Tirigusuusiit, Piqujait and Maligait (Leyes inuit), Nunavut Arctic College Media, 2017, ficha editorial)</w:t>
      </w:r>
      <w:r>
        <w:t>.</w:t>
      </w:r>
    </w:p>
    <w:p>
      <w:r>
        <w:t>[07.00-3.1]</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t xml:space="preserve"> [original: «The land was not his, but was the hunting ground of all the Sioux»]</w:t>
      </w:r>
      <w:r>
        <w:t xml:space="preserve"> (Luther Standing Bear, My People the Sioux (Mi pueblo, los sioux), 1928, p. 158)</w:t>
      </w:r>
      <w:r>
        <w:t>; el mismo autor valoró después la propiedad de los lotes individuales, y así se dice</w:t>
      </w:r>
      <w:r>
        <w:t xml:space="preserve"> (ídem, pp. 216-217)</w:t>
      </w:r>
      <w:r>
        <w:t>. La Confederación Haudenosaunee (iroquesa), de los Bosques del Este, en el norte del actual estado de Nueva York</w:t>
      </w:r>
      <w:r>
        <w:t xml:space="preserve"> (P. G. Ramsden, «Haudenosaunee (Iroquois)», The Canadian Encyclopedia, 2006; fuente secundaria)</w:t>
      </w:r>
      <w:r>
        <w:t>, fijó en su Gran Ley de la Paz que los clanes son «los únicos dueños y poseedores del suelo del país», que les corresponde «como derecho de nacimiento»</w:t>
      </w:r>
      <w:r>
        <w:t xml:space="preserve"> [original: «the sole owners and holders of the soil of the country»; «and in them is it vested as a birthright»]</w:t>
      </w:r>
      <w:r>
        <w:t xml:space="preserve"> (Gran Ley de la Paz, art. 42, en Parker, 1916)</w:t>
      </w:r>
      <w:r>
        <w:t>, y que las mujeres «serán dueñas de la tierra y del suelo»</w:t>
      </w:r>
      <w:r>
        <w:t xml:space="preserve"> [original: «They shall own the land and the soil»]</w:t>
      </w:r>
      <w:r>
        <w:t xml:space="preserve"> (Gran Ley de la Paz, art. 44)</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t xml:space="preserve"> (Gran Ley de la Paz, art. 8; Confederación Haudenosaunee, «Who we are» (Quiénes somos))</w:t>
      </w:r>
      <w:r>
        <w:t>. En Mesoamérica, los mexicas organizaban su tejido social en calpulli: «barrio de gente conocida ó linaje antiguo», cuyas tierras «no son en particular de cada uno del barrio, sino en común del calpulli, y el que las posee no las puede enajenar»</w:t>
      </w:r>
      <w:r>
        <w:t xml:space="preserve"> (Alonso de Zorita, Breve y sumaria relación de los señores de la Nueva España, siglo XVI (ed. García Icazbalceta, 1891), pp. 93-94)</w:t>
      </w:r>
      <w:r>
        <w:t>.</w:t>
      </w:r>
    </w:p>
    <w:p>
      <w:r>
        <w:t>[07.00-4.1; «as a birthright», leído hoy en Parker, art. 42 (g/costumbre): el fleco queda resuelto; la situación de los haudenosaunee, fuente secundaria (The Canadian Encyclopedia y la web de la Confederación)]</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t xml:space="preserve"> (S. Bryant, Liberty, Order and Law under Native Irish Rule (Libertad, orden y ley bajo el gobierno irlandés nativo), 1923, pp. 33-35; Electronic Dictionary of the Irish Language (Diccionario electrónico de la lengua irlandesa), s. v. éric, enech y eneclann; fuente secundaria)</w:t>
      </w:r>
      <w:r>
        <w:t>. La cárcel, al modo de hoy, no era la vía: la retención por el rey fue su sustituto arcaico</w:t>
      </w:r>
      <w:r>
        <w:t xml:space="preserve"> (Bryant, p. 284)</w:t>
      </w:r>
      <w:r>
        <w:t>.</w:t>
      </w:r>
    </w:p>
    <w:p>
      <w:r>
        <w:t>[07.00-5.1, sin la remisión a la figura «Geis y Brehon Law» de la Biblioteca, que la edición no tiene; el rango de la víctima, ya en 3, «Límite honesto de la prueba»]</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xml:space="preserve"> [original: «every mag-paying group has its own body of law embodied in its xeer code»]</w:t>
      </w:r>
      <w:r>
        <w:t>. Los ancianos de los clanes son a la vez sus legisladores, sus ejecutores y sus jueces, y deciden teniendo en cuenta el delito, su pena prevista y el precedente</w:t>
      </w:r>
      <w:r>
        <w:t xml:space="preserve"> (J. Gundel, The predicament of the 'Oday' (El aprieto de los oday), 2006, pp. iv, 8 y 11)</w:t>
      </w:r>
      <w:r>
        <w:t>. Sigue en uso: en 2024 la UNESCO inscribió en la Lista Representativa del Patrimonio Cultural Inmaterial el Xeer Ciise, «las leyes consuetudinarias orales de las comunidades somalíes issa de Etiopía, Yibuti y Somalia»</w:t>
      </w:r>
      <w:r>
        <w:t xml:space="preserve"> [original: «the oral customary laws of the Somali-Issa communities in Ethiopia, Djibouti and Somalia»]</w:t>
      </w:r>
      <w:r>
        <w:t>, con tres componentes: una constitución política que reparte el poder y los procesos de decisión, un código penal centrado en la reconciliación y la compensación, y un código de conducta social</w:t>
      </w:r>
      <w:r>
        <w:t xml:space="preserve"> (UNESCO, Patrimonio Cultural Inmaterial, Xeer Ciise (RL 02087, 2024))</w:t>
      </w:r>
      <w:r>
        <w:t>. No es una costumbre aislada: «la sharía islámica está en gran parte integrada en el desarrollo del xeer»</w:t>
      </w:r>
      <w:r>
        <w:t xml:space="preserve"> [original: «Islamic Sharia is to a large extent integrated in the development of xeer»]</w:t>
      </w:r>
      <w:r>
        <w:t xml:space="preserve"> (Gundel, p. 8)</w:t>
      </w:r>
      <w:r>
        <w:t>.</w:t>
      </w:r>
    </w:p>
    <w:p>
      <w:r>
        <w:t>[07.00-6.1]</w:t>
      </w:r>
    </w:p>
    <w:p>
      <w:r>
        <w:rPr>
          <w:b/>
        </w:rPr>
        <w:t>Los Andes, los aborígenes australianos y Sudáfrica.</w:t>
      </w:r>
      <w:r>
        <w:t xml:space="preserve"> En los Andes, el ayni y la mita sostuvieron una economía sin moneda: los incas «ni supieron arrendar, ni comprar ni vender, porque no tuvieron moneda»</w:t>
      </w:r>
      <w:r>
        <w:t xml:space="preserve"> (Garcilaso, Comentarios reales VI, 8)</w:t>
      </w:r>
      <w:r>
        <w:t>. Había ferias de trueque, que «ellos llaman Catu»</w:t>
      </w:r>
      <w:r>
        <w:t xml:space="preserve"> (Garcilaso, Comentarios reales VI, 35)</w:t>
      </w:r>
      <w:r>
        <w:t>, pero no producción para vender</w:t>
      </w:r>
      <w:r>
        <w:t xml:space="preserve"> (J. V. Murra, Reciprocity and Redistribution in Andean Civilizations (Reciprocidad y redistribución en las civilizaciones andinas), 2017, pp. 49-51)</w:t>
      </w:r>
      <w:r>
        <w:t>. El ayni es un servicio que se presta esperando una reciprocidad medida, entre iguales y vecinos; la mita, el trabajo «prestado» por turnos a la comunidad o al Estado</w:t>
      </w:r>
      <w:r>
        <w:t xml:space="preserve"> (Murra, pp. 74-75)</w:t>
      </w:r>
      <w:r>
        <w:t>.</w:t>
      </w:r>
    </w:p>
    <w:p>
      <w:r>
        <w:t>El derecho consuetudinario aborigen australiano es el de pueblos que ocupan el continente desde hace «al menos 40.000 años»</w:t>
      </w:r>
      <w:r>
        <w:t xml:space="preserve"> [original: «at least 40 000 years»]</w:t>
      </w:r>
      <w:r>
        <w:t xml:space="preserve"> (Comisión de Reforma Legal de Australia, Recognition of Aboriginal Customary Laws (El reconocimiento del derecho consuetudinario aborigen), ALRC 31, 1986, § 22)</w:t>
      </w:r>
      <w:r>
        <w:t>, y que hablaban unas 250 lenguas y más de 500 dialectos a la llegada de los europeos</w:t>
      </w:r>
      <w:r>
        <w:t xml:space="preserve"> (Oficina de Estadística de Australia, Australian Social Trends 1999)</w:t>
      </w:r>
      <w:r>
        <w:t>. Para ellos, «el Tiempo del Sueño es la Ley»</w:t>
      </w:r>
      <w:r>
        <w:t xml:space="preserve"> [original: «The Dreaming is the Law»]</w:t>
      </w:r>
      <w:r>
        <w:t xml:space="preserve"> (ALRC 31, § 103)</w:t>
      </w:r>
      <w:r>
        <w:t xml:space="preserve">. Sus </w:t>
      </w:r>
      <w:r>
        <w:rPr>
          <w:i/>
        </w:rPr>
        <w:t>songlines</w:t>
      </w:r>
      <w:r>
        <w:t xml:space="preserve"> son «mapas orales del paisaje»</w:t>
      </w:r>
      <w:r>
        <w:t xml:space="preserve"> [original: «oral maps of the landscape»]</w:t>
      </w:r>
      <w:r>
        <w:t xml:space="preserve"> (R. P. Norris y B. Y. Harney, «Songlines and Navigation in Wardaman and other Australian Aboriginal Cultures» (Las songlines y la navegación entre los wardaman y otras culturas aborígenes australianas), 2014)</w:t>
      </w:r>
      <w:r>
        <w:t xml:space="preserve"> que transmiten la navegación, los territorios de los clanes y la Ley, incluida la que regula la tierra y cómo tratarse unos a otros</w:t>
      </w:r>
      <w:r>
        <w:t xml:space="preserve"> (R. P. Norris, Dawes Review 5, 2016, p. 17; N. Higgins, «Songlines and Land Claims; Space and Place» (Songlines y reclamaciones de tierras; espacio y lugar), 2021, pp. 724-725)</w:t>
      </w:r>
      <w:r>
        <w:t>.</w:t>
      </w:r>
    </w:p>
    <w:p>
      <w:r>
        <w:t>Y en Sudáfrica, tras el apartheid, la Constitución de 1993 pidió «comprensión, no venganza; reparación, no represalia; ubuntu, no victimización»</w:t>
      </w:r>
      <w:r>
        <w:t xml:space="preserve"> [original: «a need for understanding but not for vengeance, a need for reparation but not for retaliation, a need for ubuntu but not for victimisation»]</w:t>
      </w:r>
      <w:r>
        <w:t xml:space="preserve"> (Constitución de la República de Sudáfrica (Ley 200 de 1993), epílogo)</w:t>
      </w:r>
      <w:r>
        <w:t>, y la Ley 34 de 1995 creó la Comisión de la Verdad y la Reconciliación</w:t>
      </w:r>
      <w:r>
        <w:t xml:space="preserve"> (Ley 34 de 1995, de Promoción de la Unidad Nacional y la Reconciliación)</w:t>
      </w:r>
      <w:r>
        <w:t>.</w:t>
      </w:r>
    </w:p>
    <w:p>
      <w:r>
        <w:t>[07.00-7.1; 01.00-13.4, las songlines, leídas hoy en local (g/otros)]</w:t>
      </w:r>
    </w:p>
    <w:p>
      <w:r>
        <w:rPr>
          <w:b/>
        </w:rPr>
        <w:t>El Althing, el derecho azteca, el mir, el Vinaya y la Yassa.</w:t>
      </w:r>
      <w:r>
        <w:t xml:space="preserve"> El Althing de Islandia se estableció en Þingvellir en 930, y su ley se hizo sobre el modelo de la del Gulaþing noruego</w:t>
      </w:r>
      <w:r>
        <w:t xml:space="preserve"> (Ari Þorgilsson, Íslendingabók (Libro de los islandeses), caps. 2 y 3)</w:t>
      </w:r>
      <w:r>
        <w:t>. Tenía poderes legislativos y judiciales, y la ley la hacía un cuerpo selecto dentro de la asamblea, la lögrétta: decidían jefes y jueces, ante la asamblea de hombres libres. Fue suprimido en 1800 y restablecido en 1845, como órgano consultivo, en Reikiavik</w:t>
      </w:r>
      <w:r>
        <w:t xml:space="preserve"> (K. Gjerset, History of Iceland (Historia de Islandia), 1924, pp. 33-34, 346 y 377)</w:t>
      </w:r>
      <w:r>
        <w:t>.</w:t>
      </w:r>
    </w:p>
    <w:p>
      <w:r>
        <w:t>El derecho azteca tenía tribunales escalonados: jueces ordinarios para los pleitos menores, y apelaciones ante doce jueces superiores que «sentenciaban con parecer del Señor»</w:t>
      </w:r>
      <w:r>
        <w:t xml:space="preserve"> (Zorita, pp. 111-113)</w:t>
      </w:r>
      <w:r>
        <w:t>; un juez de barrio que, según Clavijero (siglo XVIII), «se elegía anualmente por los vecinos»; y el cihuacóatl, de cuyas sentencias no se podía apelar «ni aun al mismo rey»</w:t>
      </w:r>
      <w:r>
        <w:t xml:space="preserve"> (F. J. Clavijero, Historia antigua de México, lib. VII, pp. 358-359)</w:t>
      </w:r>
      <w:r>
        <w:t>. Se juzgaba según «las leyes del reino, como las expresaban las pinturas»</w:t>
      </w:r>
      <w:r>
        <w:t xml:space="preserve"> (ídem, p. 360)</w:t>
      </w:r>
      <w:r>
        <w:t>. Nezahualcóyotl, señor de Tezcoco en el siglo XV, «estableció ochenta leyes»</w:t>
      </w:r>
      <w:r>
        <w:t xml:space="preserve"> (F. de Alva Ixtlilxóchitl, Historia de la nación chichimeca, cap. XXXVIII)</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t xml:space="preserve"> (A. Kimball, «The Russian Peasant Obshchina in the Political Culture of the Era of Great Reforms» (La obshchina campesina rusa en la cultura política de la era de las grandes reformas), Universidad de Oregón)</w:t>
      </w:r>
      <w:r>
        <w:t>. El Vinaya budista regulaba la convivencia monástica con un código propio y siete principios para resolver las cuestiones legales, entre ellos la decisión por mayoría</w:t>
      </w:r>
      <w:r>
        <w:t xml:space="preserve"> (Vinaya, Adhikaraṇasamatha, traducción de Bhikkhu Brahmali)</w:t>
      </w:r>
      <w:r>
        <w:t>, aunque remite a la ley del rey para medir el robo grave</w:t>
      </w:r>
      <w:r>
        <w:t xml:space="preserve"> (Vinaya, Pārājika 2)</w:t>
      </w:r>
      <w:r>
        <w:t>. Y la Yassa de Gengis Kan mandaba, según Juvaini, «considerar todas las confesiones como una sola y no distinguirlas entre sí»</w:t>
      </w:r>
      <w:r>
        <w:t xml:space="preserve"> [original: «to consider all sects as one and not to distinguish them from one another»]</w:t>
      </w:r>
      <w:r>
        <w:t>; se escribía en rollos que «se guardan en el tesoro de los príncipes principales»</w:t>
      </w:r>
      <w:r>
        <w:t xml:space="preserve"> [original: «are kept in the treasury of the chief princes»]</w:t>
      </w:r>
      <w:r>
        <w:t>, y cada kan que subía al trono ajustaba a ellos sus actos</w:t>
      </w:r>
      <w:r>
        <w:t xml:space="preserve"> (Juvaini, The History of the World-Conqueror (Historia del conquistador del mundo), trad. de J. A. Boyle, 1958, vol. I, cap. II, pp. 25-26)</w:t>
      </w:r>
      <w:r>
        <w:t>. Es la ley de un conquistador, y entra con esa cautela.</w:t>
      </w:r>
    </w:p>
    <w:p>
      <w:r>
        <w:t>[07.00-8.1; que el Althing sea «uno de los parlamentos más antiguos del mundo», fuera: sin fuente leída]</w:t>
      </w:r>
    </w:p>
    <w:p>
      <w:r>
        <w:rPr>
          <w:b/>
        </w:rPr>
        <w:t>El tikanga maorí.</w:t>
      </w:r>
      <w:r>
        <w:t xml:space="preserve"> El tikanga maorí de Nueva Zelanda tiene valores y reglas, pero mandan los valores: «son esos valores los que dan la guía principal de conducta»</w:t>
      </w:r>
      <w:r>
        <w:t xml:space="preserve"> [original: «it is these values which provide the primary guide to behaviour»]</w:t>
      </w:r>
      <w:r>
        <w:t xml:space="preserve"> (Comisión de Derecho de Nueva Zelanda, Māori Custom and Values in New Zealand Law (La costumbre y los valores maoríes en el derecho de Nueva Zelanda), 2001, § 75)</w:t>
      </w:r>
      <w:r>
        <w:t>. Entre ellos está el utu, que no es solo venganza: es reciprocidad (</w:t>
      </w:r>
      <w:r>
        <w:rPr>
          <w:i/>
        </w:rPr>
        <w:t>tau utuutu</w:t>
      </w:r>
      <w:r>
        <w:t>) y equilibrio, con instituciones como el muru, que trasladaba bienes a los agraviados por la falta de otro</w:t>
      </w:r>
      <w:r>
        <w:t xml:space="preserve"> (ídem, §§ 135 y 156)</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t xml:space="preserve"> [original: «was the first law of Aotearoa/New Zealand»]</w:t>
      </w:r>
      <w:r>
        <w:t xml:space="preserve"> (Ellis v R [2022] NZSC 114, §§ 19 y 22)</w:t>
      </w:r>
      <w:r>
        <w:t>.</w:t>
      </w:r>
    </w:p>
    <w:p>
      <w:r>
        <w:t>[07.00-9.1]</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r>
        <w:t>[07.00-10.1; todas las fuentes del apartado, en 07.00-10.2; informe de procedencia del 5-oct, g/INFORME_COSTUMBRE.md, y el paso 2 bis, nivel A]</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t xml:space="preserve"> [original: «apa-√ rādh […] to miss (one's aim, &amp;c.), AV. &amp;c.; to wrong, offend against […]; to offend, sin»; «apa-rādha, m. offence, transgression, fault; mistake»]</w:t>
      </w:r>
      <w:r>
        <w:t xml:space="preserve"> (Monier-Williams, A Sanskrit-English Dictionary (Diccionario sánscrito-inglés), Oxford, 1899, p. 51)</w:t>
      </w:r>
      <w:r>
        <w:t>.</w:t>
      </w:r>
    </w:p>
    <w:p>
      <w:r>
        <w:t>[07.00-18.5; leído hoy en local (g/otros, en el archivo del Diccionario Digital de Sánscrito de Colonia)]</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r>
        <w:t>[07.00-18.6]</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t>Fuentes: la Reina-Valera Antigua (eBible, edición de 1909); el Corán de Julio Cortés (Tanzil); Pirkei Avot en hebreo (Sefaria, Torat Emet) y Génesis Rabbah en la versión inglesa de Sefaria; el Vendidad en la traducción inglesa de Darmesteter y el Yasna en la de avesta.org; la Bhagavad Gita en sánscrito (GRETIL), cotejada con las traducciones inglesas de Telang y Arnold; el Dhammapada en la traducción inglesa de Max Müller; el Daodejing, las Analectas y Mencio en las de Legge, con el chino de Wikisource; las Instrucciones de Shuruppak en la del ETCSL (Oxford); Gilgamesh en la de Thompson; Ptahhotep en la de Gunn (1906) y Amenemope en la de Budge (1924); Hesíodo en la de Evelyn-White y Platón en la de Jowett; y el Popol Vuh en el castellano de Ximénez (edición de Scherzer, Viena, 1857). Para el cribado, además: el Protágoras en el griego de Burnet (Perseus); la Misná, Sanhedrín y Makkot, en hebreo (Sefaria); las Leyes de Manu en la traducción inglesa de Bühler; la Bṛhadāraṇyaka Upanishad en la de Max Müller; el Daodejing con el chino de Wang Bi (Wikisource); las Leyes y la República de Platón en la de Jowett; la Gran Ley de la Paz en la de Parker (1916); y la revista Lucifer de H. P. Blavatsky, tomo 1 (1887-1888), en Gutenberg. Para el remate, además: el Rig Veda y el Atharva Veda en la traducción inglesa de Griffith (OCR de archive.org); el Shujing en la de Legge; el Mihr Yasht en la de Darmesteter; el Papiro de Ani en la de Budge (1895, OCR); el Ganying Pian en la de Legge (1891, OCR), con la introducción del mismo Legge (Sacred Books of the East, 39, 1891); las Euménides de Esquilo en la de Smyth, con el griego (Perseus); la Edda poética en la de Bellows (1923, OCR); y Diógenes Laercio en la de Hicks (Perseus).</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r>
        <w:t>[parlamento de la arqueología (08/21), apartados 4 y 6; el índice del agente reglas_del_juego, 12-oct-2026, con sus archivos; el Corán de Cortés, 06/10 FUENTES LEIDAS, c4; los pasajes, sacados del índice por programa (construir_B19.py) y comprobados en su archivo; los del 14, del índice el_registro_de_todo, por programa (construir_todo_se_ve.py); los del 15, del índice el_septimo_sello, por programa (construir_B22.py); los del 16, de los índices D y E de el_camino_y_el_aviso, por programa (construir_B23.py)]</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[original: «(with Buddhists) demerit, sin»]</w:t>
      </w:r>
      <w:r>
        <w:t xml:space="preserve"> (Monier-Williams, p. 1308)</w:t>
      </w:r>
      <w:r>
        <w:t xml:space="preserve">; y la japonesa, porque </w:t>
      </w:r>
      <w:r>
        <w:rPr>
          <w:i/>
        </w:rPr>
        <w:t>giri</w:t>
      </w:r>
      <w:r>
        <w:t xml:space="preserve"> nombra el deber, no la falta.</w:t>
      </w:r>
    </w:p>
    <w:p>
      <w:r>
        <w:t>[archivo del Arca, «Pata coja», «No comprobado por Claude», «Lo que no se encontró», «Aún sin examinar» y «Pendiente»; 07.00-8.1 y 18.5 a 18.7; informes del 5-oct, g/INFORME_COSTUMBRE.md (8.1-h) y g/INFORME_PAN_Y_OTROS.md (2.2 y 2.3)]</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r>
        <w:t>[clasificación de las defensas, aprobada; 11.2 y 11.3]</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r>
        <w:br w:type="page"/>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G.7, la fila de la entrada «La fuente» del glosario, añadida por el autor tras el cierre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G.7, la fila del cambio posterior al cierre dice el subtítulo decidido (el de una hora, «Revelaciones de los frutos del Estado: la auditoría», consta en git)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G.7, la fila del subtítulo nuevo, decidido por el autor tras el cierre (07/herramientas/aplicar_subtitulo_nuevo.py). Ninguna otra palabra cambia. Cambio del 12-oct-2026, el cierre, paso 5 (P6 de M5 bis; Kiko, chat de 08.29, 20:0x, a la fecha del cierre, tal cual: «SI CONCUERDO»; la fecha es la del día en que acabaron los cuatro pasos): en G.7, la fila «12-oct-2026 | el cierre de la edición» detrás de la del 7-oct-2026, y «Cuánto tardó» cuenta hasta el cierre: seis meses y diez días, en lugar de seis meses y cinco días (07/herramientas/aplicar_P6_fechas_G7.py). Ninguna otra palabra cambia. Cambio del 12-oct-2026, el cierre, dentro del paso 3 (forma, sin cambio de sentido; hallado por 09.3 al auditar la conferencia, 08/28, apartado 4; orden de 08.29, fila 715 de 08/01; libro de estilo, normas que más se repiten): (b) en G.3, «algo distinto de lo que» en lugar de «otra cosa de lo que» (07/herramientas/aplicar_cinco_de_forma.py). Ninguna otra palabra cambia. Cambio del 11-oct-2026 (Kiko: «Sí al apartado «Cómo nació el método» en el anexo G», 10-oct, chat de 07.4; y en el chat de 08.10, pasado por 08.10 tal cual: «si a todo esto», «concuerdo literal» y sus dos añadidos; P1 de la ficha 08/12; borrador B11 de la carpeta 07): un apartado nuevo, G.8, «Cómo nació el método», detrás de G.7: tres frases del autor fechadas entre enero y marzo de 2026, copiadas letra a letra de las exportaciones de Google de su actividad en Gemini (no del archivo de su filosofía, que corrige la ortografía), sin ninguna frase de la inteligencia artificial; sus dos añadidos del 11-oct; y lo que consta en ese registro (7-feb-2025, 8-sep-2025 y 24-dic-2025). Una línea en «En pocas palabras», otra en el «Límite honesto» y otra en «Para recordar»; y la tabla de G.7 y «Cuánto tardó», ajustados para que no contradigan a G.8 (la frase de la P6, «al 7-oct-2026», no cambia). Todo es «Lectura del autor»: ninguna «Conclusión» cambia. Cambio del 10-oct-2026 (Kiko, chat de 08.6, 22:3x, pasado por 08.6 tal cual: «SI», a la pregunta de llevar a G.7 el recorrido que contó ese día en los chats de 07.4, 08.6 y 09.1; sus palabras, tal cual, en 08/13, apartados 11, 16, 17 y 19): en G.7, tres precisiones en su voz. El movimiento soberano: tenían el impulso pero «no terminaba de funcionar», la honradez de los profesores, «busqué sus raíces y no las encontré» y algo apuntaba bien, pero no como lo planteaban. El oficio: más de 30 años en mecánica y electromecánica, entre estudios y trabajo (sale «especializado en motos», que él corrigió), y lo que le enseñó (no saltarse ningún paso ni dar nada por presunción). El orden del desmontaje: la filosofía, la historia hacia atrás y al final los textos sagrados, hasta Egipto y los mayas, buscando lo que converge; de ahí la ley de Dios y el orden de las leyes (1.1). La tabla de G.7 y «Cuánto tardó» no cambian. Cambio del 9-oct-2026 (Kiko: «Sí a las tres, aplícalo y sigue con A10»; fila A7 de 03b, la obra como espejo del Estado y lo global y lo particular): en G.0, un bloque nuevo, «Los dos propósitos», entre el primer y el segundo párrafo: la guía para repetir la obra y que el Estado tenga también un referente, como lectura del autor (palabras de Kiko del 6-oct). «La idea» de G.0 no cambia. Cambio del 9-oct-2026 (Kiko, chat de 07, sobre la pregunta a cada persona de G.0: «¿qué vas a hacer tú cuando nadie te mira?»): al final del párrafo «Lectura del autor» de ese bloque, esa reflexión en forma de pregunta abierta, con la forma de los frutos («Lo puedes añadir como reflexión de autor»). Cambio del 9-oct-2026 (orden de la ventana de 08 con las palabras de Kiko copiadas, chat de 08, 20:40: «lo pones como frases directas, preguntas directas que deja el autor en el aire […] O reflexiones del autor y se emiten las preguntas»): en el mismo párrafo «Lectura del autor» de G.0, la serie entera de preguntas, directas, en su voz y una detrás de otra, sin parafrasear; se añaden «¿En qué mundo te gustaría vivir?» y «¿Cuál es el bien que vas a dejar a la gran familia de la tribu humana?», y las dos primeras dejan de ir en indirecto. Cambio del 9-oct-2026 (Kiko, chat de 07: «la frase que más invita a reflexionar es…»; tras proponerle armonizar la serie de preguntas, y su «en todos los sitios»): en G.0, la serie de siete preguntas se reduce a una sola, la que él eligió, dentro del mismo párrafo «Lectura del autor»; la misma va también en 10.9 y en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M4 con las tres recomendaciones» en el chat de 08 y «Sí al M4, aplícalo» en el de 07; borrador M4 de la carpeta 07; 07/05 y fila 26 de 04p): en R3, «los tres niveles de lectura de 0.3» pasa a «las tres puertas de lectura de 0.3» (el lector ya no tiene tres niveles sino tres puertas con dos escalones). ESTADO: APROBADO por Kiko el 7-oct-2026 («si lo apruebo», con los matices del parlamento y con lo que añadió en G.7 sobre por qué se hizo); sus marcas, en 04 CAPITULOS/marcas/marcas del anexo G.txt. Conversación del aviso PASO 3.6; sin agentes ni descargas. Paso 3, anexo G. G.7 (8-oct-2026, Kiko: «sí a todo, con tus recomendaciones»): entran «ni santo ni demonio» y «si Dios no te juzga…» (una libreta privada del autor), con Jn 8:7 sin comillas ni texto; a flecos, sin leer en su fuente: Jn 8:7 en la Reina-Valera (y Rm 14:4, Stg 4:12 y Mt 7:1, por si se quisieran citar). La frase «si Dios no me juzga…» va dicha como del autor, sin afirmar que sea bíblica. Sigue sin entrar «gracias a Dios no he sido denunciado…». La reflexión de la mujer, la polaridad y la virtud en el medio (n.º 5) va al libro, en el capítulo 4 (4.2), a redactar con Gn 1:27, 2:7 y 2:21-22 leídos antes. Plan parlamentado con Kiko, todo decidido: (1) un apartado propio de trampas (G.3, doce de las diecisiete de la libreta 76, con sus puntos de Kiko: duplicados idénticos fuera y de otro año, no; archivos renombrados a lo que contienen; la fuente literal y lo que se saca de ella, aparte; «no entra» con dos motivos); (2) los errores de las herramientas de inteligencia artificial, sin esconderlos; (3) el recorrido (G.7) sin nombrar piezas ni palabras de la Biblioteca vieja, y con la cronología como palabra del autor; (4) el plazo sin promesa, de fecha a fecha; (5) la tabla de fuentes por país, solo con tipos de fuente y la fila de España. La historia personal del autor se publica sin detalle ni nombres; el detalle, en una libreta privada del autor. Kiko, 7-oct: «Puedes publicar mi historia». Lo de su profesor y de su expareja, sin nombres hasta que ellos lo permitan. Sale de: libreta 76 (sección 4, el método, y las lecciones), 14.00 §4 (14.00-6.1 a 6.10), 01.00-7 y 15, 11.00-6, el MAPA CRONOLÓGICO, 00 NORMAS DE TRABAJO (Regla de Oro) y el registro de lo verificado (08, a 7-oct-2026). Leído hoy: recuento de 10 FUENTES LEIDAS (7-oct-2026), niveles A y B del registro 08 por capítulo, y la STC 35/1995 (c9c: presunción de inocencia). A flecos, sin leer en su fuente (nunca fuera; se investigan al final, todos juntos: Kiko, 7-oct): 11.00-6.1, que «sine causa nulla obligatio» no figure en ninguna fuente romana primaria (una primera mirada a lo ya bajado, el Digesto 50, no lo halló; quitada del texto por no ser la dirección de Kiko: no resolver flecos sueltos); 14.00-6.3, «rondas de 10 a 16 artículos» (no hay registro de las rondas); 14.00-6.6, «corregirse tres veces por huecos de diseño» (ídem); 01.00-7.1, que la cita de Crisipo sea «uno de los pocos lugares donde se conserva una cita literal» de su obra perdida; lo de «no he sido denunciado más de la media nacional» (sin aclarar; sin dato no entra). Lo de «según El País» quedó aclarado: es el país, España, y es observación del autor. Fuera, por no venir al caso o no aportar nada (Kiko, 7-oct): 01.00-7.2, «con seis fuentes coincidentes» (la prueba es el texto de Cicerón y el del Digesto); 01.00-7.3, la lista de páginas web secundarias; 11.00-6.1, la conjetura de que «sine causa nulla obligatio» sea «con toda probabilidad una contaminación» (no concluyente: análisis interno); 11.00-6.2, que la máxima de Celso sirva «a la imposibilidad inicial, no a la sobrevenida» (errata nueva: el DPEJ cita la STS de 4-V-2011, que la aplica a la sobrevenida; al 07 con «(paso 3)»).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t xml:space="preserve"> (pieza 14.00 §4 de la Biblioteca)</w:t>
      </w:r>
      <w:r>
        <w:t xml:space="preserve">. Lo que cambia son las fuentes (su boletín oficial, su tribunal constitucional, su estadística nacional); lo que no cambia es el orden en que se trabaja y la regla de que ningún dato entra sin su fuente. </w:t>
      </w:r>
      <w:r>
        <w:t>[14.00-6.1; libreta 76, sección 4]</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[palabras de Kiko, 6-oct-2026 (libreta de flecos, sección 6) y 9-oct-2026 (la pregunta abierta, chat de 07 y de 08); 03b, A7; libreta 72, punto 147]</w:t>
      </w:r>
    </w:p>
    <w:p>
      <w:r>
        <w:t>La obra la hizo una persona con ayuda de herramientas de inteligencia artificial: Claude Code, Sofía (el asistente de inteligencia artificial de Google) y NotebookLM (</w:t>
      </w:r>
      <w:r>
        <w:t>0.2</w:t>
      </w:r>
      <w:r>
        <w:t>). Esas herramientas se equivocan, y a veces mucho (</w:t>
      </w:r>
      <w:r>
        <w:t>G.3</w:t>
      </w:r>
      <w:r>
        <w:t xml:space="preserve">, n.º 6 a 8); por eso el método no descansa en quién trajo un dato, sino en que se compruebe en su original. </w:t>
      </w:r>
      <w:r>
        <w:t>[0.2; glosario 1.4; libreta 76]</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 </w:t>
      </w:r>
      <w:r>
        <w:t>[libreta 76, sección 4, R1; leído hoy: recuento de 10 FUENTES LEIDAS, 7-oct-2026]</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 </w:t>
      </w:r>
      <w:r>
        <w:t>[libreta 76, sección 4, R2; registro de lo verificado, 08]</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t>[registro de lo verificado, 08, resumen a 7-oct-2026]</w:t>
      </w: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xml:space="preserve">, que cuenta casos históricos de otros países. Los capítulos que se apoyan en la ley, las sentencias y la estadística oficial (7, 8 y 10) suman 420 datos y solo 9 de nivel B. </w:t>
      </w:r>
      <w:r>
        <w:t>[registro de lo verificado, 08; cuenta de la edición]</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 </w:t>
      </w:r>
      <w:r>
        <w:t>[Kiko, 6-oct-2026; libreta 76, sección 4, R3]</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[libreta 76, sección 4 (borrador del organigrama); libro de estilo §7 y §8]</w:t>
      </w:r>
    </w:p>
    <w:p>
      <w:r>
        <w:t>Los pasos se agrupan en cuatro trabajos que no se mezclan: ordenar (paso 2), comprobar todo agrupado por fuente (pasos 3 y 4), redactar (5 y 6) y enlazar al final (</w:t>
      </w:r>
      <w:r>
        <w:t>7</w:t>
      </w:r>
      <w:r>
        <w:t xml:space="preserve">). El 6-oct-2026, cuando la obra llevaba semanas comprobándose capítulo a capítulo, el autor dijo: «esto que ya lo comprobé cinco veces se está volviendo infinito». De ahí salió el orden de arriba: cada fuente se abre una vez, y esa lectura sirve a todos los capítulos donde aparece. </w:t>
      </w:r>
      <w:r>
        <w:t>[mapa cronológico, etapa 7 (6-oct-2026); libro de estilo §8]</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 xml:space="preserve">). </w:t>
      </w:r>
      <w:r>
        <w:t>[Kiko, 7-oct-2026]</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[libreta 76, lecciones 16 y 44; leído hoy: duplicados de 10 FUENTES LEIDAS, 7-oct-2026]</w:t>
      </w:r>
      <w:r>
        <w:t xml:space="preserve"> {completo}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r>
        <w:t>[libreta 76, lección 16; leído hoy]</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r>
        <w:t>[libreta 76, lección 17]</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r>
        <w:t>[fe de erratas 07, 17.00-168.2; libreta 76, lección 28; leído hoy: c9c]</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r>
        <w:t>[libreta 76, lección 47; anexo B]</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r>
        <w:t>[fe de erratas 07, 20.00-31.1 y 00.1-4.6; libreta 76, lección 23]</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r>
        <w:t>[libreta 76, lecciones 3 y 4; libreta 75, 7 bis n.º 5]</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r>
        <w:t>[00 NORMAS DE TRABAJO, Regla de Oro (4-ago-2026); libreta 76, lección 12]</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r>
        <w:t>[libreta 76, lección 13]</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r>
        <w:t>[libreta 76, lección 5; paso 2 bis]</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r>
        <w:t>[libreta 76, lecciones 14, 31 y 34]</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r>
        <w:t>[mapa cronológico, etapa 5; libreta 76, lección 6; libro de estilo §7]</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r>
        <w:t>[Kiko, 7-oct-2026; libreta 76, lección 46]</w:t>
      </w:r>
    </w:p>
    <w:p>
      <w:r>
        <w:t xml:space="preserve">Las demás lecciones que se anotaron en el control de la obra repiten lo de arriba o son de oficio (finales de línea, programas escritos en la terminal, descargas que un sitio oficial rechaza); no entran aquí. </w:t>
      </w:r>
      <w:r>
        <w:t>[libreta 76]</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r>
        <w:t>[14.00-6.2]</w:t>
      </w:r>
    </w:p>
    <w:p>
      <w:pPr>
        <w:spacing w:after="60"/>
        <w:ind w:left="510" w:hanging="397"/>
      </w:pPr>
      <w:r>
        <w:rPr>
          <w:b w:val="0"/>
        </w:rPr>
        <w:t xml:space="preserve">2. </w:t>
      </w:r>
      <w:r>
        <w:rPr>
          <w:b/>
        </w:rPr>
        <w:t>Dividirlo en bloques manejables</w:t>
      </w:r>
      <w:r>
        <w:t xml:space="preserve"> (por títulos o capítulos) para no perder rigor por volumen. </w:t>
      </w:r>
      <w:r>
        <w:t>[14.00-6.3]</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r>
        <w:t>[14.00-6.4]</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r>
        <w:t>[14.00-6.5]</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r>
        <w:t>[14.00-6.6]</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r>
        <w:t>[14.00-6.7]</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 xml:space="preserve">). </w:t>
      </w:r>
      <w:r>
        <w:t>[7.1; 14.00-5.1, 5.2 y 7.1]</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 xml:space="preserve">). </w:t>
      </w:r>
      <w:r>
        <w:t>[14.00-6.8; 14.00-6.9; 14.00-6.10, solo en lo que ya dicen 1.4, 10.4 y 11.6]</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t>[libreta 76, sección 4 (tabla de fuentes para adaptar a cada país); 10 FUENTES LEIDAS, índices de los lotes]</w:t>
      </w: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 </w:t>
      </w:r>
      <w:r>
        <w:t>[libreta 76, lecciones 21 y 24]</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t xml:space="preserve"> [original: «ho nomos pantwn esti basileus veiwn te kai anvrwpinwn pragmatwn» (transcripción de la Universidad de Grenoble)]</w:t>
      </w:r>
      <w:r>
        <w:t xml:space="preserve"> (Digesto 1, 3, 2, Marciano; Cicerón, </w:t>
      </w:r>
      <w:r>
        <w:rPr>
          <w:i/>
        </w:rPr>
        <w:t>De legibus</w:t>
      </w:r>
      <w:r>
        <w:t xml:space="preserve"> I, 33 y II, 10)</w:t>
      </w:r>
      <w:r>
        <w:t xml:space="preserve">. </w:t>
      </w:r>
      <w:r>
        <w:t>[01.00-7.1; c9g, índice, entradas 60 a 62]</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t xml:space="preserve"> [original: «Est enim unum ius quo deuincta est hominum societas et quod lex constituit una, quae lex est recta ratio imperandi atque prohibendi»]</w:t>
      </w:r>
      <w:r>
        <w:t xml:space="preserve"> (Cicerón, </w:t>
      </w:r>
      <w:r>
        <w:rPr>
          <w:i/>
        </w:rPr>
        <w:t>De legibus</w:t>
      </w:r>
      <w:r>
        <w:t xml:space="preserve"> I, 42)</w:t>
      </w:r>
      <w:r>
        <w:t>. Lo que Ulpiano dice de verdad es otra cosa: «derecho natural es el que la naturaleza enseñó a todos los animales, pues este derecho no es propio del género humano, sino común a todos los animales que nacen en la tierra y en el mar, y también a las aves»</w:t>
      </w:r>
      <w:r>
        <w:t xml:space="preserve"> [original: «Ius naturale est, quod natura omnia animalia docuit: nam ius istud non humani generis proprium, sed omnium animalium, quae in terra, quae in mari nascuntur, avium quoque commune est»]</w:t>
      </w:r>
      <w:r>
        <w:t xml:space="preserve"> (Digesto 1, 1, 1, 3, Ulpiano)</w:t>
      </w:r>
      <w:r>
        <w:t xml:space="preserve">. Su derecho natural incluye el instinto compartido con los animales, no solo la razón moral humana: un matiz que lo distingue del concepto de la ley natural de Cicerón y de Aquino. </w:t>
      </w:r>
      <w:r>
        <w:t>[01.00-7.2; c9g, índice, entradas 63 y 65]</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t xml:space="preserve"> (J. H. Burns, «Happiness and Utility: Jeremy Bentham's Equation» (Felicidad y utilidad: la ecuación de Jeremy Bentham), </w:t>
      </w:r>
      <w:r>
        <w:rPr>
          <w:i/>
        </w:rPr>
        <w:t>Utilitas</w:t>
      </w:r>
      <w:r>
        <w:t xml:space="preserve"> 17 (</w:t>
      </w:r>
      <w:r>
        <w:t>1</w:t>
      </w:r>
      <w:r>
        <w:t>), marzo de 2005, pp. 46-61; fuente secundaria)</w:t>
      </w:r>
      <w:r>
        <w:t xml:space="preserve"> y se comprobó en el texto de 1789. Está en el prefacio de </w:t>
      </w:r>
      <w:r>
        <w:rPr>
          <w:i/>
        </w:rPr>
        <w:t>A Fragment on Government</w:t>
      </w:r>
      <w:r>
        <w:t xml:space="preserve"> (1776): «la mayor felicidad del mayor número es la medida de lo justo y de lo injusto»</w:t>
      </w:r>
      <w:r>
        <w:t xml:space="preserve"> [original: «it is the greatest happiness of the greatest number that is the measure of right and wrong»]</w:t>
      </w:r>
      <w:r>
        <w:t xml:space="preserve"> (Bentham, </w:t>
      </w:r>
      <w:r>
        <w:rPr>
          <w:i/>
        </w:rPr>
        <w:t>A Fragment on Government</w:t>
      </w:r>
      <w:r>
        <w:t>, 1776, prefacio)</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t xml:space="preserve"> [original: «Nature has placed mankind under the governance of two sovereign masters, pain and pleasure»]</w:t>
      </w:r>
      <w:r>
        <w:t xml:space="preserve"> (Bentham, </w:t>
      </w:r>
      <w:r>
        <w:rPr>
          <w:i/>
        </w:rPr>
        <w:t>Introduction to the Principles of Morals and Legislation</w:t>
      </w:r>
      <w:r>
        <w:t>, 1789, cap. I)</w:t>
      </w:r>
      <w:r>
        <w:t xml:space="preserve">. </w:t>
      </w:r>
      <w:r>
        <w:t>[01.00-15.1; 01.00-15.2; c9g, índice, entradas 54 a 58]</w:t>
      </w:r>
    </w:p>
    <w:p>
      <w:r>
        <w:rPr>
          <w:b/>
        </w:rPr>
        <w:t>«Sine causa nulla obligatio» (Celso).</w:t>
      </w:r>
      <w:r>
        <w:t xml:space="preserve"> Un informe de partida daba como máxima romana «sine causa nulla obligatio». La máxima romana que está comprobada es la de Celso: «no hay obligación alguna de cosas imposibles»</w:t>
      </w:r>
      <w:r>
        <w:t xml:space="preserve"> [original: «Inpossibilium nulla obligatio est»]</w:t>
      </w:r>
      <w:r>
        <w:t xml:space="preserve"> (Digesto 50, 17, 185, Celso, libro octavo)</w:t>
      </w:r>
      <w:r>
        <w:t>. Es el lema que recoge el Diccionario panhispánico del español jurídico, que añade que se lee a menudo con «m» (</w:t>
      </w:r>
      <w:r>
        <w:rPr>
          <w:i/>
        </w:rPr>
        <w:t>impossibilium</w:t>
      </w:r>
      <w:r>
        <w:t xml:space="preserve">),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 </w:t>
      </w:r>
      <w:r>
        <w:t>[11.00-6.1; 11.00-6.2; 11.00-6.3; c9c, índice, entradas 96 a 100; lo no comprobado, a flecos]</w:t>
      </w:r>
    </w:p>
    <w:p>
      <w:r>
        <w:t xml:space="preserve">Una cita que circula sin dueño confirmado se marca como tal o no se usa (libro de estilo §2). En estos cuatro casos, lo que circulaba se usó como pista y lo que se escribe es lo leído en el original. </w:t>
      </w:r>
      <w:r>
        <w:t>[libro de estilo §2]</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 xml:space="preserve">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 </w:t>
      </w:r>
      <w:r>
        <w:t>[palabras del autor, 7-oct-2026]</w:t>
      </w:r>
    </w:p>
    <w:p>
      <w:r>
        <w:t xml:space="preserve">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 </w:t>
      </w:r>
      <w:r>
        <w:t>[palabras del autor, 7-oct-2026]</w:t>
      </w:r>
    </w:p>
    <w:p>
      <w:r>
        <w:t xml:space="preserve">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 </w:t>
      </w:r>
      <w:r>
        <w:t>[palabras del autor, 7-oct-2026]</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xml:space="preserve">).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 </w:t>
      </w:r>
      <w:r>
        <w:t>[palabras del autor, 7 y 10-oct-2026]</w:t>
      </w:r>
    </w:p>
    <w:p>
      <w:r>
        <w:t xml:space="preserve">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 </w:t>
      </w:r>
      <w:r>
        <w:t>[palabras del autor, 7 y 10-oct-2026]</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xml:space="preserve">).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 </w:t>
      </w:r>
      <w:r>
        <w:t>[palabras del autor, 7 y 10-oct-2026]</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t xml:space="preserve"> (Mt 7:16)</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 xml:space="preserve">. </w:t>
      </w:r>
      <w:r>
        <w:t>[palabras del autor, 7-oct-2026]</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xml:space="preserve">). Lo hace con amor incondicional hacia la tribu humana, «mis hermanos», y, ya que ha tenido que leer textos sagrados en esta peripecia, aprovecha para decir que esto sirva «para separar el grano de la paja». </w:t>
      </w:r>
      <w:r>
        <w:t>[palabras del autor, 7-oct-2026]</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 xml:space="preserve">). </w:t>
      </w:r>
      <w:r>
        <w:t>[palabras del autor, 7-oct-2026]</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t>[mapa cronológico de las mutaciones de la obra, fechas de guardado de los archivos y registro de cambios (git); palabras del autor, 7-oct-2026]</w:t>
      </w: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 </w:t>
      </w:r>
      <w:r>
        <w:t>[mapa cronológico; registro de cambios (git); palabras del autor, 7-oct-2026]</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xml:space="preserve">, n.º 7). </w:t>
      </w:r>
      <w:r>
        <w:t>[registro de actividad de Gemini, 27-ene-2026 y 12-mar-2026]</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 xml:space="preserve">). </w:t>
      </w:r>
      <w:r>
        <w:t>[registro de actividad de Gemini, 27-ene-2026, 01:21]</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 xml:space="preserve">). </w:t>
      </w:r>
      <w:r>
        <w:t>[registro de actividad de Gemini, 22-feb-2026, 21:13]</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xml:space="preserve">: el autor empezó por sus propias creencias y las sometió a la misma vara que pide para el Estado; aquí, con su fecha. </w:t>
      </w:r>
      <w:r>
        <w:t>[registro de actividad de Gemini, 12-mar-2026, 07:30]</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 xml:space="preserve">). </w:t>
      </w:r>
      <w:r>
        <w:t>[palabras del autor, 11-oct-2026]</w:t>
      </w:r>
    </w:p>
    <w:p>
      <w:r>
        <w:t xml:space="preserve">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 </w:t>
      </w:r>
      <w:r>
        <w:t>[palabras del autor, 11-oct-2026]</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xml:space="preserve">) cuadra con esos dos usos; el trabajo seguido empezó a final de diciembre. Lo que ese registro no conserve no se puede comprobar. </w:t>
      </w:r>
      <w:r>
        <w:t>[exportaciones de Google de la actividad de Gemini, 2-may-2026 y 23-jul-2026, leídas el 10-oct-2026]</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r>
        <w:t>[libreta 76, sección 4]</w:t>
      </w:r>
    </w:p>
    <w:p>
      <w:pPr>
        <w:pStyle w:val="ListBullet"/>
      </w:pPr>
      <w:r>
        <w:rPr>
          <w:b/>
        </w:rPr>
        <w:t>Las llaves de cada sitio oficial</w:t>
      </w:r>
      <w:r>
        <w:t xml:space="preserve"> (</w:t>
      </w:r>
      <w:r>
        <w:t>G.5</w:t>
      </w:r>
      <w:r>
        <w:t xml:space="preserve">) son del 6-oct-2026 y cambian. </w:t>
      </w:r>
      <w:r>
        <w:t>[libreta 76, lecciones 21 y 24]</w:t>
      </w:r>
    </w:p>
    <w:p>
      <w:pPr>
        <w:pStyle w:val="ListBullet"/>
      </w:pPr>
      <w:r>
        <w:rPr>
          <w:b/>
        </w:rPr>
        <w:t>Las doce trampas son las de esta obra,</w:t>
      </w:r>
      <w:r>
        <w:t xml:space="preserve"> no una lista completa. Hay más en otras obras y en otros países. </w:t>
      </w:r>
      <w:r>
        <w:t>[libreta 76]</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r>
        <w:t>[Kiko, 7-oct-2026]</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r>
        <w:t>[registro de actividad de Gemini]</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r>
        <w:t>[14.00-6.3 y 6.6, a flecos]</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r>
        <w:t>[11.00-6.1, a flecos]</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r>
        <w:t>[11.2 y 11.4, ya en el capítulo 11; clasificación de las defensas, aprobada]</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r>
        <w:br w:type="page"/>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H.5, la entrada «La fuente», detrás de «La vara»; «Fuente, H.5» en el índice alfabético; la referencia al glosario único llega a 5.8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la entrada «</w:t>
      </w:r>
      <w:r>
        <w:t>Apocalipsis del Sistema</w:t>
      </w:r>
      <w:r>
        <w:t>», el subtítulo pasa de «Revelaciones de los frutos del Estado: la auditoría» (una hora) a «La disolución del velo del Estado y el retorno a la fuente»; en «El velo», como el velo vuelve al subtítulo, la frase vuelve a la de antes, «Es lo que el título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la entrada «</w:t>
      </w:r>
      <w:r>
        <w:t>Apocalipsis del Sistema</w:t>
      </w:r>
      <w:r>
        <w:t>», el subtítulo nuevo; en «El velo», «Es lo que el título promete disolver» (lo decía el subtítulo viejo) pasa a «Lo que esconde es lo que el nombre de la obra promete descubrir: «Apocalipsis» quiere decir «revelación» (0.2).» (07/herramientas/aplicar_subtitulo_nuevo.py). Ninguna otra palabra cambia. Cambio del 12-oct-2026, el cierre, dentro del paso 3 (B13: Kiko, chat de 08.18, 06:3x, «si» a la forma «sin contacto documentado entre sí»; orden de 08.29, filas 709 y 710 de 08/01, tras la auditoría de 10.36): las 3 frases en este capítulo con la forma de antes pasan a decir «sin contacto documentado» (07/herramientas/aplicar_contacto_documentado.py). Ninguna otra palabra cambia. Cambio del 9-oct-2026 (Kiko: «Sí al M6 con las tres recomendaciones» en el chat de 08 y «sí al M6, sí a P-11.6» en el de 07; borrador M6 de la carpeta 07; 04p filas 25, 27 y 35): en H.1, una entrada nueva: «El mapa del árbol» (se explica en 0.6). Sin palabra nueva en el resto de la obra. Cambio del 9-oct-2026 (Kiko: «Sí al M4 con las tres recomendaciones» en el chat de 08 y «Sí al M4, aplícalo» en el de 07; borrador M4 de la carpeta 07; 07/05 y fila 26 de 04p): en H.1, la entrada de la edición de lectura añade que se lee por tres puertas, con dos escalones cada una (0.3). Sin palabra nueva. Cambio del 9-oct-2026 (Kiko: «Sí al B1, aplícalo en 06»; borrador B1 de la carpeta 07; filas 3, 4 y 36 de 04p y definición de «ley escrita»): en H.3, la entrada de «la presunción» recoge el hecho de partida; en H.4, la entrada de «la ley escrita» pasa a la definición completa (se juzga por a quién sirve). Cambio del 9-oct-2026 (Kiko, decisión Q16 del bloque 04n, «sí a todas»; fila 5 de 04p): «el derecho positivo» pasa a «la ley escrita» en H.4 (el orden de las leyes, la entrada de la ley humana y el resumen). «Derecho positivo» se queda en el índice alfabético, porque es como la llama Aquino, y se añade «Ley escrita». Nada más cambia. Cambio del 8-oct-2026 (fase de reparación, sexta tanda): corregidas tres remisiones que apuntaban a un apartado equivocado desde la renumeración: «la corrupción de la ley» se explica en 1.1 (no en 1.6), «la auctoritas» en 6.2 (no en 9.2) y las máximas del punto 12 están en 8.5 (no en 8.4). Cambio del 8-oct-2026 (lectura de la dirección de la obra, aviso PASO 4.8): en «La Biblioteca», «el Pórtico y cuarenta más» pasa a «las 40 piezas (el Pórtico incluido)»: el archivo congelado tiene 40 textos, con el Pórtico (00.0), y el capítulo 0 ya decía 40. Cambio del 8-oct-2026 (parlamento sobre los mitos; Kiko: «sí a las tres, con tus recomendaciones» y el añadido del método de medir): la entrada «Sin verificar» pasa a «Presunción (etiqueta)». ESTADO: APROBADO por Kiko el 7-oct-2026 («si lo apruebo»). Paso 3. Sin agentes ni descargas. Es el tercero de los anexos. Plan aprobado por Kiko el 7-oct («sí»): H.0; H.1 a H.9, los nueve bloques del glosario único; H.10, las máximas latinas; de cada entrada, la palabra y su definición aprobada, en una o dos frases, con su remisión; sin recuentos, «por qué», preguntas ni investigaciones largas, que están en sus capítulos. Orden: por bloques, con índice alfabético al final (opción A; Kiko: «me gusta más la opción a»). Las palabras que la edición ya no usa: ni mención (Kiko, 7-oct, al aprobar: «nadie viene de la biblioteca vieja […] no hay que hacer ni mención»); quitada la lista de H.0. Marcas preparadas: herramientas/marcas_anexo_I.py, 81 (las 77 de la libreta y cuatro de fuera con el sugerido I). Sale del glosario único (06 EDICION DE LECTURA/01 GLOSARIO UNICO/GLOSARIO UNICO (vivo).md, aprobado por Kiko entrada por entrada el 5-oct; secciones 1 a 9: «Se usa», «Definición», «Uso», «Regla» y lo decidido; las secciones 10 a 12 no entran: la 10, la pieza 30.00, sale de la obra: decisión de Kiko, 7-oct; la 11 y la 12 son internas), del glosario del Pórtico (00.0-10, «El lenguaje común de la obra», que el glosario único sustituye) y de la pieza 02.00, secciones 15 a 20 (las máximas latinas).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el anexo H no tiene ninguna en 16 CIFRAS POR MIRAR. Cada número, en su fila o en un capítulo aprobado: 41 piezas (la Biblioteca, 0.2); 1971 (8.1); los artículos de las leyes, en sus capítulos (1.1, 1.5, 7.1, 9.1, 10.4 y 10.7); las fechas y lugares de las máximas, en su fila del paso 2 (376, Código de Justiniano 3, 5, 1; 1789; 1823, Halkerston; 1910, Black's; 1911, Britannica; 1913, Cotterell). Leído hoy en su original: nada nuevo. Las definiciones son las del glosario único, aprobado; cada máxima va con su fila del paso 2 (herramientas/paso2_comprobado.tsv, 02.00-16.1 a 20.10, con su pasaje en 12 COMPROBADO EN EL PASO 2), y las siete que ya están en 8.4 (n.º 12) solo se nombran. Leído hoy, en local, el lema de dos entradas del Diccionario panhispánico del español jurídico (c9g): «de minimis non curat praetor» y «nullum crimen nulla poena sine lege». Leído el 7-oct, al aprobar, en la misma entrada del diccionario (c9g; hallado por flecos_en_local.py): «Es la síntesis de los tres principios del derecho penal enunciados por Feuerbach: i.- la imposición de una pena exige una ley penal previa (nulla poena sine lege)»: Feuerbach entra en H.10 (02.00-17.5); la fecha, 1801, y Beccaria, siguen sin leer. Hallado al escribir (sin errata para el 07): - 02.00-15.4 (la Littera Florentina, «escrita entre 533 y 555» y «conservada desde 1406»): la criba la dio por «sin cifras ni citas que comprobar», pero lleva tres fechas sin fila en el registro (lección 34): no entra. - 02.00-17.5 y 19.8: el diccionario no recoge «nulla poena sine lege» ni «de minimis non curat lex», sino «nullum crimen nulla poena sine lege» y «de minimis non curat praetor» (c9g, leídos hoy): van así, con la forma de la pieza dicha al lado. - Las erratas de las máximas (11, aprobadas en el paso 2 y en el 07) van en su versión correcta: 16.2, 16.6, 17.1, 17.10, 17.16, 18.11, 18.15, 19.4, 19.8, 19.11 y 20.10. No entra: - Cuatro máximas sin fuente leída (flecos del paso 2): «fraus omnia corrumpit» (18.7; el diccionario bloquea las descargas), «excusatio non petita, accusatio manifesta» (18.13), «error iuris non inducit malam fidem» (18.14) y «nunc pro tunc» (19.7). - Las atribuciones que no se han leído: Locke y la fecha de Cicerón (16.1); los humanistas del siglo XVI (16.2); Feuerbach y Beccaria (17.5); Edward Coke, salvo como lo cita la Britannica (17.6); que sea «romana» (17.11); Inocencio IV y la persona ficta (20.2); Tomás de Aquino (19.10); el Código de Justiniano 8.17.3 y el Liber Sextus (20.1); el Diccionario del Latín Jurídico de Nicoliello y Cabanellas, que la pieza cita y no se han leído; la STS 3465/2025 (19.4). - 02.00-15.1, «veinticinco siglos de derecho»: sin fila; va sin la cifra. - Los comentarios de la pieza que remiten a otras piezas («El Expediente de la Extracción», «el Catálogo») o que afirman sin fuente (17.17: que el derecho laboral la «ha matizado mucho»; 20.6: la responsabilidad penal de las personas jurídicas en «muchas jurisdicciones»). - Del glosario único: los recuentos del barrido, los «por qué», las preguntas y las investigaciones largas (3.4, 5.3, 5.4.1, 5.4.2, 9.2 y 9.2.1), que están en sus capítulos; aquí, la definición y la remisión. Conceptos que usa, ya anclados: todos los que define,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r>
        <w:t>[glosario único, secciones 0 y 1 a 9; 00.0-10.1]</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r>
        <w:t>[glosario único 1.1 a 1.4]</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r>
        <w:t>[glosario único 2.1 a 2.3]</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r>
        <w:t>[glosario único 3.1 a 3.6; 00.0-10.6 y 10.9]</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r>
        <w:t>[glosario único 4.1 a 4.8 y 5.4.1; 00.0-10.3 y 10.4]</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t xml:space="preserve"> (Mt 7:16)</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r>
        <w:t>[glosario único 5.1 a 5.8]</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r>
        <w:t>[glosario único 6.1 a 6.4; 00.0-10.8]</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r>
        <w:t>[glosario único 7.1 a 7.3; 00.0-10.10]</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r>
        <w:t>[glosario único 8.1 a 8.14; 00.0-10.14 y 10.16]</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r>
        <w:t>[glosario único 9.1 a 9.3]</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t xml:space="preserve"> [original: «Ollis salus populi suprema lex esto»]</w:t>
      </w:r>
      <w:r>
        <w:t xml:space="preserve"> (Cicerón, De legibus III, 8)</w:t>
      </w:r>
      <w:r>
        <w:t>.</w:t>
      </w:r>
    </w:p>
    <w:p>
      <w:pPr>
        <w:pStyle w:val="ListBullet"/>
      </w:pPr>
      <w:r>
        <w:rPr>
          <w:i/>
        </w:rPr>
        <w:t>Necessitas non habet legem</w:t>
      </w:r>
      <w:r>
        <w:t xml:space="preserve"> («la necesidad no tiene ley, sino que ella misma se hace su ley»)</w:t>
      </w:r>
      <w:r>
        <w:t xml:space="preserve"> [original: «necessitas non habet legem, sed ipsa sibi facit legem»]</w:t>
      </w:r>
      <w:r>
        <w:t xml:space="preserve"> (Decreto de Graciano)</w:t>
      </w:r>
      <w:r>
        <w:t>.</w:t>
      </w:r>
    </w:p>
    <w:p>
      <w:pPr>
        <w:pStyle w:val="ListBullet"/>
      </w:pPr>
      <w:r>
        <w:rPr>
          <w:i/>
        </w:rPr>
        <w:t>Quod ad ius naturale attinet, omnes homines aequales sunt</w:t>
      </w:r>
      <w:r>
        <w:t xml:space="preserve"> («en lo que atañe al derecho natural, todos los hombres son iguales»)</w:t>
      </w:r>
      <w:r>
        <w:t xml:space="preserve"> (Diccionario panhispánico del español jurídico; Ulpiano, Digesto 50, 17, 32)</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t xml:space="preserve"> (Pomponio, Digesto 50, 17, 206)</w:t>
      </w:r>
      <w:r>
        <w:t>.</w:t>
      </w:r>
    </w:p>
    <w:p>
      <w:pPr>
        <w:pStyle w:val="ListBullet"/>
      </w:pPr>
      <w:r>
        <w:rPr>
          <w:i/>
        </w:rPr>
        <w:t>Summum ius, summa iniuria</w:t>
      </w:r>
      <w:r>
        <w:t xml:space="preserve"> («excesivo derecho, excesiva injusticia»)</w:t>
      </w:r>
      <w:r>
        <w:t xml:space="preserve"> (Diccionario panhispánico del español jurídico; Cicerón, De officiis I, 33)</w:t>
      </w:r>
      <w:r>
        <w:t>.</w:t>
      </w:r>
    </w:p>
    <w:p>
      <w:pPr>
        <w:pStyle w:val="ListBullet"/>
      </w:pPr>
      <w:r>
        <w:rPr>
          <w:i/>
        </w:rPr>
        <w:t>Honeste vivere, alterum non laedere, suum cuique tribuere</w:t>
      </w:r>
      <w:r>
        <w:t xml:space="preserve"> («vivir honestamente, no dañar a otro, dar a cada uno lo suyo»): los preceptos del derecho</w:t>
      </w:r>
      <w:r>
        <w:t xml:space="preserve"> [original: «Iuris praecepta sunt haec: honeste vivere, alterum non laedere, suum cuique tribuere»]</w:t>
      </w:r>
      <w:r>
        <w:t xml:space="preserve"> (Instituciones de Justiniano 1, 1, 3)</w:t>
      </w:r>
      <w:r>
        <w:t>.</w:t>
      </w:r>
    </w:p>
    <w:p>
      <w:pPr>
        <w:pStyle w:val="ListBullet"/>
      </w:pPr>
      <w:r>
        <w:rPr>
          <w:i/>
        </w:rPr>
        <w:t>Ius est ars boni et aequi</w:t>
      </w:r>
      <w:r>
        <w:t xml:space="preserve"> («el derecho es el arte de lo bueno y lo equitativo»), la definición de Celso con que se abre el Digesto</w:t>
      </w:r>
      <w:r>
        <w:t xml:space="preserve"> (Digesto 1, 1, 1 pr.; Ulpiano cita a Celso)</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t xml:space="preserve"> [original: «nil igitur fieri de nilo posse fatendumst»]</w:t>
      </w:r>
      <w:r>
        <w:t xml:space="preserve"> (Lucrecio, De rerum natura I, 205)</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t xml:space="preserve"> [original: «Secundum naturam est commoda cuiusque rei eum sequi, quem sequentur incommoda»]</w:t>
      </w:r>
      <w:r>
        <w:t xml:space="preserve"> (Paulo, Digesto 50, 17, 10)</w:t>
      </w:r>
      <w:r>
        <w:t>.</w:t>
      </w:r>
    </w:p>
    <w:p>
      <w:pPr>
        <w:pStyle w:val="Heading3"/>
      </w:pPr>
      <w:r>
        <w:t>Debido proceso y protección de la persona</w:t>
      </w:r>
    </w:p>
    <w:p>
      <w:pPr>
        <w:pStyle w:val="ListBullet"/>
      </w:pPr>
      <w:r>
        <w:rPr>
          <w:i/>
        </w:rPr>
        <w:t>In dubio pro reo</w:t>
      </w:r>
      <w:r>
        <w:t xml:space="preserve"> («en caso de duda, a favor del reo»)</w:t>
      </w:r>
      <w:r>
        <w:t xml:space="preserve"> (Diccionario panhispánico del español jurídico)</w:t>
      </w:r>
      <w:r>
        <w:t>. Con esas palabras no está en el Digesto; el diccionario la relaciona con Gayo: se debe favorecer más a los reos que a los actores</w:t>
      </w:r>
      <w:r>
        <w:t xml:space="preserve"> [original: «favorabiliores rei potius quam actores habentur»]</w:t>
      </w:r>
      <w:r>
        <w:t xml:space="preserve"> (Gayo, Digesto 50, 17, 125)</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t xml:space="preserve"> (Diccionario panhispánico del español jurídico; la traducción, de la edición)</w:t>
      </w:r>
      <w:r>
        <w:t>.</w:t>
      </w:r>
    </w:p>
    <w:p>
      <w:pPr>
        <w:pStyle w:val="ListBullet"/>
      </w:pPr>
      <w:r>
        <w:rPr>
          <w:i/>
        </w:rPr>
        <w:t>Audi alteram partem</w:t>
      </w:r>
      <w:r>
        <w:t xml:space="preserve"> («óigase a la otra parte»), entre las reglas de la justicia</w:t>
      </w:r>
      <w:r>
        <w:t xml:space="preserve"> (Encyclopaedia Britannica, 1911)</w:t>
      </w:r>
      <w:r>
        <w:t>. Su raíz romana, con otras palabras: quien decide algo sin oír a la otra parte, aunque decida lo justo, no fue justo</w:t>
      </w:r>
      <w:r>
        <w:t xml:space="preserve"> [original: «Qui statuit aliquid parte inaudita altera, aequum licet statuerit, haud aequus fuit»]</w:t>
      </w:r>
      <w:r>
        <w:t xml:space="preserve"> (Séneca, Medea 199-200)</w:t>
      </w:r>
      <w:r>
        <w:t>.</w:t>
      </w:r>
    </w:p>
    <w:p>
      <w:pPr>
        <w:pStyle w:val="ListBullet"/>
      </w:pPr>
      <w:r>
        <w:rPr>
          <w:i/>
        </w:rPr>
        <w:t>Nullum crimen nulla poena sine lege</w:t>
      </w:r>
      <w:r>
        <w:t xml:space="preserve"> («no hay delito ni hay pena sin ley»)</w:t>
      </w:r>
      <w:r>
        <w:t xml:space="preserve"> (Diccionario panhispánico del español jurídico)</w:t>
      </w:r>
      <w:r>
        <w:t xml:space="preserve">; la pieza la citaba solo con la pena, </w:t>
      </w:r>
      <w:r>
        <w:rPr>
          <w:i/>
        </w:rPr>
        <w:t>nulla poena sine lege</w:t>
      </w:r>
      <w:r>
        <w:t>, que el diccionario cuenta entre los tres principios del derecho penal que enunció Feuerbach</w:t>
      </w:r>
      <w:r>
        <w:t xml:space="preserve"> (Diccionario panhispánico del español jurídico, «nullum crimen nulla poena sine lege»)</w:t>
      </w:r>
      <w:r>
        <w:t>. El principio está en la Declaración de 1789: nadie puede ser castigado sino en virtud de una ley establecida y promulgada antes del delito</w:t>
      </w:r>
      <w:r>
        <w:t xml:space="preserve"> [original: «nul ne peut être puni qu'en vertu d'une loi établie et promulguée antérieurement au délit»]</w:t>
      </w:r>
      <w:r>
        <w:t xml:space="preserve"> (Declaración de los Derechos del Hombre y del Ciudadano, 1789, art. 8)</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t xml:space="preserve"> [original: «Generali lege decernimus neminem sibi esse iudicem vel ius sibi dicere debere»]</w:t>
      </w:r>
      <w:r>
        <w:t xml:space="preserve"> (Código de Justiniano 3, 5, 1)</w:t>
      </w:r>
      <w:r>
        <w:t xml:space="preserve">; con la forma </w:t>
      </w:r>
      <w:r>
        <w:rPr>
          <w:i/>
        </w:rPr>
        <w:t>nemo debet esse judex in propria sua causa</w:t>
      </w:r>
      <w:r>
        <w:t>, la recoge la Britannica, que cita a Coke</w:t>
      </w:r>
      <w:r>
        <w:t xml:space="preserve"> (Encyclopaedia Britannica, 1911)</w:t>
      </w:r>
      <w:r>
        <w:t>.</w:t>
      </w:r>
    </w:p>
    <w:p>
      <w:pPr>
        <w:pStyle w:val="ListBullet"/>
      </w:pPr>
      <w:r>
        <w:rPr>
          <w:i/>
        </w:rPr>
        <w:t>Non bis in idem</w:t>
      </w:r>
      <w:r>
        <w:t xml:space="preserve"> («no dos veces por lo mismo»)</w:t>
      </w:r>
      <w:r>
        <w:t xml:space="preserve"> (Diccionario panhispánico del español jurídico)</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t xml:space="preserve"> [original: «Nemo inauditus nec summonitus condemnari debet, si non sit contumax»]</w:t>
      </w:r>
      <w:r>
        <w:t xml:space="preserve"> (Halkerston, 1823)</w:t>
      </w:r>
      <w:r>
        <w:t>.</w:t>
      </w:r>
    </w:p>
    <w:p>
      <w:pPr>
        <w:pStyle w:val="ListBullet"/>
      </w:pPr>
      <w:r>
        <w:rPr>
          <w:i/>
        </w:rPr>
        <w:t>Ad impossibilia nemo tenetur</w:t>
      </w:r>
      <w:r>
        <w:t xml:space="preserve"> («nadie está obligado a cosas imposibles»)</w:t>
      </w:r>
      <w:r>
        <w:t xml:space="preserve"> (Diccionario panhispánico del español jurídico)</w:t>
      </w:r>
      <w:r>
        <w:t>. Las palabras de Celso son otras: no hay obligación de cosas imposibles</w:t>
      </w:r>
      <w:r>
        <w:t xml:space="preserve"> [original: «impossibilium nulla obligatio est»]</w:t>
      </w:r>
      <w:r>
        <w:t xml:space="preserve"> (Celso, Digesto 50, 17, 185)</w:t>
      </w:r>
      <w:r>
        <w:t>.</w:t>
      </w:r>
    </w:p>
    <w:p>
      <w:pPr>
        <w:pStyle w:val="ListBullet"/>
      </w:pPr>
      <w:r>
        <w:rPr>
          <w:i/>
        </w:rPr>
        <w:t>Actus me invito factus, non est meus actus</w:t>
      </w:r>
      <w:r>
        <w:t xml:space="preserve"> («el acto hecho por mí contra mi voluntad no es mi acto»)</w:t>
      </w:r>
      <w:r>
        <w:t xml:space="preserve"> [original: «An act done involuntarily on my part, is not my act»]</w:t>
      </w:r>
      <w:r>
        <w:t xml:space="preserve"> (Halkerston, 1823)</w:t>
      </w:r>
      <w:r>
        <w:t>.</w:t>
      </w:r>
    </w:p>
    <w:p>
      <w:pPr>
        <w:pStyle w:val="ListBullet"/>
      </w:pPr>
      <w:r>
        <w:rPr>
          <w:i/>
        </w:rPr>
        <w:t>Domus sua cuique est tutissimum refugium</w:t>
      </w:r>
      <w:r>
        <w:t xml:space="preserve"> («la casa de cada uno es su refugio más seguro»), de Edward Coke</w:t>
      </w:r>
      <w:r>
        <w:t xml:space="preserve"> (Tribunal Supremo de los Estados Unidos, Payton c. Nueva York, nota 44; fuente secundaria)</w:t>
      </w:r>
      <w:r>
        <w:t>. Hoy, el domicilio es inviolable</w:t>
      </w:r>
      <w:r>
        <w:t xml:space="preserve"> (Constitución, art. 18.2)</w:t>
      </w:r>
      <w:r>
        <w:t>.</w:t>
      </w:r>
    </w:p>
    <w:p>
      <w:pPr>
        <w:pStyle w:val="ListBullet"/>
      </w:pPr>
      <w:r>
        <w:rPr>
          <w:i/>
        </w:rPr>
        <w:t>Iudices sententiae suae rationes adducant</w:t>
      </w:r>
      <w:r>
        <w:t xml:space="preserve"> («que los jueces den las razones de su sentencia»), un aforismo de Francis Bacon sobre los tribunales de equidad</w:t>
      </w:r>
      <w:r>
        <w:t xml:space="preserve"> (Francis Bacon, De iustitia universali, aforismo 38)</w:t>
      </w:r>
      <w:r>
        <w:t>. Hoy, las sentencias serán siempre motivadas</w:t>
      </w:r>
      <w:r>
        <w:t xml:space="preserve"> (Constitución, art. 120.3)</w:t>
      </w:r>
      <w:r>
        <w:t>.</w:t>
      </w:r>
    </w:p>
    <w:p>
      <w:pPr>
        <w:pStyle w:val="ListBullet"/>
      </w:pPr>
      <w:r>
        <w:rPr>
          <w:i/>
        </w:rPr>
        <w:t>In dubio pro operario</w:t>
      </w:r>
      <w:r>
        <w:t xml:space="preserve"> («en caso de duda, a favor del trabajador»)</w:t>
      </w:r>
      <w:r>
        <w:t xml:space="preserve"> (Diccionario panhispánico del español jurídico)</w:t>
      </w:r>
      <w:r>
        <w:t>.</w:t>
      </w:r>
    </w:p>
    <w:p>
      <w:pPr>
        <w:pStyle w:val="ListBullet"/>
      </w:pPr>
      <w:r>
        <w:rPr>
          <w:i/>
        </w:rPr>
        <w:t>Testis unus, testis nullus</w:t>
      </w:r>
      <w:r>
        <w:t xml:space="preserve"> («un testigo solo, testigo nulo»). La regla está en el derecho de la Iglesia: que ningún juez admita con facilidad el testimonio de uno solo</w:t>
      </w:r>
      <w:r>
        <w:t xml:space="preserve"> [original: «Unius uero testimonium nemo iudicum in quacumque causa facile patiatur admitti»]</w:t>
      </w:r>
      <w:r>
        <w:t xml:space="preserve"> (Decreto de Graciano)</w:t>
      </w:r>
      <w:r>
        <w:t>.</w:t>
      </w:r>
    </w:p>
    <w:p>
      <w:pPr>
        <w:pStyle w:val="ListBullet"/>
      </w:pPr>
      <w:r>
        <w:rPr>
          <w:i/>
        </w:rPr>
        <w:t>Fiat iustitia et ruat caelum</w:t>
      </w:r>
      <w:r>
        <w:t xml:space="preserve"> («hágase justicia, aunque se hunda el cielo»)</w:t>
      </w:r>
      <w:r>
        <w:t xml:space="preserve"> [original: «Fiat justitia, ruat cœlum. Let justice be done, if the sky should fall»]</w:t>
      </w:r>
      <w:r>
        <w:t xml:space="preserve"> (Halkerston, 1823)</w:t>
      </w:r>
      <w:r>
        <w:t>.</w:t>
      </w:r>
    </w:p>
    <w:p>
      <w:pPr>
        <w:pStyle w:val="Heading3"/>
      </w:pPr>
      <w:r>
        <w:t>Actos propios, consentimiento y buena fe</w:t>
      </w:r>
    </w:p>
    <w:p>
      <w:pPr>
        <w:pStyle w:val="ListBullet"/>
      </w:pPr>
      <w:r>
        <w:rPr>
          <w:i/>
        </w:rPr>
        <w:t>Pacta sunt servanda</w:t>
      </w:r>
      <w:r>
        <w:t xml:space="preserve"> («los pactos deben cumplirse»)</w:t>
      </w:r>
      <w:r>
        <w:t xml:space="preserve"> (Diccionario panhispánico del español jurídico)</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t xml:space="preserve"> (Código Civil, art. 434)</w:t>
      </w:r>
      <w:r>
        <w:t>.</w:t>
      </w:r>
    </w:p>
    <w:p>
      <w:pPr>
        <w:pStyle w:val="ListBullet"/>
      </w:pPr>
      <w:r>
        <w:rPr>
          <w:i/>
        </w:rPr>
        <w:t>Qui tacet, consentire videtur</w:t>
      </w:r>
      <w:r>
        <w:t xml:space="preserve"> («quien calla, parece consentir»), y su límite en la regla siguiente: el que calla no confiesa, pero tampoco se considera que niegue</w:t>
      </w:r>
      <w:r>
        <w:t xml:space="preserve"> [original: «Is, qui tacet, non fatetur; sed nec utique negare videtur»]</w:t>
      </w:r>
      <w:r>
        <w:t xml:space="preserve"> (Liber Sextus, reglas 43 y 44)</w:t>
      </w:r>
      <w:r>
        <w:t>.</w:t>
      </w:r>
    </w:p>
    <w:p>
      <w:pPr>
        <w:pStyle w:val="ListBullet"/>
      </w:pPr>
      <w:r>
        <w:rPr>
          <w:i/>
        </w:rPr>
        <w:t>Volenti non fit iniuria</w:t>
      </w:r>
      <w:r>
        <w:t xml:space="preserve"> («no se comete injusticia con quien actuó voluntariamente»)</w:t>
      </w:r>
      <w:r>
        <w:t xml:space="preserve"> (Diccionario panhispánico del español jurídico)</w:t>
      </w:r>
      <w:r>
        <w:t>.</w:t>
      </w:r>
    </w:p>
    <w:p>
      <w:pPr>
        <w:pStyle w:val="ListBullet"/>
      </w:pPr>
      <w:r>
        <w:rPr>
          <w:i/>
        </w:rPr>
        <w:t>Venire contra factum proprium non licet</w:t>
      </w:r>
      <w:r>
        <w:t xml:space="preserve"> («no es lícito ir contra los propios actos»): la doctrina de los actos propios, que ya está en las Decretales, con otras palabras</w:t>
      </w:r>
      <w:r>
        <w:t xml:space="preserve"> [original: «contra factum proprium temere veniendo»]</w:t>
      </w:r>
      <w:r>
        <w:t xml:space="preserve"> (Decretales, ed. Friedberg, t. 2)</w:t>
      </w:r>
      <w:r>
        <w:t>.</w:t>
      </w:r>
    </w:p>
    <w:p>
      <w:pPr>
        <w:pStyle w:val="ListBullet"/>
      </w:pPr>
      <w:r>
        <w:rPr>
          <w:i/>
        </w:rPr>
        <w:t>Nemo auditur propriam turpitudinem allegans</w:t>
      </w:r>
      <w:r>
        <w:t xml:space="preserve"> («no se escuche a quien alega su propia torpeza»). Con otras palabras: quien alega su propia torpeza no debe ser oído</w:t>
      </w:r>
      <w:r>
        <w:t xml:space="preserve"> [original: «Allegans suam turpitudinem non est audiendus»]</w:t>
      </w:r>
      <w:r>
        <w:t xml:space="preserve"> (Halkerston, 1823)</w:t>
      </w:r>
      <w:r>
        <w:t>.</w:t>
      </w:r>
    </w:p>
    <w:p>
      <w:pPr>
        <w:pStyle w:val="ListBullet"/>
      </w:pPr>
      <w:r>
        <w:rPr>
          <w:i/>
        </w:rPr>
        <w:t>Quod omnes tangit, ab omnibus approbari debet</w:t>
      </w:r>
      <w:r>
        <w:t xml:space="preserve"> («lo que a todos afecta, por todos debe ser aprobado»)</w:t>
      </w:r>
      <w:r>
        <w:t xml:space="preserve"> [original: «Quod autem omnes uti singulos tangit, ab omnibus approbari debet»]</w:t>
      </w:r>
      <w:r>
        <w:t xml:space="preserve"> (Diccionario panhispánico del español jurídico; regla XXIX de Bonifacio VIII)</w:t>
      </w:r>
      <w:r>
        <w:t>.</w:t>
      </w:r>
    </w:p>
    <w:p>
      <w:pPr>
        <w:pStyle w:val="ListBullet"/>
      </w:pPr>
      <w:r>
        <w:rPr>
          <w:i/>
        </w:rPr>
        <w:t>Ignorantia iuris non excusat</w:t>
      </w:r>
      <w:r>
        <w:t xml:space="preserve"> («la ignorancia del derecho no excusa»)</w:t>
      </w:r>
      <w:r>
        <w:t xml:space="preserve"> (Diccionario panhispánico del español jurídico)</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t xml:space="preserve"> (Diccionario panhispánico del español jurídico; Papiniano, Digesto 22, 6, 7)</w:t>
      </w:r>
      <w:r>
        <w:t>.</w:t>
      </w:r>
    </w:p>
    <w:p>
      <w:pPr>
        <w:pStyle w:val="ListBullet"/>
      </w:pPr>
      <w:r>
        <w:rPr>
          <w:i/>
        </w:rPr>
        <w:t>Nemo ex suo delicto meliorem suam condicionem facere potest</w:t>
      </w:r>
      <w:r>
        <w:t xml:space="preserve"> («nadie puede mejorar su condición por su propio delito»)</w:t>
      </w:r>
      <w:r>
        <w:t xml:space="preserve"> (Ulpiano, Digesto 50, 17, 134, 1)</w:t>
      </w:r>
      <w:r>
        <w:t>.</w:t>
      </w:r>
    </w:p>
    <w:p>
      <w:pPr>
        <w:pStyle w:val="ListBullet"/>
      </w:pPr>
      <w:r>
        <w:rPr>
          <w:i/>
        </w:rPr>
        <w:t>Nemo damnum facit, nisi qui id fecit, quod facere ius non habet</w:t>
      </w:r>
      <w:r>
        <w:t xml:space="preserve"> («nadie causa daño, sino el que hizo lo que no tenía derecho a hacer»)</w:t>
      </w:r>
      <w:r>
        <w:t xml:space="preserve"> (Paulo, Digesto 50, 17, 151)</w:t>
      </w:r>
      <w:r>
        <w:t>; y no se considera que obra con dolo quien usa de su derecho</w:t>
      </w:r>
      <w:r>
        <w:t xml:space="preserve"> [original: «Nullus videtur dolo facere, qui suo iure utitur»]</w:t>
      </w:r>
      <w:r>
        <w:t xml:space="preserve"> (Gayo, Digesto 50, 17, 55)</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t xml:space="preserve"> (STS 241/2013)</w:t>
      </w:r>
      <w:r>
        <w:t>.</w:t>
      </w:r>
    </w:p>
    <w:p>
      <w:pPr>
        <w:pStyle w:val="ListBullet"/>
      </w:pPr>
      <w:r>
        <w:rPr>
          <w:i/>
        </w:rPr>
        <w:t>Ubi lex non distinguit, nec nos distinguere debemus</w:t>
      </w:r>
      <w:r>
        <w:t xml:space="preserve"> («donde la ley no diferencia, tampoco debemos diferenciar nosotros»). Lo usa el Tribunal Constitucional</w:t>
      </w:r>
      <w:r>
        <w:t xml:space="preserve"> (STC 137/2025)</w:t>
      </w:r>
      <w:r>
        <w:t>.</w:t>
      </w:r>
    </w:p>
    <w:p>
      <w:pPr>
        <w:pStyle w:val="ListBullet"/>
      </w:pPr>
      <w:r>
        <w:rPr>
          <w:i/>
        </w:rPr>
        <w:t>Locus regit actum</w:t>
      </w:r>
      <w:r>
        <w:t xml:space="preserve"> («el lugar rige el acto»)</w:t>
      </w:r>
      <w:r>
        <w:t xml:space="preserve"> [original: «The place governs the act»]</w:t>
      </w:r>
      <w:r>
        <w:t xml:space="preserve"> (Cotterell, 1913, n.º 144)</w:t>
      </w:r>
      <w:r>
        <w:t>: la forma de los actos se rige por la ley del lugar donde se celebran</w:t>
      </w:r>
      <w:r>
        <w:t xml:space="preserve"> (Código Civil, art. 11.1)</w:t>
      </w:r>
      <w:r>
        <w:t>.</w:t>
      </w:r>
    </w:p>
    <w:p>
      <w:pPr>
        <w:pStyle w:val="ListBullet"/>
      </w:pPr>
      <w:r>
        <w:rPr>
          <w:i/>
        </w:rPr>
        <w:t>Ei incumbit probatio qui dicit, non qui negat</w:t>
      </w:r>
      <w:r>
        <w:t xml:space="preserve"> («incumbe la prueba al que afirma, no al que niega»)</w:t>
      </w:r>
      <w:r>
        <w:t xml:space="preserve"> (Paulo, Digesto 22, 3, 2; Diccionario panhispánico del español jurídico)</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t xml:space="preserve"> (STS 241/2013)</w:t>
      </w:r>
      <w:r>
        <w:t>.</w:t>
      </w:r>
    </w:p>
    <w:p>
      <w:pPr>
        <w:pStyle w:val="ListBullet"/>
      </w:pPr>
      <w:r>
        <w:rPr>
          <w:i/>
        </w:rPr>
        <w:t>Res iudicata pro veritate habetur</w:t>
      </w:r>
      <w:r>
        <w:t xml:space="preserve"> («la cosa juzgada se tiene por verdad»)</w:t>
      </w:r>
      <w:r>
        <w:t xml:space="preserve"> (Diccionario panhispánico del español jurídico)</w:t>
      </w:r>
      <w:r>
        <w:t>.</w:t>
      </w:r>
    </w:p>
    <w:p>
      <w:pPr>
        <w:pStyle w:val="ListBullet"/>
      </w:pPr>
      <w:r>
        <w:rPr>
          <w:i/>
        </w:rPr>
        <w:t>De minimis non curat praetor</w:t>
      </w:r>
      <w:r>
        <w:t xml:space="preserve"> («de los asuntos intrascendentes no se ocupa el magistrado»)</w:t>
      </w:r>
      <w:r>
        <w:t xml:space="preserve"> (Diccionario panhispánico del español jurídico)</w:t>
      </w:r>
      <w:r>
        <w:t xml:space="preserve">; se cita también como </w:t>
      </w:r>
      <w:r>
        <w:rPr>
          <w:i/>
        </w:rPr>
        <w:t>de minimis non curat lex</w:t>
      </w:r>
      <w:r>
        <w:t>.</w:t>
      </w:r>
    </w:p>
    <w:p>
      <w:pPr>
        <w:pStyle w:val="ListBullet"/>
      </w:pPr>
      <w:r>
        <w:rPr>
          <w:i/>
        </w:rPr>
        <w:t>Sublata causa, tollitur effectus</w:t>
      </w:r>
      <w:r>
        <w:t xml:space="preserve"> («suprimida la causa, cesa el efecto»)</w:t>
      </w:r>
      <w:r>
        <w:t xml:space="preserve"> (Cotterell, 1913, n.º 258)</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t xml:space="preserve"> [original: «he got up and walked about»]</w:t>
      </w:r>
      <w:r>
        <w:t xml:space="preserve"> (Diógenes Laercio, Vidas VI, 39, trad. de Hicks)</w:t>
      </w:r>
      <w:r>
        <w:t>.</w:t>
      </w:r>
    </w:p>
    <w:p>
      <w:pPr>
        <w:pStyle w:val="Heading3"/>
      </w:pPr>
      <w:r>
        <w:t>Origen y prioridad del derecho</w:t>
      </w:r>
    </w:p>
    <w:p>
      <w:pPr>
        <w:pStyle w:val="ListBullet"/>
      </w:pPr>
      <w:r>
        <w:rPr>
          <w:i/>
        </w:rPr>
        <w:t>Prior tempore, potior iure</w:t>
      </w:r>
      <w:r>
        <w:t xml:space="preserve"> («primero en el tiempo, preferido en el derecho»)</w:t>
      </w:r>
      <w:r>
        <w:t xml:space="preserve"> (Diccionario panhispánico del español jurídico)</w:t>
      </w:r>
      <w:r>
        <w:t>: la prioridad entre derechos iguales sobre una misma cosa, no una regla general de antigüedad.</w:t>
      </w:r>
    </w:p>
    <w:p>
      <w:pPr>
        <w:pStyle w:val="ListBullet"/>
      </w:pPr>
      <w:r>
        <w:rPr>
          <w:i/>
        </w:rPr>
        <w:t>Fictio legis neminem laedit</w:t>
      </w:r>
      <w:r>
        <w:t xml:space="preserve"> («la ficción legal no perjudica a nadie»)</w:t>
      </w:r>
      <w:r>
        <w:t xml:space="preserve"> [original: «Fictio legis neminem lædit. A fiction of law injures no one»]</w:t>
      </w:r>
      <w:r>
        <w:t xml:space="preserve"> (Black's Law Dictionary, 1910; fuente secundaria)</w:t>
      </w:r>
      <w:r>
        <w:t>.</w:t>
      </w:r>
    </w:p>
    <w:p>
      <w:pPr>
        <w:pStyle w:val="ListBullet"/>
      </w:pPr>
      <w:r>
        <w:rPr>
          <w:i/>
        </w:rPr>
        <w:t>Quod initio vitiosum est, non potest tractu temporis convalescere</w:t>
      </w:r>
      <w:r>
        <w:t xml:space="preserve"> («lo que nace viciado no sana con el tiempo»)</w:t>
      </w:r>
      <w:r>
        <w:t xml:space="preserve"> (Paulo, Digesto 50, 17, 29)</w:t>
      </w:r>
      <w:r>
        <w:t>.</w:t>
      </w:r>
    </w:p>
    <w:p>
      <w:pPr>
        <w:pStyle w:val="ListBullet"/>
      </w:pPr>
      <w:r>
        <w:rPr>
          <w:i/>
        </w:rPr>
        <w:t>Nemo plus iuris ad alium transferre potest, quam ipse haberet</w:t>
      </w:r>
      <w:r>
        <w:t xml:space="preserve"> («nadie puede transferir a otro más derecho del que él mismo tiene»)</w:t>
      </w:r>
      <w:r>
        <w:t xml:space="preserve"> (Diccionario panhispánico del español jurídico; Ulpiano, Digesto 50, 17, 54)</w:t>
      </w:r>
      <w:r>
        <w:t xml:space="preserve">; y su forma breve, </w:t>
      </w:r>
      <w:r>
        <w:rPr>
          <w:i/>
        </w:rPr>
        <w:t>nemo dat quod non habet</w:t>
      </w:r>
      <w:r>
        <w:t xml:space="preserve"> («nadie da lo que no tiene»)</w:t>
      </w:r>
      <w:r>
        <w:t xml:space="preserve"> (ídem)</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t xml:space="preserve"> [original: «quid enim municipes dolo facere possunt?»]</w:t>
      </w:r>
      <w:r>
        <w:t xml:space="preserve"> (Ulpiano, Digesto 4, 3, 15, 1)</w:t>
      </w:r>
      <w:r>
        <w:t>.</w:t>
      </w:r>
    </w:p>
    <w:p>
      <w:pPr>
        <w:pStyle w:val="ListBullet"/>
      </w:pPr>
      <w:r>
        <w:rPr>
          <w:i/>
        </w:rPr>
        <w:t>Rebus sic stantibus</w:t>
      </w:r>
      <w:r>
        <w:t xml:space="preserve"> («estando así las cosas»): un pacto obliga mientras se mantengan las circunstancias que lo motivaron</w:t>
      </w:r>
      <w:r>
        <w:t xml:space="preserve"> [original: «At this point of affairs; in these circumstances»]</w:t>
      </w:r>
      <w:r>
        <w:t xml:space="preserve"> (Black's Law Dictionary, 1910; fuente secundaria)</w:t>
      </w:r>
      <w:r>
        <w:t>.</w:t>
      </w:r>
    </w:p>
    <w:p>
      <w:pPr>
        <w:pStyle w:val="ListBullet"/>
      </w:pPr>
      <w:r>
        <w:rPr>
          <w:i/>
        </w:rPr>
        <w:t>Vigilantibus non dormientibus iura subveniunt</w:t>
      </w:r>
      <w:r>
        <w:t xml:space="preserve"> («el derecho protege a los vigilantes, no a los que duermen»)</w:t>
      </w:r>
      <w:r>
        <w:t xml:space="preserve"> (Encyclopaedia Britannica, 1911)</w:t>
      </w:r>
      <w:r>
        <w:t>. Su raíz, en el Digesto: el derecho civil está escrito para los vigilantes</w:t>
      </w:r>
      <w:r>
        <w:t xml:space="preserve"> [original: «ius civile vigilantibus scriptum est»]</w:t>
      </w:r>
      <w:r>
        <w:t xml:space="preserve"> (Digesto 42, 8, 24)</w:t>
      </w:r>
      <w:r>
        <w:t>.</w:t>
      </w:r>
    </w:p>
    <w:p>
      <w:pPr>
        <w:pStyle w:val="ListBullet"/>
      </w:pPr>
      <w:r>
        <w:rPr>
          <w:i/>
        </w:rPr>
        <w:t>Cedant arma togae</w:t>
      </w:r>
      <w:r>
        <w:t xml:space="preserve"> («que las armas cedan ante la toga»): la fuerza, ante el derecho; es un verso del propio Cicerón</w:t>
      </w:r>
      <w:r>
        <w:t xml:space="preserve"> [original: «cedant arma togae, concedat laurea laudi»]</w:t>
      </w:r>
      <w:r>
        <w:t xml:space="preserve"> (Cicerón, De officiis I, 77)</w:t>
      </w:r>
      <w:r>
        <w:t>.</w:t>
      </w:r>
    </w:p>
    <w:p>
      <w:pPr>
        <w:pStyle w:val="ListBullet"/>
      </w:pPr>
      <w:r>
        <w:rPr>
          <w:i/>
        </w:rPr>
        <w:t>Silent enim leges inter arma</w:t>
      </w:r>
      <w:r>
        <w:t xml:space="preserve"> («callan las leyes entre las armas»)</w:t>
      </w:r>
      <w:r>
        <w:t xml:space="preserve"> (Cicerón, Pro Milone 11)</w:t>
      </w:r>
      <w:r>
        <w:t>: el reverso de la anterior, la constatación de que la fuerza a veces se impone al derecho.</w:t>
      </w:r>
    </w:p>
    <w:p>
      <w:r>
        <w:t>[02.00-15.1, 15.3 y 16.1 a 20.10 (16.3, ya en 1.6), cada máxima con su fila del paso 2; las erratas, en su versión correcta (07); 02.00-15.2, ya en el límite honesto del capítulo 1]</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r>
        <w:t>[glosario único, sección 0; 02.00-15.2 y 15.3; paso 2, filas de 02.00-16.1 a 20.10]</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r>
        <w:t>[clasificación de las defensas, aprobada; 11.2]</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r>
        <w:br w:type="page"/>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pPr>
        <w:keepNext/>
      </w:pPr>
      <w:r>
        <w:rPr>
          <w:rFonts w:ascii="Segoe UI" w:hAnsi="Segoe UI" w:eastAsia="Segoe UI" w:cs="Segoe UI"/>
          <w:b/>
          <w:color w:val="6B665E"/>
          <w:sz w:val="20"/>
        </w:rPr>
        <w:t>Notas de trabajo (estado y trazabilidad)</w:t>
      </w:r>
    </w:p>
    <w:p>
      <w:r>
        <w:t>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en «Límite honesto de la prueba», Mc 10:45 sale de la lista de lo que no se leyó: está en la Reina-Valera Antigua en local y dice lo mismo que Mt 20:28 (3.6), que es el que se cita. Ninguna otra palabra cambia. Cambio del 8-oct-2026 (fase de reparación; Kiko: «mantener el criterio de los hadices como segunda mano, y especifica el porqué»): escrito el motivo por el que los hadices van como fuente secundaria. ESTADO: APROBADO por Kiko el 7-oct-2026 («si»). Paso 3. Sin agentes ni descargas. Es el cuarto de los anexos. Plan aprobado por Kiko el 7-oct («te confirmo si»): I.0, cómo cita la obra (remite a 0.3 y al H); I.1 a I.8, las citas del «Anexo de fuentes» de la pieza 00.00 por sus bloques, cada una con su fuente y el apartado donde se usa; lo que ya está explicado en un capítulo, solo nombrado con su remisión; lo de nivel C y lo que no tiene fila, fuera (abajo); sin los números internos («archivo 46»). I.9, la lista de todas las fuentes de la obra por tipo: HECHA en el paso 4 (7-oct), con la obra entera, por herramientas/lista_fuentes_I9.py (688 fuentes; se regenera con --aplicar). Los bloques de la pieza, juntados donde son cortos: el judaísmo con el islam, el hinduismo con el budismo, la prensa libre con el Estado nuevo; el bloque 26 (análisis propio) no es una fuente. Sale de la pieza 00.00, secciones 14 a 26 («Anexo de fuentes»), 99 párrafos, todos de la libreta del J; ninguno de fuera con el sugerido J. Material: herramientas/donde_anexo_J.py (dónde sale ya cada cita: 60 de 99, comprobadas a mano las coincidencias) y la fila de cada cita en el paso 2 (herramientas/paso2_comprobado.tsv, con su pasaje en los índices de c9g, c9h, c9n y c10). Se traslada tal cual, con las erratas en su versión correcta.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una en 16 CIFRAS POR MIRAR, los 100.000 muertos de Ashoka (00.00-22.8): mismo dato que 6.2, se remite. Los demás números son referencias (capítulos, versículos, páginas) y fechas de edición, cada uno en su fila del paso 2: 1881 (Müller, c9h, entrada 52), 1857 y pág. 280 (Pfeiffer, entrada 38), 1929 (Silverio, entrada 37), 1926 y pág. 2 (Ruska, entrada 60). Leído hoy en su original: nada nuevo. Cada cita va con su fila del paso 2; las erratas (30, aprobadas en el paso 2 y en el 07), en la versión que dice la fuente. Hallado al escribir (sin errata nueva para el 07): - Mc 10:45 (00.00-15.27): el 11.6 dice que no se ha leído y usa Mt 20:28 (3.6), ya leído: aquí, igual (12-oct-2026: Mc 10:45, leído después en la Reina-Valera Antigua; dice lo mismo). - Rm 7:24: la Reina-Valera Antigua lo escribe sin signo de apertura («Miserable hombre de mí!»): así se cita. - El Dhammapada 11-12 sigue la traducción de Müller; el pali dice sāra, «lo esencial» (errata del paso 2): van las dos. - Corregido el 7-oct, después de aprobar (flecos_en_local.py, pasada al cerrar el J): el rescripto del emperador de Japón de 1946 (22.3) se daba por no leído, pero está leído en c6b (sección 4: el japonés y la traducción oficial de FRUS) y ya se explica en 6.2, que no dice «Hirohito», sino «el emperador»: en I.6, solo nombrado (lo verificado omitido por error se repone sin pedir permiso). No entra (sin fila en el registro, o sin leer en su fuente): - 00.00-14.1, la frase de la pieza «cada entrada lleva su texto para que se pueda leer sola»: en la edición, lo ya explicado se nombra con su remisión (cada dato completo una sola vez). - Mt 22:39 (15.9; la misma frase está en Lv 19:18 y Gá 5:14), Ez 33:6 (15.33), Mc 10:45 (15.27; leído después, el 12-oct-2026: dice lo mismo que Mt 20:28). - El bitul jasídico (16.2, nivel C) y el fana' sufí (17.9, nivel B/C, sin fuente). - El Kalama Sutta (20.1): sin fila; el Anguttara Nikaya de 3.3 es el 6.45, otro texto. - Jung y el Bardo Thodol (23.3) y Kant y la publicidad (23.5, en la lista de lo que no entra del capítulo 11). - La fecha de la Tabla Esmeralda («historia documentada desde el árabe, s. VI-VIII»): no se comprobó (c9h, entrada 60). - 00.00-26.1, los decretos-leyes derogados entre 2024 y 2026: leídos el 7-oct en el BOE, al menos siete y no tres (cargo 12 de 11.3); la imagen del epiciclo está en 4.4. 00.00-26.2, el origen de «la gran mentira» (1925): sin fila. Los dos son análisis de la pieza, no fuentes. Conceptos que usa, ya anclados: todos,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r>
        <w:t xml:space="preserve">La obra cita textos de muchas tradiciones y de muchas épocas, y cada uno va con su fuente allí donde se usa. Cómo se leen esas citas y sus traducciones se explica en </w:t>
      </w:r>
      <w:r>
        <w:t>0.3</w:t>
      </w:r>
      <w:r>
        <w:t xml:space="preserve">; cómo se hizo la comprobación, en el </w:t>
      </w:r>
      <w:r>
        <w:t>anexo G</w:t>
      </w:r>
      <w:r>
        <w:t>. Este anexo los reúne por bloques, para quien quiera comprobarlos de una vez. Lo que ya está en un capítulo no se repite: se nombra, con su remisión.</w:t>
      </w:r>
    </w:p>
    <w:p>
      <w:r>
        <w:rPr>
          <w:b/>
        </w:rPr>
        <w:t>Cómo se leyó.</w:t>
      </w:r>
      <w:r>
        <w:t xml:space="preserve"> Nada entró sin leerlo en su original o en una traducción reconocida; lo que se leyó en una copia o en una fuente secundaria se marca así. La Biblia va en la Reina-Valera Antigua y el Corán en la traducción de Julio Cortés; las demás traducciones al español son de esta edición, con el texto del que se han hecho al lado (</w:t>
      </w:r>
      <w:r>
        <w:t>0.3</w:t>
      </w:r>
      <w:r>
        <w:t>).</w:t>
      </w:r>
    </w:p>
    <w:p>
      <w:r>
        <w:t>Este anexo dice:</w:t>
      </w:r>
    </w:p>
    <w:p>
      <w:pPr>
        <w:pStyle w:val="ListBullet"/>
      </w:pPr>
      <w:r>
        <w:rPr>
          <w:b/>
        </w:rPr>
        <w:t>I.1</w:t>
      </w:r>
      <w:r>
        <w:t xml:space="preserve"> la Biblia y los autores cristianos;</w:t>
      </w:r>
    </w:p>
    <w:p>
      <w:pPr>
        <w:pStyle w:val="ListBullet"/>
      </w:pPr>
      <w:r>
        <w:rPr>
          <w:b/>
        </w:rPr>
        <w:t>I.2</w:t>
      </w:r>
      <w:r>
        <w:t xml:space="preserve"> el judaísmo y el islam;</w:t>
      </w:r>
    </w:p>
    <w:p>
      <w:pPr>
        <w:pStyle w:val="ListBullet"/>
      </w:pPr>
      <w:r>
        <w:rPr>
          <w:b/>
        </w:rPr>
        <w:t>I.3</w:t>
      </w:r>
      <w:r>
        <w:t xml:space="preserve"> China;</w:t>
      </w:r>
    </w:p>
    <w:p>
      <w:pPr>
        <w:pStyle w:val="ListBullet"/>
      </w:pPr>
      <w:r>
        <w:rPr>
          <w:b/>
        </w:rPr>
        <w:t>I.4</w:t>
      </w:r>
      <w:r>
        <w:t xml:space="preserve"> la India;</w:t>
      </w:r>
    </w:p>
    <w:p>
      <w:pPr>
        <w:pStyle w:val="ListBullet"/>
      </w:pPr>
      <w:r>
        <w:rPr>
          <w:b/>
        </w:rPr>
        <w:t>I.5</w:t>
      </w:r>
      <w:r>
        <w:t xml:space="preserve"> Grecia y Roma;</w:t>
      </w:r>
    </w:p>
    <w:p>
      <w:pPr>
        <w:pStyle w:val="ListBullet"/>
      </w:pPr>
      <w:r>
        <w:rPr>
          <w:b/>
        </w:rPr>
        <w:t>I.6</w:t>
      </w:r>
      <w:r>
        <w:t xml:space="preserve"> la historia del poder;</w:t>
      </w:r>
    </w:p>
    <w:p>
      <w:pPr>
        <w:pStyle w:val="ListBullet"/>
      </w:pPr>
      <w:r>
        <w:rPr>
          <w:b/>
        </w:rPr>
        <w:t>I.7</w:t>
      </w:r>
      <w:r>
        <w:t xml:space="preserve"> los textos modernos;</w:t>
      </w:r>
    </w:p>
    <w:p>
      <w:pPr>
        <w:pStyle w:val="ListBullet"/>
      </w:pPr>
      <w:r>
        <w:rPr>
          <w:b/>
        </w:rPr>
        <w:t>I.8</w:t>
      </w:r>
      <w:r>
        <w:t xml:space="preserve"> las leyes y las sentencias;</w:t>
      </w:r>
    </w:p>
    <w:p>
      <w:pPr>
        <w:pStyle w:val="ListBullet"/>
      </w:pPr>
      <w:r>
        <w:rPr>
          <w:b/>
        </w:rPr>
        <w:t>I.9</w:t>
      </w:r>
      <w:r>
        <w:t xml:space="preserve"> y la lista de todas las fuentes de la obra.</w:t>
      </w:r>
    </w:p>
    <w:p>
      <w:r>
        <w:t>[00.00, sección 14 («Anexo de fuentes»); 0.3]</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r>
        <w:t>Fuente: la Reina-Valera Antigua (biblegateway), salvo donde se dice otra. Nivel A.</w:t>
      </w:r>
    </w:p>
    <w:p>
      <w:pPr>
        <w:pStyle w:val="ListBullet"/>
      </w:pPr>
      <w:r>
        <w:t xml:space="preserve">«Quien tiene oídos para oir, oiga» (Mt 13:9), en </w:t>
      </w:r>
      <w:r>
        <w:t>11.6</w:t>
      </w:r>
      <w:r>
        <w:t>; casi igual en Mt 11:15 y 13:43, Mc 4:9 y 4:23 y Lc 8:8 y 14:35</w:t>
      </w:r>
      <w:r>
        <w:t xml:space="preserve"> (Reina-Valera Antigua)</w:t>
      </w:r>
      <w:r>
        <w:t>.</w:t>
      </w:r>
    </w:p>
    <w:p>
      <w:pPr>
        <w:pStyle w:val="ListBullet"/>
      </w:pPr>
      <w:r>
        <w:t xml:space="preserve">«No juzguéis, para que no seáis juzgados» (Mt 7:1) y «no condenéis» (Lc 6:37), en </w:t>
      </w:r>
      <w:r>
        <w:t>0.5</w:t>
      </w:r>
      <w:r>
        <w:t xml:space="preserve">; «juzgad justo juicio» (Jn 7:24), en </w:t>
      </w:r>
      <w:r>
        <w:t>0.5</w:t>
      </w:r>
      <w:r>
        <w:t xml:space="preserve"> y </w:t>
      </w:r>
      <w:r>
        <w:t>5.2</w:t>
      </w:r>
      <w:r>
        <w:t>.</w:t>
      </w:r>
    </w:p>
    <w:p>
      <w:pPr>
        <w:pStyle w:val="ListBullet"/>
      </w:pPr>
      <w:r>
        <w:t xml:space="preserve">«Por sus frutos los conoceréis» (Mt 7:16), la fórmula de la obra, en </w:t>
      </w:r>
      <w:r>
        <w:t>0.5</w:t>
      </w:r>
      <w:r>
        <w:t xml:space="preserve">; el buen árbol y el maleado (Mt 7:17), en </w:t>
      </w:r>
      <w:r>
        <w:t>2.5</w:t>
      </w:r>
      <w:r>
        <w:t>. Y lo mismo en otro lugar: «por el fruto es conocido el árbol»</w:t>
      </w:r>
      <w:r>
        <w:t xml:space="preserve"> (Mt 12:33)</w:t>
      </w:r>
      <w:r>
        <w:t>.</w:t>
      </w:r>
    </w:p>
    <w:p>
      <w:pPr>
        <w:pStyle w:val="ListBullet"/>
      </w:pPr>
      <w:r>
        <w:t xml:space="preserve">La cizaña y el trigo (Mt 13:29-30), en </w:t>
      </w:r>
      <w:r>
        <w:t>9.1</w:t>
      </w:r>
      <w:r>
        <w:t xml:space="preserve"> y </w:t>
      </w:r>
      <w:r>
        <w:t>10.3</w:t>
      </w:r>
      <w:r>
        <w:t xml:space="preserve">; y no pagar mal por mal (Rm 12:17-21), en </w:t>
      </w:r>
      <w:r>
        <w:t>10.3</w:t>
      </w:r>
      <w:r>
        <w:t>.</w:t>
      </w:r>
    </w:p>
    <w:p>
      <w:pPr>
        <w:pStyle w:val="ListBullet"/>
      </w:pPr>
      <w:r>
        <w:t xml:space="preserve">Hacerse como niños (Mt 18:3-4), «Ninguno es bueno sino uno» (Mt 19:17), «no hago el bien que quiero» (Rm 7:19), Jer 17:10 y Job 42:5-6, en </w:t>
      </w:r>
      <w:r>
        <w:t>2.5</w:t>
      </w:r>
      <w:r>
        <w:t>. Y el lamento que sigue al de Pablo: «Miserable hombre de mí! ¿quién me librará del cuerpo de esta muerte?»</w:t>
      </w:r>
      <w:r>
        <w:t xml:space="preserve"> (Rm 7:24)</w:t>
      </w:r>
      <w:r>
        <w:t>.</w:t>
      </w:r>
    </w:p>
    <w:p>
      <w:pPr>
        <w:pStyle w:val="ListBullet"/>
      </w:pPr>
      <w:r>
        <w:t xml:space="preserve">«amarás á tu prójimo como á ti mismo» (Lv 19:18) y «La caridad no hace mal al prójimo» (Rm 13:10), en </w:t>
      </w:r>
      <w:r>
        <w:t>0.5</w:t>
      </w:r>
      <w:r>
        <w:t>. Pablo lo resume: «toda la ley en aquesta sola palabra se cumple: Amarás á tu prójimo como á ti mismo»</w:t>
      </w:r>
      <w:r>
        <w:t xml:space="preserve"> (Gá 5:14)</w:t>
      </w:r>
      <w:r>
        <w:t>; y a quien corrige al que cae le pide hacerlo «considerándote á ti mismo, porque tú no seas también tentado»</w:t>
      </w:r>
      <w:r>
        <w:t xml:space="preserve"> (Gá 6:1)</w:t>
      </w:r>
      <w:r>
        <w:t>.</w:t>
      </w:r>
    </w:p>
    <w:p>
      <w:pPr>
        <w:pStyle w:val="ListBullet"/>
      </w:pPr>
      <w:r>
        <w:t>La regla de oro: «Y como queréis que os hagan los hombres, así hacedles también vosotros»</w:t>
      </w:r>
      <w:r>
        <w:t xml:space="preserve"> (Lc 6:31)</w:t>
      </w:r>
      <w:r>
        <w:t>; y en Mateo: «todas las cosas que quisierais que los hombres hiciesen con vosotros, así también haced vosotros con ellos; porque esta es la ley y los profetas»</w:t>
      </w:r>
      <w:r>
        <w:t xml:space="preserve"> (Mt 7:12)</w:t>
      </w:r>
      <w:r>
        <w:t>.</w:t>
      </w:r>
    </w:p>
    <w:p>
      <w:pPr>
        <w:pStyle w:val="ListBullet"/>
      </w:pPr>
      <w:r>
        <w:t>A quien invita a los que no pueden devolverle la invitación: «porque no te pueden retribuir; mas te será recompensado en la resurrección de los justos»</w:t>
      </w:r>
      <w:r>
        <w:t xml:space="preserve"> (Lc 14:14)</w:t>
      </w:r>
      <w:r>
        <w:t>.</w:t>
      </w:r>
    </w:p>
    <w:p>
      <w:pPr>
        <w:pStyle w:val="ListBullet"/>
      </w:pPr>
      <w:r>
        <w:t>La parábola del fariseo y el publicano, dicha «á unos que confiaban de sí como justos, y menospreciaban á los otros»</w:t>
      </w:r>
      <w:r>
        <w:t xml:space="preserve"> (Lc 18:9)</w:t>
      </w:r>
      <w:r>
        <w:t>, acaba así: «cualquiera que se ensalza, será humillado; y el que se humilla, será ensalzado»</w:t>
      </w:r>
      <w:r>
        <w:t xml:space="preserve"> (Lc 18:14)</w:t>
      </w:r>
      <w:r>
        <w:t>.</w:t>
      </w:r>
    </w:p>
    <w:p>
      <w:pPr>
        <w:pStyle w:val="ListBullet"/>
      </w:pPr>
      <w:r>
        <w:t>Hacerse pequeño: «A él conviene crecer, mas á mí menguar»</w:t>
      </w:r>
      <w:r>
        <w:t xml:space="preserve"> (Jn 3:30)</w:t>
      </w:r>
      <w:r>
        <w:t>; «vivo, no ya yo, mas vive Cristo en mí»</w:t>
      </w:r>
      <w:r>
        <w:t xml:space="preserve"> (Gá 2:20)</w:t>
      </w:r>
      <w:r>
        <w:t>; Abraham, que habla a Dios «aunque soy polvo y ceniza»</w:t>
      </w:r>
      <w:r>
        <w:t xml:space="preserve"> (Gn 18:27)</w:t>
      </w:r>
      <w:r>
        <w:t>; Moisés: «¿Quién soy yo, para que vaya á Faraón, y saque de Egipto á los hijos de Israel?»</w:t>
      </w:r>
      <w:r>
        <w:t xml:space="preserve"> (Ex 3:11)</w:t>
      </w:r>
      <w:r>
        <w:t>; y Moisés y Aarón ante las quejas del pueblo: «nosotros, ¿qué somos, para que vosotros murmuréis contra nosotros?»</w:t>
      </w:r>
      <w:r>
        <w:t xml:space="preserve"> (Ex 16:7)</w:t>
      </w:r>
      <w:r>
        <w:t>.</w:t>
      </w:r>
    </w:p>
    <w:p>
      <w:pPr>
        <w:pStyle w:val="ListBullet"/>
      </w:pPr>
      <w:r>
        <w:t xml:space="preserve">«la verdad os libertará» (Jn 8:31-32) y el padre de la mentira (Jn 8:44), en </w:t>
      </w:r>
      <w:r>
        <w:t>4.4</w:t>
      </w:r>
      <w:r>
        <w:t xml:space="preserve">; «Mi reino no es de este mundo» (Jn 18:36), en </w:t>
      </w:r>
      <w:r>
        <w:t>6.2</w:t>
      </w:r>
      <w:r>
        <w:t>.</w:t>
      </w:r>
    </w:p>
    <w:p>
      <w:pPr>
        <w:pStyle w:val="ListBullet"/>
      </w:pPr>
      <w:r>
        <w:t xml:space="preserve">«Despiértate, tú que duermes» (Ef 5:14), en </w:t>
      </w:r>
      <w:r>
        <w:t>11.6</w:t>
      </w:r>
      <w:r>
        <w:t>.</w:t>
      </w:r>
    </w:p>
    <w:p>
      <w:pPr>
        <w:pStyle w:val="ListBullet"/>
      </w:pPr>
      <w:r>
        <w:t>La fe y las obras: «muéstrame tu fe sin tus obras, y yo te mostraré mi fe por mis obras»</w:t>
      </w:r>
      <w:r>
        <w:t xml:space="preserve"> (Stg 2:18)</w:t>
      </w:r>
      <w:r>
        <w:t xml:space="preserve">; y el pecado de quien sabe hacer lo bueno y no lo hace (Stg 4:17), en </w:t>
      </w:r>
      <w:r>
        <w:t>10.1</w:t>
      </w:r>
      <w:r>
        <w:t xml:space="preserve"> y </w:t>
      </w:r>
      <w:r>
        <w:t>11.6</w:t>
      </w:r>
      <w:r>
        <w:t>.</w:t>
      </w:r>
    </w:p>
    <w:p>
      <w:pPr>
        <w:pStyle w:val="ListBullet"/>
      </w:pPr>
      <w:r>
        <w:t xml:space="preserve">El Hijo del hombre, que no vino a ser servido sino a servir (Mt 20:28), en </w:t>
      </w:r>
      <w:r>
        <w:t>3.6</w:t>
      </w:r>
      <w:r>
        <w:t>.</w:t>
      </w:r>
    </w:p>
    <w:p>
      <w:pPr>
        <w:pStyle w:val="ListBullet"/>
      </w:pPr>
      <w:r>
        <w:t>«La ciencia hincha, mas la caridad edifica»</w:t>
      </w:r>
      <w:r>
        <w:t xml:space="preserve"> (1 Co 8:1)</w:t>
      </w:r>
      <w:r>
        <w:t>.</w:t>
      </w:r>
    </w:p>
    <w:p>
      <w:pPr>
        <w:pStyle w:val="ListBullet"/>
      </w:pPr>
      <w:r>
        <w:t>«No te pondrás contra la sangre de tu prójimo»</w:t>
      </w:r>
      <w:r>
        <w:t xml:space="preserve"> (Lv 19:16)</w:t>
      </w:r>
      <w:r>
        <w:t>. El hebreo dice, palabra por palabra, «no estarás sobre la sangre de tu prójimo»</w:t>
      </w:r>
      <w:r>
        <w:t xml:space="preserve"> [original: «לֹ֥א תַעֲמֹ֖ד עַל־דַּ֣ם רֵעֶ֑ךָ»]</w:t>
      </w:r>
      <w:r>
        <w:t>.</w:t>
      </w:r>
    </w:p>
    <w:p>
      <w:pPr>
        <w:pStyle w:val="ListBullet"/>
      </w:pPr>
      <w:r>
        <w:t>«Decid al justo que le irá bien: porque comerá de los frutos de sus manos»</w:t>
      </w:r>
      <w:r>
        <w:t xml:space="preserve"> (Is 3:10)</w:t>
      </w:r>
      <w:r>
        <w:t>; donde el hebreo dice «el fruto de sus obras»</w:t>
      </w:r>
      <w:r>
        <w:t xml:space="preserve"> [original: «כִּֽי־פְרִ֥י מַעַלְלֵיהֶ֖ם יֹאכֵֽלוּ»]</w:t>
      </w:r>
      <w:r>
        <w:t>.</w:t>
      </w:r>
    </w:p>
    <w:p>
      <w:pPr>
        <w:pStyle w:val="ListBullet"/>
      </w:pPr>
      <w:r>
        <w:t>«Y andaré en anchura, Porque busqué tus mandamientos»</w:t>
      </w:r>
      <w:r>
        <w:t xml:space="preserve"> (Sal 119:45)</w:t>
      </w:r>
      <w:r>
        <w:t>; la revisión de 1960 dice «Y andaré en libertad»</w:t>
      </w:r>
      <w:r>
        <w:t xml:space="preserve"> (Sal 119:45, Reina-Valera 1960)</w:t>
      </w:r>
      <w:r>
        <w:t>.</w:t>
      </w:r>
    </w:p>
    <w:p>
      <w:pPr>
        <w:pStyle w:val="ListBullet"/>
      </w:pPr>
      <w:r>
        <w:t xml:space="preserve">Agustín: los hijos del diablo lo son por imitarlo, no por nacer de él, en </w:t>
      </w:r>
      <w:r>
        <w:t>11.2</w:t>
      </w:r>
      <w:r>
        <w:t>.</w:t>
      </w:r>
    </w:p>
    <w:p>
      <w:pPr>
        <w:pStyle w:val="ListBullet"/>
      </w:pPr>
      <w:r>
        <w:t>San Juan de la Cruz: «Para venir a serlo todo, / no quieras ser algo en nada», y «para venir del todo al todo, / has de negarte del todo en todo»</w:t>
      </w:r>
      <w:r>
        <w:t xml:space="preserve"> (San Juan de la Cruz, Subida del Monte Carmelo, libro I, cap. 13, §§ 11 y 12, ed. P. Silverio de Santa Teresa, Burgos, 1929)</w:t>
      </w:r>
      <w:r>
        <w:t>.</w:t>
      </w:r>
    </w:p>
    <w:p>
      <w:pPr>
        <w:pStyle w:val="ListBullet"/>
      </w:pPr>
      <w:r>
        <w:t>Meister Eckhart: «Es un hombre pobre el que nada quiere, nada sabe y nada tiene»</w:t>
      </w:r>
      <w:r>
        <w:t xml:space="preserve"> [original: «Daz ist ein armer mensche, der niht enwil und niht enweiz unde niht enhât»]</w:t>
      </w:r>
      <w:r>
        <w:t xml:space="preserve"> (Meister Eckhart, sermón «Beati pauperes spiritu», n.º LXXXVII en la edición de F. Pfeiffer, Leipzig, 1857, pág. 280)</w:t>
      </w:r>
      <w:r>
        <w:t>.</w:t>
      </w:r>
    </w:p>
    <w:p>
      <w:r>
        <w:t>[00.00, sección 15 («Cristianismo / Biblia hebrea y cristiana»); cada cita, con su fila del paso 2 (c9g, entradas 8 a 10; c9h, 16 a 40; c9n; c10), y las erratas en su versión correcta]</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ListBullet"/>
      </w:pPr>
      <w:r>
        <w:t xml:space="preserve">«¿Quién es sabio? El que aprende de toda persona» (Pirkei Avot 4:1, de Ben Zoma), en </w:t>
      </w:r>
      <w:r>
        <w:t>2.5</w:t>
      </w:r>
      <w:r>
        <w:t>.</w:t>
      </w:r>
    </w:p>
    <w:p>
      <w:pPr>
        <w:pStyle w:val="ListBullet"/>
      </w:pPr>
      <w:r>
        <w:t xml:space="preserve">«Nadie se humilla ante Dios sin que Dios lo eleve» (Sahih Muslim 2588), en </w:t>
      </w:r>
      <w:r>
        <w:t>2.5</w:t>
      </w:r>
      <w:r>
        <w:t>, como fuente secundaria.</w:t>
      </w:r>
    </w:p>
    <w:p>
      <w:pPr>
        <w:pStyle w:val="ListBullet"/>
      </w:pPr>
      <w:r>
        <w:t>El bien que el Corán manda y el mal que prohíbe: «Alá prescribe la justicia, la beneficencia y la liberalidad con los parientes. Prohíbe la deshonestidad, lo reprobable y la opresión»</w:t>
      </w:r>
      <w:r>
        <w:t xml:space="preserve"> (Corán 16:90, traducción de Julio Cortés)</w:t>
      </w:r>
      <w:r>
        <w:t>.</w:t>
      </w:r>
    </w:p>
    <w:p>
      <w:pPr>
        <w:pStyle w:val="ListBullet"/>
      </w:pPr>
      <w:r>
        <w:t xml:space="preserve">La verdad que deshace lo falso: Corán 17:81, en </w:t>
      </w:r>
      <w:r>
        <w:t>4.4</w:t>
      </w:r>
      <w:r>
        <w:t>; y «lanzamos la Verdad contra lo falso, lo invalida... y éste se disipa»</w:t>
      </w:r>
      <w:r>
        <w:t xml:space="preserve"> (Corán 21:18, traducción de Julio Cortés)</w:t>
      </w:r>
      <w:r>
        <w:t>.</w:t>
      </w:r>
    </w:p>
    <w:p>
      <w:pPr>
        <w:pStyle w:val="ListBullet"/>
      </w:pPr>
      <w:r>
        <w:t xml:space="preserve">El enviado que no se hace dios: «Yo soy sólo un mortal como vosotros» (Corán 18:110), en </w:t>
      </w:r>
      <w:r>
        <w:t>6.2</w:t>
      </w:r>
      <w:r>
        <w:t>.</w:t>
      </w:r>
    </w:p>
    <w:p>
      <w:pPr>
        <w:pStyle w:val="ListBullet"/>
      </w:pPr>
      <w:r>
        <w:t>Lo que permanece: «Todo aquél que está sobre ella es perecedero. Pero subsiste tu Señor, el Majestuoso y Honorable»</w:t>
      </w:r>
      <w:r>
        <w:t xml:space="preserve"> (Corán 55:26-27, traducción de Julio Cortés)</w:t>
      </w:r>
      <w:r>
        <w:t>; el árabe dice «el rostro de tu Señor»</w:t>
      </w:r>
      <w:r>
        <w:t xml:space="preserve"> [original: «وَيَبْقَىٰ وَجْهُ رَبِّكَ»]</w:t>
      </w:r>
      <w:r>
        <w:t>. Y «¡Todo perece, salvo Él!»</w:t>
      </w:r>
      <w:r>
        <w:t xml:space="preserve"> (Corán 28:88, traducción de Julio Cortés)</w:t>
      </w:r>
      <w:r>
        <w:t>, donde el árabe dice «salvo Su rostro»</w:t>
      </w:r>
      <w:r>
        <w:t xml:space="preserve"> [original: «كُلُّ شَىْءٍ هَالِكٌ إِلَّا وَجْهَهُۥ»]</w:t>
      </w:r>
      <w:r>
        <w:t>.</w:t>
      </w:r>
    </w:p>
    <w:p>
      <w:pPr>
        <w:pStyle w:val="ListBullet"/>
      </w:pPr>
      <w:r>
        <w:t>Nada se pierde: «Quien haya hecho el peso de un átomo de bien, lo verá. Y quien haya hecho el peso de un átomo de mal, lo verá»</w:t>
      </w:r>
      <w:r>
        <w:t xml:space="preserve"> (Corán 99:7-8, traducción de Julio Cortés)</w:t>
      </w:r>
      <w:r>
        <w:t>.</w:t>
      </w:r>
    </w:p>
    <w:p>
      <w:r>
        <w:t>[00.00, secciones 16 («Judaísmo») y 17 («Islam»); c9g, entradas 11 a 16, y c9h, entradas 41 y 42]</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ListBullet"/>
      </w:pPr>
      <w:r>
        <w:t>«Mira lo que hace, observa por dónde lo hace, examina en qué se queda tranquilo; ¿cómo podría esconderse una persona?»</w:t>
      </w:r>
      <w:r>
        <w:t xml:space="preserve"> [original: «視其所以，觀其所由，察其所安，人焉廋哉！»]</w:t>
      </w:r>
      <w:r>
        <w:t xml:space="preserve"> (Analectas 2.10)</w:t>
      </w:r>
      <w:r>
        <w:t>.</w:t>
      </w:r>
    </w:p>
    <w:p>
      <w:pPr>
        <w:pStyle w:val="ListBullet"/>
      </w:pPr>
      <w:r>
        <w:t>«Al principio, mi manera con los hombres era oír sus palabras y darles crédito en su conducta. Ahora mi manera es oír sus palabras y mirar su conducta»</w:t>
      </w:r>
      <w:r>
        <w:t xml:space="preserve"> [original: «At first, my way with men was to hear their words, and give them credit for their conduct. Now my way is to hear their words, and look at their conduct.»]</w:t>
      </w:r>
      <w:r>
        <w:t xml:space="preserve"> (Analectas 5.10, en la traducción inglesa de James Legge, libro V, cap. IX)</w:t>
      </w:r>
      <w:r>
        <w:t>.</w:t>
      </w:r>
    </w:p>
    <w:p>
      <w:pPr>
        <w:pStyle w:val="ListBullet"/>
      </w:pPr>
      <w:r>
        <w:t>A la pregunta de si hay una palabra que sirva de regla para toda la vida: «¿No es RECIPROCIDAD esa palabra? Lo que no quieras que te hagan a ti, no lo hagas a otros»</w:t>
      </w:r>
      <w:r>
        <w:t xml:space="preserve"> [original: «Is not RECIPROCITY such a word? What you do not want done to yourself, do not do to others.»]</w:t>
      </w:r>
      <w:r>
        <w:t xml:space="preserve"> (Analectas 15.24, en la traducción inglesa de Legge, libro XV, cap. XXIII)</w:t>
      </w:r>
      <w:r>
        <w:t>.</w:t>
      </w:r>
    </w:p>
    <w:p>
      <w:pPr>
        <w:pStyle w:val="ListBullet"/>
      </w:pPr>
      <w:r>
        <w:t xml:space="preserve">Saber que no se sabe (Analectas 2.17 y Daodejing 71) y el debate de Mencio y Xunzi sobre si la naturaleza humana nace buena o mala, en </w:t>
      </w:r>
      <w:r>
        <w:t>2.5</w:t>
      </w:r>
      <w:r>
        <w:t xml:space="preserve">; el camino del cielo, que beneficia y no daña (Daodejing 81), en </w:t>
      </w:r>
      <w:r>
        <w:t>3.6</w:t>
      </w:r>
      <w:r>
        <w:t>.</w:t>
      </w:r>
    </w:p>
    <w:p>
      <w:r>
        <w:t>[00.00, sección 18 («Confucianismo / taoísmo»); c9h, entradas 43 a 47]</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ListBullet"/>
      </w:pPr>
      <w:r>
        <w:t xml:space="preserve">«Solo la verdad vence, no la mentira» (Mundaka Upanishad 3.1.6), en </w:t>
      </w:r>
      <w:r>
        <w:t>4.4</w:t>
      </w:r>
      <w:r>
        <w:t>.</w:t>
      </w:r>
    </w:p>
    <w:p>
      <w:pPr>
        <w:pStyle w:val="ListBullet"/>
      </w:pPr>
      <w:r>
        <w:t>«Quien, abandonando todos los deseos, anda sin anhelo, sin “mío”, sin sentido del yo, ese alcanza la paz»</w:t>
      </w:r>
      <w:r>
        <w:t xml:space="preserve"> [original: «vihāya kāmān yaḥ sarvān pumāṃś carati niḥspṛhaḥ | nirmamo nirahaṃkāraḥ sa śāntim adhigacchati»]</w:t>
      </w:r>
      <w:r>
        <w:t xml:space="preserve"> (Bhagavad Gita 2.71)</w:t>
      </w:r>
      <w:r>
        <w:t>.</w:t>
      </w:r>
    </w:p>
    <w:p>
      <w:pPr>
        <w:pStyle w:val="ListBullet"/>
      </w:pPr>
      <w:r>
        <w:t>«Quien, por comparación consigo mismo, ve igual en todas partes, oh Arjuna, sea placer o sea dolor, ese yogui es tenido por el más alto»</w:t>
      </w:r>
      <w:r>
        <w:t xml:space="preserve"> [original: «ātmaupamyena sarvatra samaṃ paśyati yo 'rjuna | sukhaṃ vā yadi vā duḥkhaṃ sa yogī paramo mataḥ»]</w:t>
      </w:r>
      <w:r>
        <w:t xml:space="preserve"> (Bhagavad Gita 6.32)</w:t>
      </w:r>
      <w:r>
        <w:t>.</w:t>
      </w:r>
    </w:p>
    <w:p>
      <w:pPr>
        <w:pStyle w:val="ListBullet"/>
      </w:pPr>
      <w:r>
        <w:t>«Sin odio a ningún ser, amistoso y compasivo; sin “mío”, sin sentido del yo, igual en dolor y placer, paciente»</w:t>
      </w:r>
      <w:r>
        <w:t xml:space="preserve"> [original: «adveṣṭā sarva-bhūtānāṃ maitraḥ karuṇa eva ca | nirmamo nirahaṃkāraḥ sama-duḥkha-sukhaḥ kṣamī»]</w:t>
      </w:r>
      <w:r>
        <w:t xml:space="preserve"> (Bhagavad Gita 12.13)</w:t>
      </w:r>
      <w:r>
        <w:t>.</w:t>
      </w:r>
    </w:p>
    <w:p>
      <w:pPr>
        <w:pStyle w:val="ListBullet"/>
      </w:pPr>
      <w:r>
        <w:t>El Dhammapada, en la traducción de Max Müller: «Los que imaginan verdad en lo falso y ven lo falso en la verdad nunca llegan a la verdad, sino que siguen deseos vanos. Los que conocen la verdad en la verdad y lo falso en lo falso llegan a la verdad y siguen deseos verdaderos»</w:t>
      </w:r>
      <w:r>
        <w:t xml:space="preserve"> [original: «They who imagine truth in untruth, and see untruth in truth, never arrive at truth, but follow vain desires. They who know truth in truth, and untruth in untruth, arrive at truth, and follow true desires.»]</w:t>
      </w:r>
      <w:r>
        <w:t xml:space="preserve"> (Dhammapada 11-12, en la traducción inglesa de Max Müller, 1881)</w:t>
      </w:r>
      <w:r>
        <w:t xml:space="preserve">. El pali no dice «verdad», sino </w:t>
      </w:r>
      <w:r>
        <w:rPr>
          <w:i/>
        </w:rPr>
        <w:t>sāra</w:t>
      </w:r>
      <w:r>
        <w:t>, «lo esencial»: «tomando lo no esencial por esencial y viendo lo esencial como no esencial, no alcanzan lo esencial»</w:t>
      </w:r>
      <w:r>
        <w:t xml:space="preserve"> [original: «Asāre sāramatino, sāre cāsāradassino; Te sāraṁ nādhigacchanti»]</w:t>
      </w:r>
      <w:r>
        <w:t xml:space="preserve"> (Dhammapada 11, pali y traducción inglesa de Sujato, SuttaCentral)</w:t>
      </w:r>
      <w:r>
        <w:t>.</w:t>
      </w:r>
    </w:p>
    <w:p>
      <w:pPr>
        <w:pStyle w:val="ListBullet"/>
      </w:pPr>
      <w:r>
        <w:t xml:space="preserve">«vence al mentiroso con la verdad» (Dhammapada 223), en </w:t>
      </w:r>
      <w:r>
        <w:t>4.4</w:t>
      </w:r>
      <w:r>
        <w:t xml:space="preserve">; «todos temen la muerte» (Dhammapada 129), en </w:t>
      </w:r>
      <w:r>
        <w:t>1.4</w:t>
      </w:r>
      <w:r>
        <w:t>. Y el verso siguiente: «Todos tiemblan ante el castigo, todos aman la vida; tomándose a uno mismo como medida, que nadie mate ni haga matar»</w:t>
      </w:r>
      <w:r>
        <w:t xml:space="preserve"> [original: «Sabbe tasanti daṇḍassa, sabbesaṁ jīvitaṁ piyaṁ; Attānaṁ upamaṁ katvā, na haneyya na ghātaye.»]</w:t>
      </w:r>
      <w:r>
        <w:t xml:space="preserve"> (Dhammapada 130)</w:t>
      </w:r>
      <w:r>
        <w:t>.</w:t>
      </w:r>
    </w:p>
    <w:p>
      <w:r>
        <w:t>[00.00, secciones 19 («Hinduismo») y 20 («Budismo»); c9h, entradas 48 a 55]</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ListBullet"/>
      </w:pPr>
      <w:r>
        <w:t xml:space="preserve">Sócrates, que no cree saber lo que no sabe (Platón, Apología 21d), y el auriga y sus dos caballos (Fedro 246b), en </w:t>
      </w:r>
      <w:r>
        <w:t>2.5</w:t>
      </w:r>
      <w:r>
        <w:t>.</w:t>
      </w:r>
    </w:p>
    <w:p>
      <w:pPr>
        <w:pStyle w:val="ListBullet"/>
      </w:pPr>
      <w:r>
        <w:t xml:space="preserve">La caverna: el prisionero liberado y obligado a mirar hacia la luz sufre (República VII, 515c), en </w:t>
      </w:r>
      <w:r>
        <w:t>11.6</w:t>
      </w:r>
      <w:r>
        <w:t>.</w:t>
      </w:r>
    </w:p>
    <w:p>
      <w:pPr>
        <w:pStyle w:val="ListBullet"/>
      </w:pPr>
      <w:r>
        <w:t xml:space="preserve">«La insolencia engendra al tirano» (Sófocles, Edipo rey, 873), en </w:t>
      </w:r>
      <w:r>
        <w:t>6.2</w:t>
      </w:r>
      <w:r>
        <w:t>.</w:t>
      </w:r>
    </w:p>
    <w:p>
      <w:pPr>
        <w:pStyle w:val="ListBullet"/>
      </w:pPr>
      <w:r>
        <w:t xml:space="preserve">Augusto, que dice no haber tenido más poder que sus colegas (Res Gestae 34), y Domiciano (Suetonio, Domiciano 13), en </w:t>
      </w:r>
      <w:r>
        <w:t>6.2</w:t>
      </w:r>
      <w:r>
        <w:t>.</w:t>
      </w:r>
    </w:p>
    <w:p>
      <w:pPr>
        <w:pStyle w:val="ListBullet"/>
      </w:pPr>
      <w:r>
        <w:t xml:space="preserve">Marco Aurelio, que aprendió de Rústico que su carácter necesitaba corrección (Meditaciones I, 7), en </w:t>
      </w:r>
      <w:r>
        <w:t>6.2</w:t>
      </w:r>
      <w:r>
        <w:t>.</w:t>
      </w:r>
    </w:p>
    <w:p>
      <w:r>
        <w:t>[00.00, sección 21 («Grecia y Roma»); c9h, entradas 56 a 58]</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ListBullet"/>
      </w:pPr>
      <w:r>
        <w:t xml:space="preserve">El faraón, «Hijo de Ra» desde su coronación, y Ciro en su cilindro, en </w:t>
      </w:r>
      <w:r>
        <w:t>6.2</w:t>
      </w:r>
      <w:r>
        <w:t xml:space="preserve">; el emperador de Japón, que en 1946 declaró por escrito que el vínculo con su pueblo no se basa en la idea de que él sea un dios, también en </w:t>
      </w:r>
      <w:r>
        <w:t>6.2</w:t>
      </w:r>
      <w:r>
        <w:t xml:space="preserve">; el prólogo de Hammurabi, llamado por los dioses a implantar la justicia, en </w:t>
      </w:r>
      <w:r>
        <w:t>3.2</w:t>
      </w:r>
      <w:r>
        <w:t>.</w:t>
      </w:r>
    </w:p>
    <w:p>
      <w:pPr>
        <w:pStyle w:val="ListBullet"/>
      </w:pPr>
      <w:r>
        <w:t xml:space="preserve">La Donación de Constantino, falsa, y el Dictatus Papae de 1075, auténtico, en </w:t>
      </w:r>
      <w:r>
        <w:t>6.2</w:t>
      </w:r>
      <w:r>
        <w:t>.</w:t>
      </w:r>
    </w:p>
    <w:p>
      <w:pPr>
        <w:pStyle w:val="ListBullet"/>
      </w:pPr>
      <w:r>
        <w:t xml:space="preserve">Jacobo VI de Escocia y la monarquía absoluta, en </w:t>
      </w:r>
      <w:r>
        <w:t>6.2</w:t>
      </w:r>
      <w:r>
        <w:t xml:space="preserve">; Hobbes y el Leviatán, en </w:t>
      </w:r>
      <w:r>
        <w:t>6.1</w:t>
      </w:r>
      <w:r>
        <w:t>.</w:t>
      </w:r>
    </w:p>
    <w:p>
      <w:pPr>
        <w:pStyle w:val="ListBullet"/>
      </w:pPr>
      <w:r>
        <w:t xml:space="preserve">Ashoka y su propia guerra, con cien mil muertos, y el Dalai Lama, que en 2011 puso fin a la doble autoridad, espiritual y política, de su institución, en </w:t>
      </w:r>
      <w:r>
        <w:t>6.2</w:t>
      </w:r>
      <w:r>
        <w:t>.</w:t>
      </w:r>
    </w:p>
    <w:p>
      <w:pPr>
        <w:pStyle w:val="ListBullet"/>
      </w:pPr>
      <w:r>
        <w:t xml:space="preserve">Salomón, que pidió «corazón dócil» (1 Re 3:9), y su hijo, que no alivió el yugo, con lo que las tribus del norte se apartaron (1 Re 12), en </w:t>
      </w:r>
      <w:r>
        <w:t>6.2</w:t>
      </w:r>
      <w:r>
        <w:t>.</w:t>
      </w:r>
    </w:p>
    <w:p>
      <w:r>
        <w:t>[00.00, sección 22 («Historia del poder y el Estado»)]</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ListBullet"/>
      </w:pPr>
      <w:r>
        <w:t xml:space="preserve">Solzhenitsyn: la línea que separa el bien del mal pasa por cada corazón humano (Archipiélago Gulag), en </w:t>
      </w:r>
      <w:r>
        <w:t>2.5</w:t>
      </w:r>
      <w:r>
        <w:t>.</w:t>
      </w:r>
    </w:p>
    <w:p>
      <w:pPr>
        <w:pStyle w:val="ListBullet"/>
      </w:pPr>
      <w:r>
        <w:t>Espinosa: el fin del Estado es la libertad (Tratado teológico-político, cap. XX), en 11.3.</w:t>
      </w:r>
    </w:p>
    <w:p>
      <w:pPr>
        <w:pStyle w:val="ListBullet"/>
      </w:pPr>
      <w:r>
        <w:t>La Tabla Esmeralda: «Lo que está abajo es como lo que está arriba, y lo que está arriba es como lo que está abajo»</w:t>
      </w:r>
      <w:r>
        <w:t xml:space="preserve"> [original: «Quod est inferius, est sicut quod est superius, et quod est superius, est sicut quod est inferius»]</w:t>
      </w:r>
      <w:r>
        <w:t xml:space="preserve"> (Tabla Esmeralda, versión latina corriente, en J. Ruska, Tabula Smaragdina, Heidelberg, 1926, pág. 2)</w:t>
      </w:r>
      <w:r>
        <w:t>. Es lo que se resume en «como es arriba, es abajo».</w:t>
      </w:r>
    </w:p>
    <w:p>
      <w:r>
        <w:t>[00.00, sección 23 («Textos modernos no religiosos»); c9h, entradas 59 a 61]</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ListBullet"/>
      </w:pPr>
      <w:r>
        <w:t xml:space="preserve">La libertad de información y la prohibición de la censura previa (Constitución, art. 20.1.d y 20.2), la prensa como «perro guardián» (TEDH, Observer y Guardian c. Reino Unido, 1991) y el Reglamento Europeo sobre la Libertad de los Medios de Comunicación (Reglamento (UE) 2024/1083), en </w:t>
      </w:r>
      <w:r>
        <w:t>10.2</w:t>
      </w:r>
      <w:r>
        <w:t>.</w:t>
      </w:r>
    </w:p>
    <w:p>
      <w:pPr>
        <w:pStyle w:val="ListBullet"/>
      </w:pPr>
      <w:r>
        <w:t>La transparencia (Ley 19/2013), en 10.2 y 10.4; la pensión compatible con el trabajo (Ley General de la Seguridad Social, art. 214), en 10.2.</w:t>
      </w:r>
    </w:p>
    <w:p>
      <w:pPr>
        <w:pStyle w:val="ListBullet"/>
      </w:pPr>
      <w:r>
        <w:t xml:space="preserve">La moneda del euro, competencia de la Unión (Tratado de Funcionamiento de la UE, art. 3.1.c), en 5.1 y 10.2; y Juan de Mariana, en 1609, contra la rebaja de la moneda, en </w:t>
      </w:r>
      <w:r>
        <w:t>8.2</w:t>
      </w:r>
      <w:r>
        <w:t>.</w:t>
      </w:r>
    </w:p>
    <w:p>
      <w:pPr>
        <w:pStyle w:val="ListBullet"/>
      </w:pPr>
      <w:r>
        <w:t xml:space="preserve">El jurado (Ley Orgánica 5/1995, arts. 8 y 13) y la asamblea de ciudadanos de Irlanda, en </w:t>
      </w:r>
      <w:r>
        <w:t>10.2</w:t>
      </w:r>
      <w:r>
        <w:t>.</w:t>
      </w:r>
    </w:p>
    <w:p>
      <w:r>
        <w:t>[00.00, secciones 24 («Prensa libre») y 25 («El Estado nuevo»); c9c, entradas 72 y 73; c9d, entrada 70; paso 2 bis]</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r>
        <w:t>Cada fuente sale una sola vez, con los apartados donde la obra la usa; los números en negrita llevan a su sitio. Lo que dice cada fuente, y con qué peso se usa, está en su apartado: aquí solo se dice dónde. Hay 728 fuentes distintas.</w:t>
      </w:r>
    </w:p>
    <w:p>
      <w:r>
        <w:rPr>
          <w:b/>
        </w:rPr>
        <w:t>La Constitución, las leyes y las normas de España</w:t>
      </w:r>
      <w:r>
        <w:t xml:space="preserve"> (149 fuentes)</w:t>
      </w:r>
    </w:p>
    <w:p>
      <w:pPr>
        <w:pStyle w:val="ListBullet"/>
      </w:pPr>
      <w:r>
        <w:t xml:space="preserve">Boletín Oficial del Estado (BOE): </w:t>
      </w:r>
      <w:r>
        <w:rPr>
          <w:b/>
        </w:rPr>
        <w:t>7.2</w:t>
      </w:r>
      <w:r>
        <w:t xml:space="preserve">, </w:t>
      </w:r>
      <w:r>
        <w:rPr>
          <w:b/>
        </w:rPr>
        <w:t>8.3</w:t>
      </w:r>
      <w:r>
        <w:t xml:space="preserve">, </w:t>
      </w:r>
      <w:r>
        <w:rPr>
          <w:b/>
        </w:rPr>
        <w:t>8.7</w:t>
      </w:r>
      <w:r>
        <w:t xml:space="preserve">, </w:t>
      </w:r>
      <w:r>
        <w:rPr>
          <w:b/>
        </w:rPr>
        <w:t>11.3</w:t>
      </w:r>
      <w:r>
        <w:t xml:space="preserve">, </w:t>
      </w:r>
      <w:r>
        <w:rPr>
          <w:b/>
        </w:rPr>
        <w:t>A.1</w:t>
      </w:r>
      <w:r>
        <w:t xml:space="preserve">, </w:t>
      </w:r>
      <w:r>
        <w:rPr>
          <w:b/>
        </w:rPr>
        <w:t>A.2</w:t>
      </w:r>
      <w:r>
        <w:t xml:space="preserve">, </w:t>
      </w:r>
      <w:r>
        <w:rPr>
          <w:b/>
        </w:rPr>
        <w:t>A.3</w:t>
      </w:r>
      <w:r>
        <w:t xml:space="preserve">, </w:t>
      </w:r>
      <w:r>
        <w:rPr>
          <w:b/>
        </w:rPr>
        <w:t>A.4</w:t>
      </w:r>
      <w:r>
        <w:t xml:space="preserve">, </w:t>
      </w:r>
      <w:r>
        <w:rPr>
          <w:b/>
        </w:rPr>
        <w:t>A.5</w:t>
      </w:r>
      <w:r>
        <w:t xml:space="preserve">, </w:t>
      </w:r>
      <w:r>
        <w:rPr>
          <w:b/>
        </w:rPr>
        <w:t>A.8</w:t>
      </w:r>
      <w:r>
        <w:t xml:space="preserve">, </w:t>
      </w:r>
      <w:r>
        <w:rPr>
          <w:b/>
        </w:rPr>
        <w:t>A.10</w:t>
      </w:r>
      <w:r>
        <w:t xml:space="preserve">, </w:t>
      </w:r>
      <w:r>
        <w:rPr>
          <w:b/>
        </w:rPr>
        <w:t>A.11</w:t>
      </w:r>
      <w:r>
        <w:t>.</w:t>
      </w:r>
    </w:p>
    <w:p>
      <w:pPr>
        <w:pStyle w:val="ListBullet"/>
      </w:pPr>
      <w:r>
        <w:t xml:space="preserve">Código Civil: </w:t>
      </w:r>
      <w:r>
        <w:rPr>
          <w:b/>
        </w:rPr>
        <w:t>1.1</w:t>
      </w:r>
      <w:r>
        <w:t xml:space="preserve">, </w:t>
      </w:r>
      <w:r>
        <w:rPr>
          <w:b/>
        </w:rPr>
        <w:t>1.5</w:t>
      </w:r>
      <w:r>
        <w:t xml:space="preserve">, </w:t>
      </w:r>
      <w:r>
        <w:rPr>
          <w:b/>
        </w:rPr>
        <w:t>1.6</w:t>
      </w:r>
      <w:r>
        <w:t xml:space="preserve">, </w:t>
      </w:r>
      <w:r>
        <w:rPr>
          <w:b/>
        </w:rPr>
        <w:t>1.7</w:t>
      </w:r>
      <w:r>
        <w:t xml:space="preserve">, </w:t>
      </w:r>
      <w:r>
        <w:rPr>
          <w:b/>
        </w:rPr>
        <w:t>1.8</w:t>
      </w:r>
      <w:r>
        <w:t xml:space="preserve">, </w:t>
      </w:r>
      <w:r>
        <w:rPr>
          <w:b/>
        </w:rPr>
        <w:t>2.1</w:t>
      </w:r>
      <w:r>
        <w:t xml:space="preserve">, </w:t>
      </w:r>
      <w:r>
        <w:rPr>
          <w:b/>
        </w:rPr>
        <w:t>2.5</w:t>
      </w:r>
      <w:r>
        <w:t xml:space="preserve">, </w:t>
      </w:r>
      <w:r>
        <w:rPr>
          <w:b/>
        </w:rPr>
        <w:t>5.1</w:t>
      </w:r>
      <w:r>
        <w:t xml:space="preserve">, </w:t>
      </w:r>
      <w:r>
        <w:rPr>
          <w:b/>
        </w:rPr>
        <w:t>5.2</w:t>
      </w:r>
      <w:r>
        <w:t xml:space="preserve">, </w:t>
      </w:r>
      <w:r>
        <w:rPr>
          <w:b/>
        </w:rPr>
        <w:t>5.4</w:t>
      </w:r>
      <w:r>
        <w:t xml:space="preserve">, </w:t>
      </w:r>
      <w:r>
        <w:t>capítulo 9</w:t>
      </w:r>
      <w:r>
        <w:t xml:space="preserve">, </w:t>
      </w:r>
      <w:r>
        <w:rPr>
          <w:b/>
        </w:rPr>
        <w:t>9.1</w:t>
      </w:r>
      <w:r>
        <w:t xml:space="preserve">, </w:t>
      </w:r>
      <w:r>
        <w:rPr>
          <w:b/>
        </w:rPr>
        <w:t>10.4</w:t>
      </w:r>
      <w:r>
        <w:t xml:space="preserve">, </w:t>
      </w:r>
      <w:r>
        <w:rPr>
          <w:b/>
        </w:rPr>
        <w:t>10.6</w:t>
      </w:r>
      <w:r>
        <w:t xml:space="preserve">, </w:t>
      </w:r>
      <w:r>
        <w:rPr>
          <w:b/>
        </w:rPr>
        <w:t>10.7</w:t>
      </w:r>
      <w:r>
        <w:t xml:space="preserve">, </w:t>
      </w:r>
      <w:r>
        <w:rPr>
          <w:b/>
        </w:rPr>
        <w:t>11.2</w:t>
      </w:r>
      <w:r>
        <w:t xml:space="preserve">, </w:t>
      </w:r>
      <w:r>
        <w:rPr>
          <w:b/>
        </w:rPr>
        <w:t>11.3</w:t>
      </w:r>
      <w:r>
        <w:t xml:space="preserve">, </w:t>
      </w:r>
      <w:r>
        <w:rPr>
          <w:b/>
        </w:rPr>
        <w:t>A.2</w:t>
      </w:r>
      <w:r>
        <w:t xml:space="preserve">, </w:t>
      </w:r>
      <w:r>
        <w:t>anexo D</w:t>
      </w:r>
      <w:r>
        <w:t xml:space="preserve">, </w:t>
      </w:r>
      <w:r>
        <w:rPr>
          <w:b/>
        </w:rPr>
        <w:t>D.9</w:t>
      </w:r>
      <w:r>
        <w:t xml:space="preserve">, </w:t>
      </w:r>
      <w:r>
        <w:rPr>
          <w:b/>
        </w:rPr>
        <w:t>D.13</w:t>
      </w:r>
      <w:r>
        <w:t xml:space="preserve">, </w:t>
      </w:r>
      <w:r>
        <w:rPr>
          <w:b/>
        </w:rPr>
        <w:t>H.10</w:t>
      </w:r>
      <w:r>
        <w:t>.</w:t>
      </w:r>
    </w:p>
    <w:p>
      <w:pPr>
        <w:pStyle w:val="ListBullet"/>
      </w:pPr>
      <w:r>
        <w:t xml:space="preserve">Código Penal: </w:t>
      </w:r>
      <w:r>
        <w:rPr>
          <w:b/>
        </w:rPr>
        <w:t>2.5</w:t>
      </w:r>
      <w:r>
        <w:t xml:space="preserve">, </w:t>
      </w:r>
      <w:r>
        <w:rPr>
          <w:b/>
        </w:rPr>
        <w:t>2.6</w:t>
      </w:r>
      <w:r>
        <w:t xml:space="preserve">, </w:t>
      </w:r>
      <w:r>
        <w:rPr>
          <w:b/>
        </w:rPr>
        <w:t>3.1</w:t>
      </w:r>
      <w:r>
        <w:t xml:space="preserve">, </w:t>
      </w:r>
      <w:r>
        <w:rPr>
          <w:b/>
        </w:rPr>
        <w:t>7.7</w:t>
      </w:r>
      <w:r>
        <w:t xml:space="preserve">, </w:t>
      </w:r>
      <w:r>
        <w:rPr>
          <w:b/>
        </w:rPr>
        <w:t>8.5</w:t>
      </w:r>
      <w:r>
        <w:t xml:space="preserve">, </w:t>
      </w:r>
      <w:r>
        <w:t>capítulo 9</w:t>
      </w:r>
      <w:r>
        <w:t xml:space="preserve">, </w:t>
      </w:r>
      <w:r>
        <w:rPr>
          <w:b/>
        </w:rPr>
        <w:t>9.1</w:t>
      </w:r>
      <w:r>
        <w:t xml:space="preserve">, </w:t>
      </w:r>
      <w:r>
        <w:rPr>
          <w:b/>
        </w:rPr>
        <w:t>10.4</w:t>
      </w:r>
      <w:r>
        <w:t xml:space="preserve">, </w:t>
      </w:r>
      <w:r>
        <w:rPr>
          <w:b/>
        </w:rPr>
        <w:t>10.7</w:t>
      </w:r>
      <w:r>
        <w:t xml:space="preserve">, </w:t>
      </w:r>
      <w:r>
        <w:rPr>
          <w:b/>
        </w:rPr>
        <w:t>11.2</w:t>
      </w:r>
      <w:r>
        <w:t>.</w:t>
      </w:r>
    </w:p>
    <w:p>
      <w:pPr>
        <w:pStyle w:val="ListBullet"/>
      </w:pPr>
      <w:r>
        <w:t xml:space="preserve">Constitución española: </w:t>
      </w:r>
      <w:r>
        <w:rPr>
          <w:b/>
        </w:rPr>
        <w:t>0.2</w:t>
      </w:r>
      <w:r>
        <w:t xml:space="preserve">, </w:t>
      </w:r>
      <w:r>
        <w:t>capítulo 1</w:t>
      </w:r>
      <w:r>
        <w:t xml:space="preserve">, </w:t>
      </w:r>
      <w:r>
        <w:rPr>
          <w:b/>
        </w:rPr>
        <w:t>1.4</w:t>
      </w:r>
      <w:r>
        <w:t xml:space="preserve">, </w:t>
      </w:r>
      <w:r>
        <w:rPr>
          <w:b/>
        </w:rPr>
        <w:t>1.5</w:t>
      </w:r>
      <w:r>
        <w:t xml:space="preserve">, </w:t>
      </w:r>
      <w:r>
        <w:rPr>
          <w:b/>
        </w:rPr>
        <w:t>1.7</w:t>
      </w:r>
      <w:r>
        <w:t xml:space="preserve">, </w:t>
      </w:r>
      <w:r>
        <w:rPr>
          <w:b/>
        </w:rPr>
        <w:t>1.8</w:t>
      </w:r>
      <w:r>
        <w:t xml:space="preserve">, </w:t>
      </w:r>
      <w:r>
        <w:rPr>
          <w:b/>
        </w:rPr>
        <w:t>1.9</w:t>
      </w:r>
      <w:r>
        <w:t xml:space="preserve">, </w:t>
      </w:r>
      <w:r>
        <w:t>capítulo 2</w:t>
      </w:r>
      <w:r>
        <w:t xml:space="preserve">, </w:t>
      </w:r>
      <w:r>
        <w:rPr>
          <w:b/>
        </w:rPr>
        <w:t>2.2</w:t>
      </w:r>
      <w:r>
        <w:t xml:space="preserve">, </w:t>
      </w:r>
      <w:r>
        <w:rPr>
          <w:b/>
        </w:rPr>
        <w:t>2.3</w:t>
      </w:r>
      <w:r>
        <w:t xml:space="preserve">, </w:t>
      </w:r>
      <w:r>
        <w:rPr>
          <w:b/>
        </w:rPr>
        <w:t>2.4</w:t>
      </w:r>
      <w:r>
        <w:t xml:space="preserve">, </w:t>
      </w:r>
      <w:r>
        <w:rPr>
          <w:b/>
        </w:rPr>
        <w:t>2.6</w:t>
      </w:r>
      <w:r>
        <w:t xml:space="preserve">, </w:t>
      </w:r>
      <w:r>
        <w:rPr>
          <w:b/>
        </w:rPr>
        <w:t>5.1</w:t>
      </w:r>
      <w:r>
        <w:t xml:space="preserve">, </w:t>
      </w:r>
      <w:r>
        <w:rPr>
          <w:b/>
        </w:rPr>
        <w:t>5.2</w:t>
      </w:r>
      <w:r>
        <w:t xml:space="preserve">, </w:t>
      </w:r>
      <w:r>
        <w:rPr>
          <w:b/>
        </w:rPr>
        <w:t>6.4</w:t>
      </w:r>
      <w:r>
        <w:t xml:space="preserve">, </w:t>
      </w:r>
      <w:r>
        <w:rPr>
          <w:b/>
        </w:rPr>
        <w:t>7.2</w:t>
      </w:r>
      <w:r>
        <w:t xml:space="preserve">, </w:t>
      </w:r>
      <w:r>
        <w:rPr>
          <w:b/>
        </w:rPr>
        <w:t>7.3</w:t>
      </w:r>
      <w:r>
        <w:t xml:space="preserve">, </w:t>
      </w:r>
      <w:r>
        <w:rPr>
          <w:b/>
        </w:rPr>
        <w:t>7.6</w:t>
      </w:r>
      <w:r>
        <w:t xml:space="preserve">, </w:t>
      </w:r>
      <w:r>
        <w:rPr>
          <w:b/>
        </w:rPr>
        <w:t>8.1</w:t>
      </w:r>
      <w:r>
        <w:t xml:space="preserve">, </w:t>
      </w:r>
      <w:r>
        <w:rPr>
          <w:b/>
        </w:rPr>
        <w:t>8.5</w:t>
      </w:r>
      <w:r>
        <w:t xml:space="preserve">, </w:t>
      </w:r>
      <w:r>
        <w:t>capítulo 9</w:t>
      </w:r>
      <w:r>
        <w:t xml:space="preserve">, </w:t>
      </w:r>
      <w:r>
        <w:rPr>
          <w:b/>
        </w:rPr>
        <w:t>10.0</w:t>
      </w:r>
      <w:r>
        <w:t xml:space="preserve">, </w:t>
      </w:r>
      <w:r>
        <w:rPr>
          <w:b/>
        </w:rPr>
        <w:t>10.1</w:t>
      </w:r>
      <w:r>
        <w:t xml:space="preserve">, </w:t>
      </w:r>
      <w:r>
        <w:rPr>
          <w:b/>
        </w:rPr>
        <w:t>10.2</w:t>
      </w:r>
      <w:r>
        <w:t xml:space="preserve">, </w:t>
      </w:r>
      <w:r>
        <w:rPr>
          <w:b/>
        </w:rPr>
        <w:t>10.4</w:t>
      </w:r>
      <w:r>
        <w:t xml:space="preserve">, </w:t>
      </w:r>
      <w:r>
        <w:rPr>
          <w:b/>
        </w:rPr>
        <w:t>10.6</w:t>
      </w:r>
      <w:r>
        <w:t xml:space="preserve">, </w:t>
      </w:r>
      <w:r>
        <w:rPr>
          <w:b/>
        </w:rPr>
        <w:t>10.7</w:t>
      </w:r>
      <w:r>
        <w:t xml:space="preserve">, </w:t>
      </w:r>
      <w:r>
        <w:rPr>
          <w:b/>
        </w:rPr>
        <w:t>10.8</w:t>
      </w:r>
      <w:r>
        <w:t xml:space="preserve">, </w:t>
      </w:r>
      <w:r>
        <w:rPr>
          <w:b/>
        </w:rPr>
        <w:t>11.0</w:t>
      </w:r>
      <w:r>
        <w:t xml:space="preserve">, </w:t>
      </w:r>
      <w:r>
        <w:rPr>
          <w:b/>
        </w:rPr>
        <w:t>11.1</w:t>
      </w:r>
      <w:r>
        <w:t xml:space="preserve">, </w:t>
      </w:r>
      <w:r>
        <w:rPr>
          <w:b/>
        </w:rPr>
        <w:t>11.2</w:t>
      </w:r>
      <w:r>
        <w:t xml:space="preserve">, </w:t>
      </w:r>
      <w:r>
        <w:rPr>
          <w:b/>
        </w:rPr>
        <w:t>11.3</w:t>
      </w:r>
      <w:r>
        <w:t xml:space="preserve">, </w:t>
      </w:r>
      <w:r>
        <w:rPr>
          <w:b/>
        </w:rPr>
        <w:t>11.4</w:t>
      </w:r>
      <w:r>
        <w:t xml:space="preserve">, </w:t>
      </w:r>
      <w:r>
        <w:rPr>
          <w:b/>
        </w:rPr>
        <w:t>A.3</w:t>
      </w:r>
      <w:r>
        <w:t xml:space="preserve">, </w:t>
      </w:r>
      <w:r>
        <w:rPr>
          <w:b/>
        </w:rPr>
        <w:t>A.10</w:t>
      </w:r>
      <w:r>
        <w:t xml:space="preserve">, </w:t>
      </w:r>
      <w:r>
        <w:rPr>
          <w:b/>
        </w:rPr>
        <w:t>C.4</w:t>
      </w:r>
      <w:r>
        <w:t xml:space="preserve">, </w:t>
      </w:r>
      <w:r>
        <w:rPr>
          <w:b/>
        </w:rPr>
        <w:t>D.9</w:t>
      </w:r>
      <w:r>
        <w:t xml:space="preserve">, </w:t>
      </w:r>
      <w:r>
        <w:rPr>
          <w:b/>
        </w:rPr>
        <w:t>D.13</w:t>
      </w:r>
      <w:r>
        <w:t xml:space="preserve">, </w:t>
      </w:r>
      <w:r>
        <w:rPr>
          <w:b/>
        </w:rPr>
        <w:t>H.10</w:t>
      </w:r>
      <w:r>
        <w:t xml:space="preserve">, </w:t>
      </w:r>
      <w:r>
        <w:rPr>
          <w:b/>
        </w:rPr>
        <w:t>J.6</w:t>
      </w:r>
      <w:r>
        <w:t>.</w:t>
      </w:r>
    </w:p>
    <w:p>
      <w:pPr>
        <w:pStyle w:val="ListBullet"/>
      </w:pPr>
      <w:r>
        <w:t xml:space="preserve">Decreto 2065/1974: </w:t>
      </w:r>
      <w:r>
        <w:rPr>
          <w:b/>
        </w:rPr>
        <w:t>9.1</w:t>
      </w:r>
      <w:r>
        <w:t>.</w:t>
      </w:r>
    </w:p>
    <w:p>
      <w:pPr>
        <w:pStyle w:val="ListBullet"/>
      </w:pPr>
      <w:r>
        <w:t xml:space="preserve">Decreto 2926/1974: </w:t>
      </w:r>
      <w:r>
        <w:rPr>
          <w:b/>
        </w:rPr>
        <w:t>8.5</w:t>
      </w:r>
      <w:r>
        <w:t>.</w:t>
      </w:r>
    </w:p>
    <w:p>
      <w:pPr>
        <w:pStyle w:val="ListBullet"/>
      </w:pPr>
      <w:r>
        <w:t xml:space="preserve">Decreto 3530/1972: </w:t>
      </w:r>
      <w:r>
        <w:rPr>
          <w:b/>
        </w:rPr>
        <w:t>8.5</w:t>
      </w:r>
      <w:r>
        <w:t>.</w:t>
      </w:r>
    </w:p>
    <w:p>
      <w:pPr>
        <w:pStyle w:val="ListBullet"/>
      </w:pPr>
      <w:r>
        <w:t xml:space="preserve">Decreto 720/1970: </w:t>
      </w:r>
      <w:r>
        <w:rPr>
          <w:b/>
        </w:rPr>
        <w:t>8.3</w:t>
      </w:r>
      <w:r>
        <w:t>.</w:t>
      </w:r>
    </w:p>
    <w:p>
      <w:pPr>
        <w:pStyle w:val="ListBullet"/>
      </w:pPr>
      <w:r>
        <w:t xml:space="preserve">Decreto 73/2006 de la Generalitat Valenciana: </w:t>
      </w:r>
      <w:r>
        <w:rPr>
          <w:b/>
        </w:rPr>
        <w:t>1.5</w:t>
      </w:r>
      <w:r>
        <w:t>.</w:t>
      </w:r>
    </w:p>
    <w:p>
      <w:pPr>
        <w:pStyle w:val="ListBullet"/>
      </w:pPr>
      <w:r>
        <w:t xml:space="preserve">Decreto de las Cortes de Cádiz de 6 de agosto de 1811: </w:t>
      </w:r>
      <w:r>
        <w:rPr>
          <w:b/>
        </w:rPr>
        <w:t>2.2</w:t>
      </w:r>
      <w:r>
        <w:t xml:space="preserve">, </w:t>
      </w:r>
      <w:r>
        <w:rPr>
          <w:b/>
        </w:rPr>
        <w:t>6.3</w:t>
      </w:r>
      <w:r>
        <w:t>.</w:t>
      </w:r>
    </w:p>
    <w:p>
      <w:pPr>
        <w:pStyle w:val="ListBullet"/>
      </w:pPr>
      <w:r>
        <w:t xml:space="preserve">Decreto ley 3/2026 de Canarias: </w:t>
      </w:r>
      <w:r>
        <w:rPr>
          <w:b/>
        </w:rPr>
        <w:t>8.5</w:t>
      </w:r>
      <w:r>
        <w:t>.</w:t>
      </w:r>
    </w:p>
    <w:p>
      <w:pPr>
        <w:pStyle w:val="ListBullet"/>
      </w:pPr>
      <w:r>
        <w:t xml:space="preserve">Estatuto Básico del Empleado Público: </w:t>
      </w:r>
      <w:r>
        <w:rPr>
          <w:b/>
        </w:rPr>
        <w:t>8.6</w:t>
      </w:r>
      <w:r>
        <w:t xml:space="preserve">, </w:t>
      </w:r>
      <w:r>
        <w:rPr>
          <w:b/>
        </w:rPr>
        <w:t>10.2</w:t>
      </w:r>
      <w:r>
        <w:t xml:space="preserve">, </w:t>
      </w:r>
      <w:r>
        <w:rPr>
          <w:b/>
        </w:rPr>
        <w:t>10.4</w:t>
      </w:r>
      <w:r>
        <w:t xml:space="preserve">, </w:t>
      </w:r>
      <w:r>
        <w:rPr>
          <w:b/>
        </w:rPr>
        <w:t>C.0</w:t>
      </w:r>
      <w:r>
        <w:t xml:space="preserve">, </w:t>
      </w:r>
      <w:r>
        <w:rPr>
          <w:b/>
        </w:rPr>
        <w:t>C.4</w:t>
      </w:r>
      <w:r>
        <w:t>.</w:t>
      </w:r>
    </w:p>
    <w:p>
      <w:pPr>
        <w:pStyle w:val="ListBullet"/>
      </w:pPr>
      <w:r>
        <w:t xml:space="preserve">Estatuto de los Trabajadores: </w:t>
      </w:r>
      <w:r>
        <w:rPr>
          <w:b/>
        </w:rPr>
        <w:t>8.6</w:t>
      </w:r>
      <w:r>
        <w:t xml:space="preserve">, </w:t>
      </w:r>
      <w:r>
        <w:rPr>
          <w:b/>
        </w:rPr>
        <w:t>C.4</w:t>
      </w:r>
      <w:r>
        <w:t>.</w:t>
      </w:r>
    </w:p>
    <w:p>
      <w:pPr>
        <w:pStyle w:val="ListBullet"/>
      </w:pPr>
      <w:r>
        <w:t xml:space="preserve">Fuero Nuevo de Navarra: </w:t>
      </w:r>
      <w:r>
        <w:rPr>
          <w:b/>
        </w:rPr>
        <w:t>1.1</w:t>
      </w:r>
      <w:r>
        <w:t>.</w:t>
      </w:r>
    </w:p>
    <w:p>
      <w:pPr>
        <w:pStyle w:val="ListBullet"/>
      </w:pPr>
      <w:r>
        <w:t xml:space="preserve">Ley 74/1980: </w:t>
      </w:r>
      <w:r>
        <w:rPr>
          <w:b/>
        </w:rPr>
        <w:t>C.4</w:t>
      </w:r>
      <w:r>
        <w:t>.</w:t>
      </w:r>
    </w:p>
    <w:p>
      <w:pPr>
        <w:pStyle w:val="ListBullet"/>
      </w:pPr>
      <w:r>
        <w:t xml:space="preserve">Ley 7/1981: </w:t>
      </w:r>
      <w:r>
        <w:rPr>
          <w:b/>
        </w:rPr>
        <w:t>C.4</w:t>
      </w:r>
      <w:r>
        <w:t>.</w:t>
      </w:r>
    </w:p>
    <w:p>
      <w:pPr>
        <w:pStyle w:val="ListBullet"/>
      </w:pPr>
      <w:r>
        <w:t xml:space="preserve">Ley 39/1981: </w:t>
      </w:r>
      <w:r>
        <w:rPr>
          <w:b/>
        </w:rPr>
        <w:t>A.1</w:t>
      </w:r>
      <w:r>
        <w:t>.</w:t>
      </w:r>
    </w:p>
    <w:p>
      <w:pPr>
        <w:pStyle w:val="ListBullet"/>
      </w:pPr>
      <w:r>
        <w:t xml:space="preserve">Ley 7/1985: </w:t>
      </w:r>
      <w:r>
        <w:rPr>
          <w:b/>
        </w:rPr>
        <w:t>C.5</w:t>
      </w:r>
      <w:r>
        <w:t xml:space="preserve">, </w:t>
      </w:r>
      <w:r>
        <w:rPr>
          <w:b/>
        </w:rPr>
        <w:t>D.13</w:t>
      </w:r>
      <w:r>
        <w:t>.</w:t>
      </w:r>
    </w:p>
    <w:p>
      <w:pPr>
        <w:pStyle w:val="ListBullet"/>
      </w:pPr>
      <w:r>
        <w:t xml:space="preserve">Ley 26/1985: </w:t>
      </w:r>
      <w:r>
        <w:rPr>
          <w:b/>
        </w:rPr>
        <w:t>9.1</w:t>
      </w:r>
      <w:r>
        <w:t>.</w:t>
      </w:r>
    </w:p>
    <w:p>
      <w:pPr>
        <w:pStyle w:val="ListBullet"/>
      </w:pPr>
      <w:r>
        <w:t xml:space="preserve">Ley 30/1985: </w:t>
      </w:r>
      <w:r>
        <w:rPr>
          <w:b/>
        </w:rPr>
        <w:t>8.5</w:t>
      </w:r>
      <w:r>
        <w:t>.</w:t>
      </w:r>
    </w:p>
    <w:p>
      <w:pPr>
        <w:pStyle w:val="ListBullet"/>
      </w:pPr>
      <w:r>
        <w:t xml:space="preserve">Ley 9/1988: </w:t>
      </w:r>
      <w:r>
        <w:rPr>
          <w:b/>
        </w:rPr>
        <w:t>A.2</w:t>
      </w:r>
      <w:r>
        <w:t>.</w:t>
      </w:r>
    </w:p>
    <w:p>
      <w:pPr>
        <w:pStyle w:val="ListBullet"/>
      </w:pPr>
      <w:r>
        <w:t xml:space="preserve">Ley 22/1988: </w:t>
      </w:r>
      <w:r>
        <w:rPr>
          <w:b/>
        </w:rPr>
        <w:t>A.8</w:t>
      </w:r>
      <w:r>
        <w:t>.</w:t>
      </w:r>
    </w:p>
    <w:p>
      <w:pPr>
        <w:pStyle w:val="ListBullet"/>
      </w:pPr>
      <w:r>
        <w:t xml:space="preserve">Ley 29/1990: </w:t>
      </w:r>
      <w:r>
        <w:rPr>
          <w:b/>
        </w:rPr>
        <w:t>A.9</w:t>
      </w:r>
      <w:r>
        <w:t>.</w:t>
      </w:r>
    </w:p>
    <w:p>
      <w:pPr>
        <w:pStyle w:val="ListBullet"/>
      </w:pPr>
      <w:r>
        <w:t xml:space="preserve">Ley 31/1991: </w:t>
      </w:r>
      <w:r>
        <w:rPr>
          <w:b/>
        </w:rPr>
        <w:t>8.5</w:t>
      </w:r>
      <w:r>
        <w:t>.</w:t>
      </w:r>
    </w:p>
    <w:p>
      <w:pPr>
        <w:pStyle w:val="ListBullet"/>
      </w:pPr>
      <w:r>
        <w:t xml:space="preserve">Ley 37/1992: </w:t>
      </w:r>
      <w:r>
        <w:rPr>
          <w:b/>
        </w:rPr>
        <w:t>B.4</w:t>
      </w:r>
      <w:r>
        <w:t>.</w:t>
      </w:r>
    </w:p>
    <w:p>
      <w:pPr>
        <w:pStyle w:val="ListBullet"/>
      </w:pPr>
      <w:r>
        <w:t xml:space="preserve">Ley 38/1992: </w:t>
      </w:r>
      <w:r>
        <w:rPr>
          <w:b/>
        </w:rPr>
        <w:t>B.4</w:t>
      </w:r>
      <w:r>
        <w:t>.</w:t>
      </w:r>
    </w:p>
    <w:p>
      <w:pPr>
        <w:pStyle w:val="ListBullet"/>
      </w:pPr>
      <w:r>
        <w:t xml:space="preserve">Ley 41/1994: </w:t>
      </w:r>
      <w:r>
        <w:rPr>
          <w:b/>
        </w:rPr>
        <w:t>8.5</w:t>
      </w:r>
      <w:r>
        <w:t>.</w:t>
      </w:r>
    </w:p>
    <w:p>
      <w:pPr>
        <w:pStyle w:val="ListBullet"/>
      </w:pPr>
      <w:r>
        <w:t xml:space="preserve">Ley 29/1998: </w:t>
      </w:r>
      <w:r>
        <w:rPr>
          <w:b/>
        </w:rPr>
        <w:t>1.6</w:t>
      </w:r>
      <w:r>
        <w:t xml:space="preserve">, </w:t>
      </w:r>
      <w:r>
        <w:rPr>
          <w:b/>
        </w:rPr>
        <w:t>10.4</w:t>
      </w:r>
      <w:r>
        <w:t xml:space="preserve">, </w:t>
      </w:r>
      <w:r>
        <w:rPr>
          <w:b/>
        </w:rPr>
        <w:t>10.8</w:t>
      </w:r>
      <w:r>
        <w:t xml:space="preserve">, </w:t>
      </w:r>
      <w:r>
        <w:rPr>
          <w:b/>
        </w:rPr>
        <w:t>11.2</w:t>
      </w:r>
      <w:r>
        <w:t xml:space="preserve">, </w:t>
      </w:r>
      <w:r>
        <w:rPr>
          <w:b/>
        </w:rPr>
        <w:t>D.5</w:t>
      </w:r>
      <w:r>
        <w:t>.</w:t>
      </w:r>
    </w:p>
    <w:p>
      <w:pPr>
        <w:pStyle w:val="ListBullet"/>
      </w:pPr>
      <w:r>
        <w:t xml:space="preserve">Ley 46/1998: </w:t>
      </w:r>
      <w:r>
        <w:rPr>
          <w:b/>
        </w:rPr>
        <w:t>1.6</w:t>
      </w:r>
      <w:r>
        <w:t xml:space="preserve">, </w:t>
      </w:r>
      <w:r>
        <w:rPr>
          <w:b/>
        </w:rPr>
        <w:t>5.1</w:t>
      </w:r>
      <w:r>
        <w:t xml:space="preserve">, </w:t>
      </w:r>
      <w:r>
        <w:rPr>
          <w:b/>
        </w:rPr>
        <w:t>8.3</w:t>
      </w:r>
      <w:r>
        <w:t xml:space="preserve">, </w:t>
      </w:r>
      <w:r>
        <w:rPr>
          <w:b/>
        </w:rPr>
        <w:t>11.3</w:t>
      </w:r>
      <w:r>
        <w:t>.</w:t>
      </w:r>
    </w:p>
    <w:p>
      <w:pPr>
        <w:pStyle w:val="ListBullet"/>
      </w:pPr>
      <w:r>
        <w:t xml:space="preserve">Ley 17/1999: </w:t>
      </w:r>
      <w:r>
        <w:rPr>
          <w:b/>
        </w:rPr>
        <w:t>7.6</w:t>
      </w:r>
      <w:r>
        <w:t>.</w:t>
      </w:r>
    </w:p>
    <w:p>
      <w:pPr>
        <w:pStyle w:val="ListBullet"/>
      </w:pPr>
      <w:r>
        <w:t xml:space="preserve">Ley 38/1999: </w:t>
      </w:r>
      <w:r>
        <w:rPr>
          <w:b/>
        </w:rPr>
        <w:t>8.4</w:t>
      </w:r>
      <w:r>
        <w:t>.</w:t>
      </w:r>
    </w:p>
    <w:p>
      <w:pPr>
        <w:pStyle w:val="ListBullet"/>
      </w:pPr>
      <w:r>
        <w:t xml:space="preserve">Ley 6/2003: </w:t>
      </w:r>
      <w:r>
        <w:rPr>
          <w:b/>
        </w:rPr>
        <w:t>C.4</w:t>
      </w:r>
      <w:r>
        <w:t>.</w:t>
      </w:r>
    </w:p>
    <w:p>
      <w:pPr>
        <w:pStyle w:val="ListBullet"/>
      </w:pPr>
      <w:r>
        <w:t xml:space="preserve">Ley 60/2003: </w:t>
      </w:r>
      <w:r>
        <w:rPr>
          <w:b/>
        </w:rPr>
        <w:t>11.3</w:t>
      </w:r>
      <w:r>
        <w:t>.</w:t>
      </w:r>
    </w:p>
    <w:p>
      <w:pPr>
        <w:pStyle w:val="ListBullet"/>
      </w:pPr>
      <w:r>
        <w:t xml:space="preserve">Ley 2/2005: </w:t>
      </w:r>
      <w:r>
        <w:rPr>
          <w:b/>
        </w:rPr>
        <w:t>C.4</w:t>
      </w:r>
      <w:r>
        <w:t>.</w:t>
      </w:r>
    </w:p>
    <w:p>
      <w:pPr>
        <w:pStyle w:val="ListBullet"/>
      </w:pPr>
      <w:r>
        <w:t xml:space="preserve">Ley 15/2005: </w:t>
      </w:r>
      <w:r>
        <w:rPr>
          <w:b/>
        </w:rPr>
        <w:t>8.10</w:t>
      </w:r>
      <w:r>
        <w:t>.</w:t>
      </w:r>
    </w:p>
    <w:p>
      <w:pPr>
        <w:pStyle w:val="ListBullet"/>
      </w:pPr>
      <w:r>
        <w:t xml:space="preserve">Ley 35/2006: </w:t>
      </w:r>
      <w:r>
        <w:rPr>
          <w:b/>
        </w:rPr>
        <w:t>5.1</w:t>
      </w:r>
      <w:r>
        <w:t xml:space="preserve">, </w:t>
      </w:r>
      <w:r>
        <w:rPr>
          <w:b/>
        </w:rPr>
        <w:t>8.3</w:t>
      </w:r>
      <w:r>
        <w:t>.</w:t>
      </w:r>
    </w:p>
    <w:p>
      <w:pPr>
        <w:pStyle w:val="ListBullet"/>
      </w:pPr>
      <w:r>
        <w:t xml:space="preserve">Ley 42/2006: </w:t>
      </w:r>
      <w:r>
        <w:rPr>
          <w:b/>
        </w:rPr>
        <w:t>A.2</w:t>
      </w:r>
      <w:r>
        <w:t>.</w:t>
      </w:r>
    </w:p>
    <w:p>
      <w:pPr>
        <w:pStyle w:val="ListBullet"/>
      </w:pPr>
      <w:r>
        <w:t xml:space="preserve">Ley 20/2007: </w:t>
      </w:r>
      <w:r>
        <w:rPr>
          <w:b/>
        </w:rPr>
        <w:t>11.3</w:t>
      </w:r>
      <w:r>
        <w:t>.</w:t>
      </w:r>
    </w:p>
    <w:p>
      <w:pPr>
        <w:pStyle w:val="ListBullet"/>
      </w:pPr>
      <w:r>
        <w:t xml:space="preserve">Ley 22/2009: </w:t>
      </w:r>
      <w:r>
        <w:rPr>
          <w:b/>
        </w:rPr>
        <w:t>7.2</w:t>
      </w:r>
      <w:r>
        <w:t xml:space="preserve">, </w:t>
      </w:r>
      <w:r>
        <w:rPr>
          <w:b/>
        </w:rPr>
        <w:t>A.9</w:t>
      </w:r>
      <w:r>
        <w:t xml:space="preserve">, </w:t>
      </w:r>
      <w:r>
        <w:rPr>
          <w:b/>
        </w:rPr>
        <w:t>C.2</w:t>
      </w:r>
      <w:r>
        <w:t>.</w:t>
      </w:r>
    </w:p>
    <w:p>
      <w:pPr>
        <w:pStyle w:val="ListBullet"/>
      </w:pPr>
      <w:r>
        <w:t xml:space="preserve">Ley 26/2009: </w:t>
      </w:r>
      <w:r>
        <w:rPr>
          <w:b/>
        </w:rPr>
        <w:t>8.5</w:t>
      </w:r>
      <w:r>
        <w:t>.</w:t>
      </w:r>
    </w:p>
    <w:p>
      <w:pPr>
        <w:pStyle w:val="ListBullet"/>
      </w:pPr>
      <w:r>
        <w:t xml:space="preserve">Ley 25/2010: </w:t>
      </w:r>
      <w:r>
        <w:rPr>
          <w:b/>
        </w:rPr>
        <w:t>A.2</w:t>
      </w:r>
      <w:r>
        <w:t>.</w:t>
      </w:r>
    </w:p>
    <w:p>
      <w:pPr>
        <w:pStyle w:val="ListBullet"/>
      </w:pPr>
      <w:r>
        <w:t xml:space="preserve">Ley 9/2011: </w:t>
      </w:r>
      <w:r>
        <w:rPr>
          <w:b/>
        </w:rPr>
        <w:t>C.4</w:t>
      </w:r>
      <w:r>
        <w:t>.</w:t>
      </w:r>
    </w:p>
    <w:p>
      <w:pPr>
        <w:pStyle w:val="ListBullet"/>
      </w:pPr>
      <w:r>
        <w:t xml:space="preserve">Ley 20/2011: </w:t>
      </w:r>
      <w:r>
        <w:rPr>
          <w:b/>
        </w:rPr>
        <w:t>5.4</w:t>
      </w:r>
      <w:r>
        <w:t>.</w:t>
      </w:r>
    </w:p>
    <w:p>
      <w:pPr>
        <w:pStyle w:val="ListBullet"/>
      </w:pPr>
      <w:r>
        <w:t xml:space="preserve">Ley 7/2012: </w:t>
      </w:r>
      <w:r>
        <w:rPr>
          <w:b/>
        </w:rPr>
        <w:t>8.11</w:t>
      </w:r>
      <w:r>
        <w:t>.</w:t>
      </w:r>
    </w:p>
    <w:p>
      <w:pPr>
        <w:pStyle w:val="ListBullet"/>
      </w:pPr>
      <w:r>
        <w:t xml:space="preserve">Ley 19/2013: </w:t>
      </w:r>
      <w:r>
        <w:rPr>
          <w:b/>
        </w:rPr>
        <w:t>5.1</w:t>
      </w:r>
      <w:r>
        <w:t xml:space="preserve">, </w:t>
      </w:r>
      <w:r>
        <w:rPr>
          <w:b/>
        </w:rPr>
        <w:t>8.6</w:t>
      </w:r>
      <w:r>
        <w:t xml:space="preserve">, </w:t>
      </w:r>
      <w:r>
        <w:rPr>
          <w:b/>
        </w:rPr>
        <w:t>10.2</w:t>
      </w:r>
      <w:r>
        <w:t xml:space="preserve">, </w:t>
      </w:r>
      <w:r>
        <w:rPr>
          <w:b/>
        </w:rPr>
        <w:t>10.4</w:t>
      </w:r>
      <w:r>
        <w:t xml:space="preserve">, </w:t>
      </w:r>
      <w:r>
        <w:rPr>
          <w:b/>
        </w:rPr>
        <w:t>11.3</w:t>
      </w:r>
      <w:r>
        <w:t xml:space="preserve">, </w:t>
      </w:r>
      <w:r>
        <w:rPr>
          <w:b/>
        </w:rPr>
        <w:t>C.0</w:t>
      </w:r>
      <w:r>
        <w:t xml:space="preserve">, </w:t>
      </w:r>
      <w:r>
        <w:rPr>
          <w:b/>
        </w:rPr>
        <w:t>D.2</w:t>
      </w:r>
      <w:r>
        <w:t xml:space="preserve">, </w:t>
      </w:r>
      <w:r>
        <w:rPr>
          <w:b/>
        </w:rPr>
        <w:t>D.13</w:t>
      </w:r>
      <w:r>
        <w:t>.</w:t>
      </w:r>
    </w:p>
    <w:p>
      <w:pPr>
        <w:pStyle w:val="ListBullet"/>
      </w:pPr>
      <w:r>
        <w:t xml:space="preserve">Ley 27/2013: </w:t>
      </w:r>
      <w:r>
        <w:rPr>
          <w:b/>
        </w:rPr>
        <w:t>A.9</w:t>
      </w:r>
      <w:r>
        <w:t>.</w:t>
      </w:r>
    </w:p>
    <w:p>
      <w:pPr>
        <w:pStyle w:val="ListBullet"/>
      </w:pPr>
      <w:r>
        <w:t xml:space="preserve">Ley 12/2014: </w:t>
      </w:r>
      <w:r>
        <w:rPr>
          <w:b/>
        </w:rPr>
        <w:t>A.2</w:t>
      </w:r>
      <w:r>
        <w:t>.</w:t>
      </w:r>
    </w:p>
    <w:p>
      <w:pPr>
        <w:pStyle w:val="ListBullet"/>
      </w:pPr>
      <w:r>
        <w:t xml:space="preserve">Ley 27/2014: </w:t>
      </w:r>
      <w:r>
        <w:rPr>
          <w:b/>
        </w:rPr>
        <w:t>8.4</w:t>
      </w:r>
      <w:r>
        <w:t>.</w:t>
      </w:r>
    </w:p>
    <w:p>
      <w:pPr>
        <w:pStyle w:val="ListBullet"/>
      </w:pPr>
      <w:r>
        <w:t xml:space="preserve">Ley 3/2015: </w:t>
      </w:r>
      <w:r>
        <w:rPr>
          <w:b/>
        </w:rPr>
        <w:t>C.0</w:t>
      </w:r>
      <w:r>
        <w:t>.</w:t>
      </w:r>
    </w:p>
    <w:p>
      <w:pPr>
        <w:pStyle w:val="ListBullet"/>
      </w:pPr>
      <w:r>
        <w:t xml:space="preserve">Ley 22/2015: </w:t>
      </w:r>
      <w:r>
        <w:rPr>
          <w:b/>
        </w:rPr>
        <w:t>9.1</w:t>
      </w:r>
      <w:r>
        <w:t>.</w:t>
      </w:r>
    </w:p>
    <w:p>
      <w:pPr>
        <w:pStyle w:val="ListBullet"/>
      </w:pPr>
      <w:r>
        <w:t xml:space="preserve">Ley 39/2015: </w:t>
      </w:r>
      <w:r>
        <w:rPr>
          <w:b/>
        </w:rPr>
        <w:t>1.6</w:t>
      </w:r>
      <w:r>
        <w:t xml:space="preserve">, </w:t>
      </w:r>
      <w:r>
        <w:rPr>
          <w:b/>
        </w:rPr>
        <w:t>5.1</w:t>
      </w:r>
      <w:r>
        <w:t xml:space="preserve">, </w:t>
      </w:r>
      <w:r>
        <w:rPr>
          <w:b/>
        </w:rPr>
        <w:t>5.2</w:t>
      </w:r>
      <w:r>
        <w:t xml:space="preserve">, </w:t>
      </w:r>
      <w:r>
        <w:rPr>
          <w:b/>
        </w:rPr>
        <w:t>7.5</w:t>
      </w:r>
      <w:r>
        <w:t xml:space="preserve">, </w:t>
      </w:r>
      <w:r>
        <w:rPr>
          <w:b/>
        </w:rPr>
        <w:t>7.6</w:t>
      </w:r>
      <w:r>
        <w:t xml:space="preserve">, </w:t>
      </w:r>
      <w:r>
        <w:rPr>
          <w:b/>
        </w:rPr>
        <w:t>8.4</w:t>
      </w:r>
      <w:r>
        <w:t xml:space="preserve">, </w:t>
      </w:r>
      <w:r>
        <w:rPr>
          <w:b/>
        </w:rPr>
        <w:t>8.5</w:t>
      </w:r>
      <w:r>
        <w:t xml:space="preserve">, </w:t>
      </w:r>
      <w:r>
        <w:rPr>
          <w:b/>
        </w:rPr>
        <w:t>10.1</w:t>
      </w:r>
      <w:r>
        <w:t xml:space="preserve">, </w:t>
      </w:r>
      <w:r>
        <w:rPr>
          <w:b/>
        </w:rPr>
        <w:t>10.4</w:t>
      </w:r>
      <w:r>
        <w:t xml:space="preserve">, </w:t>
      </w:r>
      <w:r>
        <w:rPr>
          <w:b/>
        </w:rPr>
        <w:t>10.5</w:t>
      </w:r>
      <w:r>
        <w:t xml:space="preserve">, </w:t>
      </w:r>
      <w:r>
        <w:rPr>
          <w:b/>
        </w:rPr>
        <w:t>10.7</w:t>
      </w:r>
      <w:r>
        <w:t xml:space="preserve">, </w:t>
      </w:r>
      <w:r>
        <w:rPr>
          <w:b/>
        </w:rPr>
        <w:t>11.2</w:t>
      </w:r>
      <w:r>
        <w:t xml:space="preserve">, </w:t>
      </w:r>
      <w:r>
        <w:rPr>
          <w:b/>
        </w:rPr>
        <w:t>11.3</w:t>
      </w:r>
      <w:r>
        <w:t xml:space="preserve">, </w:t>
      </w:r>
      <w:r>
        <w:rPr>
          <w:b/>
        </w:rPr>
        <w:t>D.3</w:t>
      </w:r>
      <w:r>
        <w:t xml:space="preserve">, </w:t>
      </w:r>
      <w:r>
        <w:rPr>
          <w:b/>
        </w:rPr>
        <w:t>D.5</w:t>
      </w:r>
      <w:r>
        <w:t xml:space="preserve">, </w:t>
      </w:r>
      <w:r>
        <w:rPr>
          <w:b/>
        </w:rPr>
        <w:t>D.8</w:t>
      </w:r>
      <w:r>
        <w:t xml:space="preserve">, </w:t>
      </w:r>
      <w:r>
        <w:rPr>
          <w:b/>
        </w:rPr>
        <w:t>D.10</w:t>
      </w:r>
      <w:r>
        <w:t xml:space="preserve">, </w:t>
      </w:r>
      <w:r>
        <w:rPr>
          <w:b/>
        </w:rPr>
        <w:t>D.12</w:t>
      </w:r>
      <w:r>
        <w:t xml:space="preserve">, </w:t>
      </w:r>
      <w:r>
        <w:rPr>
          <w:b/>
        </w:rPr>
        <w:t>D.13</w:t>
      </w:r>
      <w:r>
        <w:t>.</w:t>
      </w:r>
    </w:p>
    <w:p>
      <w:pPr>
        <w:pStyle w:val="ListBullet"/>
      </w:pPr>
      <w:r>
        <w:t xml:space="preserve">Ley 40/2015: </w:t>
      </w:r>
      <w:r>
        <w:rPr>
          <w:b/>
        </w:rPr>
        <w:t>1.7</w:t>
      </w:r>
      <w:r>
        <w:t xml:space="preserve">, </w:t>
      </w:r>
      <w:r>
        <w:rPr>
          <w:b/>
        </w:rPr>
        <w:t>2.1</w:t>
      </w:r>
      <w:r>
        <w:t xml:space="preserve">, </w:t>
      </w:r>
      <w:r>
        <w:rPr>
          <w:b/>
        </w:rPr>
        <w:t>10.4</w:t>
      </w:r>
      <w:r>
        <w:t xml:space="preserve">, </w:t>
      </w:r>
      <w:r>
        <w:rPr>
          <w:b/>
        </w:rPr>
        <w:t>10.6</w:t>
      </w:r>
      <w:r>
        <w:t xml:space="preserve">, </w:t>
      </w:r>
      <w:r>
        <w:rPr>
          <w:b/>
        </w:rPr>
        <w:t>11.2</w:t>
      </w:r>
      <w:r>
        <w:t xml:space="preserve">, </w:t>
      </w:r>
      <w:r>
        <w:rPr>
          <w:b/>
        </w:rPr>
        <w:t>11.3</w:t>
      </w:r>
      <w:r>
        <w:t xml:space="preserve">, </w:t>
      </w:r>
      <w:r>
        <w:rPr>
          <w:b/>
        </w:rPr>
        <w:t>D.12</w:t>
      </w:r>
      <w:r>
        <w:t xml:space="preserve">, </w:t>
      </w:r>
      <w:r>
        <w:rPr>
          <w:b/>
        </w:rPr>
        <w:t>D.13</w:t>
      </w:r>
      <w:r>
        <w:t>.</w:t>
      </w:r>
    </w:p>
    <w:p>
      <w:pPr>
        <w:pStyle w:val="ListBullet"/>
      </w:pPr>
      <w:r>
        <w:t xml:space="preserve">Ley 11/2021: </w:t>
      </w:r>
      <w:r>
        <w:rPr>
          <w:b/>
        </w:rPr>
        <w:t>8.11</w:t>
      </w:r>
      <w:r>
        <w:t>.</w:t>
      </w:r>
    </w:p>
    <w:p>
      <w:pPr>
        <w:pStyle w:val="ListBullet"/>
      </w:pPr>
      <w:r>
        <w:t xml:space="preserve">Ley 20/2021: </w:t>
      </w:r>
      <w:r>
        <w:rPr>
          <w:b/>
        </w:rPr>
        <w:t>A.5</w:t>
      </w:r>
      <w:r>
        <w:t>.</w:t>
      </w:r>
    </w:p>
    <w:p>
      <w:pPr>
        <w:pStyle w:val="ListBullet"/>
      </w:pPr>
      <w:r>
        <w:t xml:space="preserve">Ley 31/2022: </w:t>
      </w:r>
      <w:r>
        <w:rPr>
          <w:b/>
        </w:rPr>
        <w:t>11.3</w:t>
      </w:r>
      <w:r>
        <w:t>.</w:t>
      </w:r>
    </w:p>
    <w:p>
      <w:pPr>
        <w:pStyle w:val="ListBullet"/>
      </w:pPr>
      <w:r>
        <w:t xml:space="preserve">Ley Concursal (texto refundido): </w:t>
      </w:r>
      <w:r>
        <w:rPr>
          <w:b/>
        </w:rPr>
        <w:t>5.1</w:t>
      </w:r>
      <w:r>
        <w:t xml:space="preserve">, </w:t>
      </w:r>
      <w:r>
        <w:rPr>
          <w:b/>
        </w:rPr>
        <w:t>11.3</w:t>
      </w:r>
      <w:r>
        <w:t xml:space="preserve">, </w:t>
      </w:r>
      <w:r>
        <w:rPr>
          <w:b/>
        </w:rPr>
        <w:t>11.4</w:t>
      </w:r>
      <w:r>
        <w:t>.</w:t>
      </w:r>
    </w:p>
    <w:p>
      <w:pPr>
        <w:pStyle w:val="ListBullet"/>
      </w:pPr>
      <w:r>
        <w:t xml:space="preserve">Ley de 16 de diciembre de 1954: </w:t>
      </w:r>
      <w:r>
        <w:rPr>
          <w:b/>
        </w:rPr>
        <w:t>10.6</w:t>
      </w:r>
      <w:r>
        <w:t>.</w:t>
      </w:r>
    </w:p>
    <w:p>
      <w:pPr>
        <w:pStyle w:val="ListBullet"/>
      </w:pPr>
      <w:r>
        <w:t xml:space="preserve">Ley de 22 de marzo de 1873: </w:t>
      </w:r>
      <w:r>
        <w:rPr>
          <w:b/>
        </w:rPr>
        <w:t>3.1</w:t>
      </w:r>
      <w:r>
        <w:t>.</w:t>
      </w:r>
    </w:p>
    <w:p>
      <w:pPr>
        <w:pStyle w:val="ListBullet"/>
      </w:pPr>
      <w:r>
        <w:t xml:space="preserve">Ley de 23 de julio de 1908: </w:t>
      </w:r>
      <w:r>
        <w:rPr>
          <w:b/>
        </w:rPr>
        <w:t>3.3</w:t>
      </w:r>
      <w:r>
        <w:t>.</w:t>
      </w:r>
    </w:p>
    <w:p>
      <w:pPr>
        <w:pStyle w:val="ListBullet"/>
      </w:pPr>
      <w:r>
        <w:t xml:space="preserve">Ley de Amnistía (2024): </w:t>
      </w:r>
      <w:r>
        <w:rPr>
          <w:b/>
        </w:rPr>
        <w:t>A.4</w:t>
      </w:r>
      <w:r>
        <w:t>.</w:t>
      </w:r>
    </w:p>
    <w:p>
      <w:pPr>
        <w:pStyle w:val="ListBullet"/>
      </w:pPr>
      <w:r>
        <w:t xml:space="preserve">Ley de Bases de 11 de mayo de 1888: </w:t>
      </w:r>
      <w:r>
        <w:rPr>
          <w:b/>
        </w:rPr>
        <w:t>1.5</w:t>
      </w:r>
      <w:r>
        <w:t>.</w:t>
      </w:r>
    </w:p>
    <w:p>
      <w:pPr>
        <w:pStyle w:val="ListBullet"/>
      </w:pPr>
      <w:r>
        <w:t xml:space="preserve">Ley de Enjuiciamiento Civil: </w:t>
      </w:r>
      <w:r>
        <w:rPr>
          <w:b/>
        </w:rPr>
        <w:t>0.4</w:t>
      </w:r>
      <w:r>
        <w:t xml:space="preserve">, </w:t>
      </w:r>
      <w:r>
        <w:rPr>
          <w:b/>
        </w:rPr>
        <w:t>5.1</w:t>
      </w:r>
      <w:r>
        <w:t xml:space="preserve">, </w:t>
      </w:r>
      <w:r>
        <w:rPr>
          <w:b/>
        </w:rPr>
        <w:t>7.7</w:t>
      </w:r>
      <w:r>
        <w:t xml:space="preserve">, </w:t>
      </w:r>
      <w:r>
        <w:rPr>
          <w:b/>
        </w:rPr>
        <w:t>9.1</w:t>
      </w:r>
      <w:r>
        <w:t xml:space="preserve">, </w:t>
      </w:r>
      <w:r>
        <w:rPr>
          <w:b/>
        </w:rPr>
        <w:t>10.5</w:t>
      </w:r>
      <w:r>
        <w:t xml:space="preserve">, </w:t>
      </w:r>
      <w:r>
        <w:rPr>
          <w:b/>
        </w:rPr>
        <w:t>10.7</w:t>
      </w:r>
      <w:r>
        <w:t xml:space="preserve">, </w:t>
      </w:r>
      <w:r>
        <w:rPr>
          <w:b/>
        </w:rPr>
        <w:t>11.1</w:t>
      </w:r>
      <w:r>
        <w:t xml:space="preserve">, </w:t>
      </w:r>
      <w:r>
        <w:rPr>
          <w:b/>
        </w:rPr>
        <w:t>11.3</w:t>
      </w:r>
      <w:r>
        <w:t xml:space="preserve">, </w:t>
      </w:r>
      <w:r>
        <w:rPr>
          <w:b/>
        </w:rPr>
        <w:t>D.9</w:t>
      </w:r>
      <w:r>
        <w:t xml:space="preserve">, </w:t>
      </w:r>
      <w:r>
        <w:rPr>
          <w:b/>
        </w:rPr>
        <w:t>D.13</w:t>
      </w:r>
      <w:r>
        <w:t>.</w:t>
      </w:r>
    </w:p>
    <w:p>
      <w:pPr>
        <w:pStyle w:val="ListBullet"/>
      </w:pPr>
      <w:r>
        <w:t xml:space="preserve">Ley de Enjuiciamiento Criminal: </w:t>
      </w:r>
      <w:r>
        <w:rPr>
          <w:b/>
        </w:rPr>
        <w:t>7.7</w:t>
      </w:r>
      <w:r>
        <w:t xml:space="preserve">, </w:t>
      </w:r>
      <w:r>
        <w:rPr>
          <w:b/>
        </w:rPr>
        <w:t>10.7</w:t>
      </w:r>
      <w:r>
        <w:t xml:space="preserve">, </w:t>
      </w:r>
      <w:r>
        <w:rPr>
          <w:b/>
        </w:rPr>
        <w:t>11.1</w:t>
      </w:r>
      <w:r>
        <w:t>.</w:t>
      </w:r>
    </w:p>
    <w:p>
      <w:pPr>
        <w:pStyle w:val="ListBullet"/>
      </w:pPr>
      <w:r>
        <w:t xml:space="preserve">Ley de sindicatos de 8-10-1982: </w:t>
      </w:r>
      <w:r>
        <w:rPr>
          <w:b/>
        </w:rPr>
        <w:t>9.2</w:t>
      </w:r>
      <w:r>
        <w:t>.</w:t>
      </w:r>
    </w:p>
    <w:p>
      <w:pPr>
        <w:pStyle w:val="ListBullet"/>
      </w:pPr>
      <w:r>
        <w:t xml:space="preserve">Ley de Sociedades de Capital: </w:t>
      </w:r>
      <w:r>
        <w:rPr>
          <w:b/>
        </w:rPr>
        <w:t>9.1</w:t>
      </w:r>
      <w:r>
        <w:t>.</w:t>
      </w:r>
    </w:p>
    <w:p>
      <w:pPr>
        <w:pStyle w:val="ListBullet"/>
      </w:pPr>
      <w:r>
        <w:t xml:space="preserve">Ley de Tráfico: </w:t>
      </w:r>
      <w:r>
        <w:rPr>
          <w:b/>
        </w:rPr>
        <w:t>10.5</w:t>
      </w:r>
      <w:r>
        <w:t xml:space="preserve">, </w:t>
      </w:r>
      <w:r>
        <w:rPr>
          <w:b/>
        </w:rPr>
        <w:t>D.3</w:t>
      </w:r>
      <w:r>
        <w:t xml:space="preserve">, </w:t>
      </w:r>
      <w:r>
        <w:rPr>
          <w:b/>
        </w:rPr>
        <w:t>D.13</w:t>
      </w:r>
      <w:r>
        <w:t>.</w:t>
      </w:r>
    </w:p>
    <w:p>
      <w:pPr>
        <w:pStyle w:val="ListBullet"/>
      </w:pPr>
      <w:r>
        <w:t xml:space="preserve">Ley General de la Seguridad Social: </w:t>
      </w:r>
      <w:r>
        <w:rPr>
          <w:b/>
        </w:rPr>
        <w:t>5.1</w:t>
      </w:r>
      <w:r>
        <w:t xml:space="preserve">, </w:t>
      </w:r>
      <w:r>
        <w:rPr>
          <w:b/>
        </w:rPr>
        <w:t>8.4</w:t>
      </w:r>
      <w:r>
        <w:t xml:space="preserve">, </w:t>
      </w:r>
      <w:r>
        <w:rPr>
          <w:b/>
        </w:rPr>
        <w:t>9.1</w:t>
      </w:r>
      <w:r>
        <w:t xml:space="preserve">, </w:t>
      </w:r>
      <w:r>
        <w:rPr>
          <w:b/>
        </w:rPr>
        <w:t>10.2</w:t>
      </w:r>
      <w:r>
        <w:t xml:space="preserve">, </w:t>
      </w:r>
      <w:r>
        <w:rPr>
          <w:b/>
        </w:rPr>
        <w:t>11.3</w:t>
      </w:r>
      <w:r>
        <w:t xml:space="preserve">, </w:t>
      </w:r>
      <w:r>
        <w:rPr>
          <w:b/>
        </w:rPr>
        <w:t>B.2</w:t>
      </w:r>
      <w:r>
        <w:t xml:space="preserve">, </w:t>
      </w:r>
      <w:r>
        <w:rPr>
          <w:b/>
        </w:rPr>
        <w:t>B.3</w:t>
      </w:r>
      <w:r>
        <w:t>.</w:t>
      </w:r>
    </w:p>
    <w:p>
      <w:pPr>
        <w:pStyle w:val="ListBullet"/>
      </w:pPr>
      <w:r>
        <w:t xml:space="preserve">Ley General Tributaria: </w:t>
      </w:r>
      <w:r>
        <w:rPr>
          <w:b/>
        </w:rPr>
        <w:t>5.1</w:t>
      </w:r>
      <w:r>
        <w:t xml:space="preserve">, </w:t>
      </w:r>
      <w:r>
        <w:rPr>
          <w:b/>
        </w:rPr>
        <w:t>7.6</w:t>
      </w:r>
      <w:r>
        <w:t xml:space="preserve">, </w:t>
      </w:r>
      <w:r>
        <w:rPr>
          <w:b/>
        </w:rPr>
        <w:t>10.4</w:t>
      </w:r>
      <w:r>
        <w:t xml:space="preserve">, </w:t>
      </w:r>
      <w:r>
        <w:rPr>
          <w:b/>
        </w:rPr>
        <w:t>10.5</w:t>
      </w:r>
      <w:r>
        <w:t xml:space="preserve">, </w:t>
      </w:r>
      <w:r>
        <w:rPr>
          <w:b/>
        </w:rPr>
        <w:t>11.2</w:t>
      </w:r>
      <w:r>
        <w:t xml:space="preserve">, </w:t>
      </w:r>
      <w:r>
        <w:rPr>
          <w:b/>
        </w:rPr>
        <w:t>11.3</w:t>
      </w:r>
      <w:r>
        <w:t xml:space="preserve">, </w:t>
      </w:r>
      <w:r>
        <w:rPr>
          <w:b/>
        </w:rPr>
        <w:t>D.4</w:t>
      </w:r>
      <w:r>
        <w:t xml:space="preserve">, </w:t>
      </w:r>
      <w:r>
        <w:rPr>
          <w:b/>
        </w:rPr>
        <w:t>D.11</w:t>
      </w:r>
      <w:r>
        <w:t xml:space="preserve">, </w:t>
      </w:r>
      <w:r>
        <w:rPr>
          <w:b/>
        </w:rPr>
        <w:t>D.13</w:t>
      </w:r>
      <w:r>
        <w:t>.</w:t>
      </w:r>
    </w:p>
    <w:p>
      <w:pPr>
        <w:pStyle w:val="ListBullet"/>
      </w:pPr>
      <w:r>
        <w:t xml:space="preserve">Ley Orgánica 9/1960: </w:t>
      </w:r>
      <w:r>
        <w:rPr>
          <w:b/>
        </w:rPr>
        <w:t>A.2</w:t>
      </w:r>
      <w:r>
        <w:t>.</w:t>
      </w:r>
    </w:p>
    <w:p>
      <w:pPr>
        <w:pStyle w:val="ListBullet"/>
      </w:pPr>
      <w:r>
        <w:t xml:space="preserve">Ley Orgánica 2/1979: </w:t>
      </w:r>
      <w:r>
        <w:rPr>
          <w:b/>
        </w:rPr>
        <w:t>6.4</w:t>
      </w:r>
      <w:r>
        <w:t xml:space="preserve">, </w:t>
      </w:r>
      <w:r>
        <w:rPr>
          <w:b/>
        </w:rPr>
        <w:t>11.3</w:t>
      </w:r>
      <w:r>
        <w:t xml:space="preserve">, </w:t>
      </w:r>
      <w:r>
        <w:rPr>
          <w:b/>
        </w:rPr>
        <w:t>A.10</w:t>
      </w:r>
      <w:r>
        <w:t>.</w:t>
      </w:r>
    </w:p>
    <w:p>
      <w:pPr>
        <w:pStyle w:val="ListBullet"/>
      </w:pPr>
      <w:r>
        <w:t xml:space="preserve">Ley Orgánica 3/1980: </w:t>
      </w:r>
      <w:r>
        <w:rPr>
          <w:b/>
        </w:rPr>
        <w:t>C.4</w:t>
      </w:r>
      <w:r>
        <w:t>.</w:t>
      </w:r>
    </w:p>
    <w:p>
      <w:pPr>
        <w:pStyle w:val="ListBullet"/>
      </w:pPr>
      <w:r>
        <w:t xml:space="preserve">Ley Orgánica 12/1980: </w:t>
      </w:r>
      <w:r>
        <w:rPr>
          <w:b/>
        </w:rPr>
        <w:t>A.9</w:t>
      </w:r>
      <w:r>
        <w:t>.</w:t>
      </w:r>
    </w:p>
    <w:p>
      <w:pPr>
        <w:pStyle w:val="ListBullet"/>
      </w:pPr>
      <w:r>
        <w:t xml:space="preserve">Ley Orgánica 3/1981: </w:t>
      </w:r>
      <w:r>
        <w:rPr>
          <w:b/>
        </w:rPr>
        <w:t>7.3</w:t>
      </w:r>
      <w:r>
        <w:t xml:space="preserve">, </w:t>
      </w:r>
      <w:r>
        <w:rPr>
          <w:b/>
        </w:rPr>
        <w:t>10.4</w:t>
      </w:r>
      <w:r>
        <w:t xml:space="preserve">, </w:t>
      </w:r>
      <w:r>
        <w:rPr>
          <w:b/>
        </w:rPr>
        <w:t>D.6</w:t>
      </w:r>
      <w:r>
        <w:t>.</w:t>
      </w:r>
    </w:p>
    <w:p>
      <w:pPr>
        <w:pStyle w:val="ListBullet"/>
      </w:pPr>
      <w:r>
        <w:t xml:space="preserve">Ley Orgánica 4/1981: </w:t>
      </w:r>
      <w:r>
        <w:rPr>
          <w:b/>
        </w:rPr>
        <w:t>8.5</w:t>
      </w:r>
      <w:r>
        <w:t>.</w:t>
      </w:r>
    </w:p>
    <w:p>
      <w:pPr>
        <w:pStyle w:val="ListBullet"/>
      </w:pPr>
      <w:r>
        <w:t xml:space="preserve">Ley Orgánica 2/1982: </w:t>
      </w:r>
      <w:r>
        <w:rPr>
          <w:b/>
        </w:rPr>
        <w:t>6.4</w:t>
      </w:r>
      <w:r>
        <w:t>.</w:t>
      </w:r>
    </w:p>
    <w:p>
      <w:pPr>
        <w:pStyle w:val="ListBullet"/>
      </w:pPr>
      <w:r>
        <w:t xml:space="preserve">Ley Orgánica 3/1984: </w:t>
      </w:r>
      <w:r>
        <w:rPr>
          <w:b/>
        </w:rPr>
        <w:t>6.4</w:t>
      </w:r>
      <w:r>
        <w:t>.</w:t>
      </w:r>
    </w:p>
    <w:p>
      <w:pPr>
        <w:pStyle w:val="ListBullet"/>
      </w:pPr>
      <w:r>
        <w:t xml:space="preserve">Ley Orgánica 2/1986: </w:t>
      </w:r>
      <w:r>
        <w:rPr>
          <w:b/>
        </w:rPr>
        <w:t>10.4</w:t>
      </w:r>
      <w:r>
        <w:t>.</w:t>
      </w:r>
    </w:p>
    <w:p>
      <w:pPr>
        <w:pStyle w:val="ListBullet"/>
      </w:pPr>
      <w:r>
        <w:t xml:space="preserve">Ley Orgánica 1/1995: </w:t>
      </w:r>
      <w:r>
        <w:rPr>
          <w:b/>
        </w:rPr>
        <w:t>A.9</w:t>
      </w:r>
      <w:r>
        <w:t>.</w:t>
      </w:r>
    </w:p>
    <w:p>
      <w:pPr>
        <w:pStyle w:val="ListBullet"/>
      </w:pPr>
      <w:r>
        <w:t xml:space="preserve">Ley Orgánica 5/1995: </w:t>
      </w:r>
      <w:r>
        <w:rPr>
          <w:b/>
        </w:rPr>
        <w:t>10.2</w:t>
      </w:r>
      <w:r>
        <w:t xml:space="preserve">, </w:t>
      </w:r>
      <w:r>
        <w:rPr>
          <w:b/>
        </w:rPr>
        <w:t>11.1</w:t>
      </w:r>
      <w:r>
        <w:t>.</w:t>
      </w:r>
    </w:p>
    <w:p>
      <w:pPr>
        <w:pStyle w:val="ListBullet"/>
      </w:pPr>
      <w:r>
        <w:t xml:space="preserve">Ley Orgánica 4/2001: </w:t>
      </w:r>
      <w:r>
        <w:rPr>
          <w:b/>
        </w:rPr>
        <w:t>10.4</w:t>
      </w:r>
      <w:r>
        <w:t xml:space="preserve">, </w:t>
      </w:r>
      <w:r>
        <w:rPr>
          <w:b/>
        </w:rPr>
        <w:t>10.7</w:t>
      </w:r>
      <w:r>
        <w:t xml:space="preserve">, </w:t>
      </w:r>
      <w:r>
        <w:rPr>
          <w:b/>
        </w:rPr>
        <w:t>10.8</w:t>
      </w:r>
      <w:r>
        <w:t xml:space="preserve">, </w:t>
      </w:r>
      <w:r>
        <w:rPr>
          <w:b/>
        </w:rPr>
        <w:t>A.2</w:t>
      </w:r>
      <w:r>
        <w:t xml:space="preserve">, </w:t>
      </w:r>
      <w:r>
        <w:rPr>
          <w:b/>
        </w:rPr>
        <w:t>D.1</w:t>
      </w:r>
      <w:r>
        <w:t xml:space="preserve">, </w:t>
      </w:r>
      <w:r>
        <w:rPr>
          <w:b/>
        </w:rPr>
        <w:t>D.9</w:t>
      </w:r>
      <w:r>
        <w:t>.</w:t>
      </w:r>
    </w:p>
    <w:p>
      <w:pPr>
        <w:pStyle w:val="ListBullet"/>
      </w:pPr>
      <w:r>
        <w:t xml:space="preserve">Ley Orgánica 6/2002: </w:t>
      </w:r>
      <w:r>
        <w:rPr>
          <w:b/>
        </w:rPr>
        <w:t>5.1</w:t>
      </w:r>
      <w:r>
        <w:t xml:space="preserve">, </w:t>
      </w:r>
      <w:r>
        <w:rPr>
          <w:b/>
        </w:rPr>
        <w:t>6.4</w:t>
      </w:r>
      <w:r>
        <w:t>.</w:t>
      </w:r>
    </w:p>
    <w:p>
      <w:pPr>
        <w:pStyle w:val="ListBullet"/>
      </w:pPr>
      <w:r>
        <w:t xml:space="preserve">Ley Orgánica 5/2005: </w:t>
      </w:r>
      <w:r>
        <w:rPr>
          <w:b/>
        </w:rPr>
        <w:t>A.2</w:t>
      </w:r>
      <w:r>
        <w:t xml:space="preserve">, </w:t>
      </w:r>
      <w:r>
        <w:rPr>
          <w:b/>
        </w:rPr>
        <w:t>A.3</w:t>
      </w:r>
      <w:r>
        <w:t>.</w:t>
      </w:r>
    </w:p>
    <w:p>
      <w:pPr>
        <w:pStyle w:val="ListBullet"/>
      </w:pPr>
      <w:r>
        <w:t xml:space="preserve">Ley Orgánica 2/2007: </w:t>
      </w:r>
      <w:r>
        <w:rPr>
          <w:b/>
        </w:rPr>
        <w:t>A.9</w:t>
      </w:r>
      <w:r>
        <w:t>.</w:t>
      </w:r>
    </w:p>
    <w:p>
      <w:pPr>
        <w:pStyle w:val="ListBullet"/>
      </w:pPr>
      <w:r>
        <w:t xml:space="preserve">Ley Orgánica 8/2007: </w:t>
      </w:r>
      <w:r>
        <w:rPr>
          <w:b/>
        </w:rPr>
        <w:t>6.4</w:t>
      </w:r>
      <w:r>
        <w:t>.</w:t>
      </w:r>
    </w:p>
    <w:p>
      <w:pPr>
        <w:pStyle w:val="ListBullet"/>
      </w:pPr>
      <w:r>
        <w:t xml:space="preserve">Ley Orgánica 8/2013: </w:t>
      </w:r>
      <w:r>
        <w:rPr>
          <w:b/>
        </w:rPr>
        <w:t>7.3</w:t>
      </w:r>
      <w:r>
        <w:t>.</w:t>
      </w:r>
    </w:p>
    <w:p>
      <w:pPr>
        <w:pStyle w:val="ListBullet"/>
      </w:pPr>
      <w:r>
        <w:t xml:space="preserve">Ley Orgánica 3/2014: </w:t>
      </w:r>
      <w:r>
        <w:rPr>
          <w:b/>
        </w:rPr>
        <w:t>A.3</w:t>
      </w:r>
      <w:r>
        <w:t>.</w:t>
      </w:r>
    </w:p>
    <w:p>
      <w:pPr>
        <w:pStyle w:val="ListBullet"/>
      </w:pPr>
      <w:r>
        <w:t xml:space="preserve">Ley Orgánica 3/2015: </w:t>
      </w:r>
      <w:r>
        <w:rPr>
          <w:b/>
        </w:rPr>
        <w:t>A.1</w:t>
      </w:r>
      <w:r>
        <w:t>.</w:t>
      </w:r>
    </w:p>
    <w:p>
      <w:pPr>
        <w:pStyle w:val="ListBullet"/>
      </w:pPr>
      <w:r>
        <w:t xml:space="preserve">Ley Orgánica 4/2015: </w:t>
      </w:r>
      <w:r>
        <w:rPr>
          <w:b/>
        </w:rPr>
        <w:t>7.3</w:t>
      </w:r>
      <w:r>
        <w:t>.</w:t>
      </w:r>
    </w:p>
    <w:p>
      <w:pPr>
        <w:pStyle w:val="ListBullet"/>
      </w:pPr>
      <w:r>
        <w:t xml:space="preserve">Ley Orgánica 2/2016: </w:t>
      </w:r>
      <w:r>
        <w:rPr>
          <w:b/>
        </w:rPr>
        <w:t>A.5</w:t>
      </w:r>
      <w:r>
        <w:t>.</w:t>
      </w:r>
    </w:p>
    <w:p>
      <w:pPr>
        <w:pStyle w:val="ListBullet"/>
      </w:pPr>
      <w:r>
        <w:t xml:space="preserve">Ley Orgánica 3/2020: </w:t>
      </w:r>
      <w:r>
        <w:rPr>
          <w:b/>
        </w:rPr>
        <w:t>7.3</w:t>
      </w:r>
      <w:r>
        <w:t xml:space="preserve">, </w:t>
      </w:r>
      <w:r>
        <w:rPr>
          <w:b/>
        </w:rPr>
        <w:t>A.1</w:t>
      </w:r>
      <w:r>
        <w:t>.</w:t>
      </w:r>
    </w:p>
    <w:p>
      <w:pPr>
        <w:pStyle w:val="ListBullet"/>
      </w:pPr>
      <w:r>
        <w:t xml:space="preserve">Ley Orgánica 4/2021: </w:t>
      </w:r>
      <w:r>
        <w:rPr>
          <w:b/>
        </w:rPr>
        <w:t>A.10</w:t>
      </w:r>
      <w:r>
        <w:t>.</w:t>
      </w:r>
    </w:p>
    <w:p>
      <w:pPr>
        <w:pStyle w:val="ListBullet"/>
      </w:pPr>
      <w:r>
        <w:t xml:space="preserve">Ley Orgánica 10/2021: </w:t>
      </w:r>
      <w:r>
        <w:rPr>
          <w:b/>
        </w:rPr>
        <w:t>1.5</w:t>
      </w:r>
      <w:r>
        <w:t>.</w:t>
      </w:r>
    </w:p>
    <w:p>
      <w:pPr>
        <w:pStyle w:val="ListBullet"/>
      </w:pPr>
      <w:r>
        <w:t xml:space="preserve">Ley Orgánica 8/2022: </w:t>
      </w:r>
      <w:r>
        <w:rPr>
          <w:b/>
        </w:rPr>
        <w:t>A.10</w:t>
      </w:r>
      <w:r>
        <w:t>.</w:t>
      </w:r>
    </w:p>
    <w:p>
      <w:pPr>
        <w:pStyle w:val="ListBullet"/>
      </w:pPr>
      <w:r>
        <w:t xml:space="preserve">Ley Orgánica 12/2022: </w:t>
      </w:r>
      <w:r>
        <w:rPr>
          <w:b/>
        </w:rPr>
        <w:t>7.3</w:t>
      </w:r>
      <w:r>
        <w:t xml:space="preserve">, </w:t>
      </w:r>
      <w:r>
        <w:rPr>
          <w:b/>
        </w:rPr>
        <w:t>A.2</w:t>
      </w:r>
      <w:r>
        <w:t>.</w:t>
      </w:r>
    </w:p>
    <w:p>
      <w:pPr>
        <w:pStyle w:val="ListBullet"/>
      </w:pPr>
      <w:r>
        <w:t xml:space="preserve">Ley Orgánica 3/2024: </w:t>
      </w:r>
      <w:r>
        <w:rPr>
          <w:b/>
        </w:rPr>
        <w:t>7.2</w:t>
      </w:r>
      <w:r>
        <w:t>.</w:t>
      </w:r>
    </w:p>
    <w:p>
      <w:pPr>
        <w:pStyle w:val="ListBullet"/>
      </w:pPr>
      <w:r>
        <w:t xml:space="preserve">Ley Orgánica 1/2025: </w:t>
      </w:r>
      <w:r>
        <w:rPr>
          <w:b/>
        </w:rPr>
        <w:t>A.7</w:t>
      </w:r>
      <w:r>
        <w:t>.</w:t>
      </w:r>
    </w:p>
    <w:p>
      <w:pPr>
        <w:pStyle w:val="ListBullet"/>
      </w:pPr>
      <w:r>
        <w:t xml:space="preserve">Ley Orgánica del Poder Judicial: </w:t>
      </w:r>
      <w:r>
        <w:rPr>
          <w:b/>
        </w:rPr>
        <w:t>1.5</w:t>
      </w:r>
      <w:r>
        <w:t xml:space="preserve">, </w:t>
      </w:r>
      <w:r>
        <w:rPr>
          <w:b/>
        </w:rPr>
        <w:t>1.6</w:t>
      </w:r>
      <w:r>
        <w:t xml:space="preserve">, </w:t>
      </w:r>
      <w:r>
        <w:rPr>
          <w:b/>
        </w:rPr>
        <w:t>6.4</w:t>
      </w:r>
      <w:r>
        <w:t xml:space="preserve">, </w:t>
      </w:r>
      <w:r>
        <w:rPr>
          <w:b/>
        </w:rPr>
        <w:t>7.7</w:t>
      </w:r>
      <w:r>
        <w:t xml:space="preserve">, </w:t>
      </w:r>
      <w:r>
        <w:rPr>
          <w:b/>
        </w:rPr>
        <w:t>8.5</w:t>
      </w:r>
      <w:r>
        <w:t xml:space="preserve">, </w:t>
      </w:r>
      <w:r>
        <w:rPr>
          <w:b/>
        </w:rPr>
        <w:t>10.4</w:t>
      </w:r>
      <w:r>
        <w:t xml:space="preserve">, </w:t>
      </w:r>
      <w:r>
        <w:rPr>
          <w:b/>
        </w:rPr>
        <w:t>10.6</w:t>
      </w:r>
      <w:r>
        <w:t xml:space="preserve">, </w:t>
      </w:r>
      <w:r>
        <w:rPr>
          <w:b/>
        </w:rPr>
        <w:t>10.8</w:t>
      </w:r>
      <w:r>
        <w:t xml:space="preserve">, </w:t>
      </w:r>
      <w:r>
        <w:rPr>
          <w:b/>
        </w:rPr>
        <w:t>11.3</w:t>
      </w:r>
      <w:r>
        <w:t>.</w:t>
      </w:r>
    </w:p>
    <w:p>
      <w:pPr>
        <w:pStyle w:val="ListBullet"/>
      </w:pPr>
      <w:r>
        <w:t xml:space="preserve">Ley Orgánica del Régimen Electoral General: </w:t>
      </w:r>
      <w:r>
        <w:rPr>
          <w:b/>
        </w:rPr>
        <w:t>6.4</w:t>
      </w:r>
      <w:r>
        <w:t xml:space="preserve">, </w:t>
      </w:r>
      <w:r>
        <w:rPr>
          <w:b/>
        </w:rPr>
        <w:t>8.5</w:t>
      </w:r>
      <w:r>
        <w:t xml:space="preserve">, </w:t>
      </w:r>
      <w:r>
        <w:rPr>
          <w:b/>
        </w:rPr>
        <w:t>8.6</w:t>
      </w:r>
      <w:r>
        <w:t xml:space="preserve">, </w:t>
      </w:r>
      <w:r>
        <w:rPr>
          <w:b/>
        </w:rPr>
        <w:t>C.4</w:t>
      </w:r>
      <w:r>
        <w:t>.</w:t>
      </w:r>
    </w:p>
    <w:p>
      <w:pPr>
        <w:pStyle w:val="ListBullet"/>
      </w:pPr>
      <w:r>
        <w:t xml:space="preserve">Ley Reguladora de las Haciendas Locales: </w:t>
      </w:r>
      <w:r>
        <w:rPr>
          <w:b/>
        </w:rPr>
        <w:t>B.4</w:t>
      </w:r>
      <w:r>
        <w:t xml:space="preserve">, </w:t>
      </w:r>
      <w:r>
        <w:rPr>
          <w:b/>
        </w:rPr>
        <w:t>C.2</w:t>
      </w:r>
      <w:r>
        <w:t>.</w:t>
      </w:r>
    </w:p>
    <w:p>
      <w:pPr>
        <w:pStyle w:val="ListBullet"/>
      </w:pPr>
      <w:r>
        <w:t xml:space="preserve">Leyes y decretos de cada comunidad autónoma sobre sus parlamentos: </w:t>
      </w:r>
      <w:r>
        <w:rPr>
          <w:b/>
        </w:rPr>
        <w:t>C.1</w:t>
      </w:r>
      <w:r>
        <w:t>.</w:t>
      </w:r>
    </w:p>
    <w:p>
      <w:pPr>
        <w:pStyle w:val="ListBullet"/>
      </w:pPr>
      <w:r>
        <w:t xml:space="preserve">Orden de Canarias de 25-VIII-2025: </w:t>
      </w:r>
      <w:r>
        <w:rPr>
          <w:b/>
        </w:rPr>
        <w:t>A.7</w:t>
      </w:r>
      <w:r>
        <w:t>.</w:t>
      </w:r>
    </w:p>
    <w:p>
      <w:pPr>
        <w:pStyle w:val="ListBullet"/>
      </w:pPr>
      <w:r>
        <w:t xml:space="preserve">Orden EHA/3565/2008: </w:t>
      </w:r>
      <w:r>
        <w:rPr>
          <w:b/>
        </w:rPr>
        <w:t>9.1</w:t>
      </w:r>
      <w:r>
        <w:t>.</w:t>
      </w:r>
    </w:p>
    <w:p>
      <w:pPr>
        <w:pStyle w:val="ListBullet"/>
      </w:pPr>
      <w:r>
        <w:t xml:space="preserve">Orden PJC/297/2026: </w:t>
      </w:r>
      <w:r>
        <w:rPr>
          <w:b/>
        </w:rPr>
        <w:t>8.4</w:t>
      </w:r>
      <w:r>
        <w:t xml:space="preserve">, </w:t>
      </w:r>
      <w:r>
        <w:rPr>
          <w:b/>
        </w:rPr>
        <w:t>B.3</w:t>
      </w:r>
      <w:r>
        <w:t xml:space="preserve">, </w:t>
      </w:r>
      <w:r>
        <w:rPr>
          <w:b/>
        </w:rPr>
        <w:t>B.6</w:t>
      </w:r>
      <w:r>
        <w:t>.</w:t>
      </w:r>
    </w:p>
    <w:p>
      <w:pPr>
        <w:pStyle w:val="ListBullet"/>
      </w:pPr>
      <w:r>
        <w:t xml:space="preserve">Ordenanza 2/2026 (BOCM): </w:t>
      </w:r>
      <w:r>
        <w:rPr>
          <w:b/>
        </w:rPr>
        <w:t>8.5</w:t>
      </w:r>
      <w:r>
        <w:t>.</w:t>
      </w:r>
    </w:p>
    <w:p>
      <w:pPr>
        <w:pStyle w:val="ListBullet"/>
      </w:pPr>
      <w:r>
        <w:t xml:space="preserve">Presupuestos Generales del Estado de 2023: </w:t>
      </w:r>
      <w:r>
        <w:rPr>
          <w:b/>
        </w:rPr>
        <w:t>C.4</w:t>
      </w:r>
      <w:r>
        <w:t xml:space="preserve">, </w:t>
      </w:r>
      <w:r>
        <w:rPr>
          <w:b/>
        </w:rPr>
        <w:t>C.5</w:t>
      </w:r>
      <w:r>
        <w:t>.</w:t>
      </w:r>
    </w:p>
    <w:p>
      <w:pPr>
        <w:pStyle w:val="ListBullet"/>
      </w:pPr>
      <w:r>
        <w:t xml:space="preserve">Real Decreto 2560/1978: </w:t>
      </w:r>
      <w:r>
        <w:rPr>
          <w:b/>
        </w:rPr>
        <w:t>6.1</w:t>
      </w:r>
      <w:r>
        <w:t>.</w:t>
      </w:r>
    </w:p>
    <w:p>
      <w:pPr>
        <w:pStyle w:val="ListBullet"/>
      </w:pPr>
      <w:r>
        <w:t xml:space="preserve">Real Decreto 1467/1981: </w:t>
      </w:r>
      <w:r>
        <w:rPr>
          <w:b/>
        </w:rPr>
        <w:t>8.5</w:t>
      </w:r>
      <w:r>
        <w:t>.</w:t>
      </w:r>
    </w:p>
    <w:p>
      <w:pPr>
        <w:pStyle w:val="ListBullet"/>
      </w:pPr>
      <w:r>
        <w:t xml:space="preserve">Real Decreto 769/1987: </w:t>
      </w:r>
      <w:r>
        <w:rPr>
          <w:b/>
        </w:rPr>
        <w:t>A.7</w:t>
      </w:r>
      <w:r>
        <w:t>.</w:t>
      </w:r>
    </w:p>
    <w:p>
      <w:pPr>
        <w:pStyle w:val="ListBullet"/>
      </w:pPr>
      <w:r>
        <w:t xml:space="preserve">Real Decreto 434/1988: </w:t>
      </w:r>
      <w:r>
        <w:rPr>
          <w:b/>
        </w:rPr>
        <w:t>C.2</w:t>
      </w:r>
      <w:r>
        <w:t>.</w:t>
      </w:r>
    </w:p>
    <w:p>
      <w:pPr>
        <w:pStyle w:val="ListBullet"/>
      </w:pPr>
      <w:r>
        <w:t xml:space="preserve">Real Decreto 13/1992: </w:t>
      </w:r>
      <w:r>
        <w:rPr>
          <w:b/>
        </w:rPr>
        <w:t>8.5</w:t>
      </w:r>
      <w:r>
        <w:t>.</w:t>
      </w:r>
    </w:p>
    <w:p>
      <w:pPr>
        <w:pStyle w:val="ListBullet"/>
      </w:pPr>
      <w:r>
        <w:t xml:space="preserve">Real Decreto 405/1992: </w:t>
      </w:r>
      <w:r>
        <w:rPr>
          <w:b/>
        </w:rPr>
        <w:t>7.6</w:t>
      </w:r>
      <w:r>
        <w:t xml:space="preserve">, </w:t>
      </w:r>
      <w:r>
        <w:rPr>
          <w:b/>
        </w:rPr>
        <w:t>C.4</w:t>
      </w:r>
      <w:r>
        <w:t>.</w:t>
      </w:r>
    </w:p>
    <w:p>
      <w:pPr>
        <w:pStyle w:val="ListBullet"/>
      </w:pPr>
      <w:r>
        <w:t xml:space="preserve">Real Decreto 2606/1996: </w:t>
      </w:r>
      <w:r>
        <w:rPr>
          <w:b/>
        </w:rPr>
        <w:t>11.3</w:t>
      </w:r>
      <w:r>
        <w:t>.</w:t>
      </w:r>
    </w:p>
    <w:p>
      <w:pPr>
        <w:pStyle w:val="ListBullet"/>
      </w:pPr>
      <w:r>
        <w:t xml:space="preserve">Real Decreto 247/2001: </w:t>
      </w:r>
      <w:r>
        <w:rPr>
          <w:b/>
        </w:rPr>
        <w:t>7.6</w:t>
      </w:r>
      <w:r>
        <w:t xml:space="preserve">, </w:t>
      </w:r>
      <w:r>
        <w:rPr>
          <w:b/>
        </w:rPr>
        <w:t>A.2</w:t>
      </w:r>
      <w:r>
        <w:t>.</w:t>
      </w:r>
    </w:p>
    <w:p>
      <w:pPr>
        <w:pStyle w:val="ListBullet"/>
      </w:pPr>
      <w:r>
        <w:t xml:space="preserve">Real Decreto 342/2001: </w:t>
      </w:r>
      <w:r>
        <w:rPr>
          <w:b/>
        </w:rPr>
        <w:t>A.2</w:t>
      </w:r>
      <w:r>
        <w:t>.</w:t>
      </w:r>
    </w:p>
    <w:p>
      <w:pPr>
        <w:pStyle w:val="ListBullet"/>
      </w:pPr>
      <w:r>
        <w:t xml:space="preserve">Real Decreto 439/2007: </w:t>
      </w:r>
      <w:r>
        <w:rPr>
          <w:b/>
        </w:rPr>
        <w:t>8.4</w:t>
      </w:r>
      <w:r>
        <w:t>.</w:t>
      </w:r>
    </w:p>
    <w:p>
      <w:pPr>
        <w:pStyle w:val="ListBullet"/>
      </w:pPr>
      <w:r>
        <w:t xml:space="preserve">Real Decreto 1000/2010: </w:t>
      </w:r>
      <w:r>
        <w:rPr>
          <w:b/>
        </w:rPr>
        <w:t>8.4</w:t>
      </w:r>
      <w:r>
        <w:t>.</w:t>
      </w:r>
    </w:p>
    <w:p>
      <w:pPr>
        <w:pStyle w:val="ListBullet"/>
      </w:pPr>
      <w:r>
        <w:t xml:space="preserve">Real Decreto 304/2014: </w:t>
      </w:r>
      <w:r>
        <w:rPr>
          <w:b/>
        </w:rPr>
        <w:t>8.11</w:t>
      </w:r>
      <w:r>
        <w:t>.</w:t>
      </w:r>
    </w:p>
    <w:p>
      <w:pPr>
        <w:pStyle w:val="ListBullet"/>
      </w:pPr>
      <w:r>
        <w:t xml:space="preserve">Real Decreto 900/2015: </w:t>
      </w:r>
      <w:r>
        <w:rPr>
          <w:b/>
        </w:rPr>
        <w:t>8.5</w:t>
      </w:r>
      <w:r>
        <w:t>.</w:t>
      </w:r>
    </w:p>
    <w:p>
      <w:pPr>
        <w:pStyle w:val="ListBullet"/>
      </w:pPr>
      <w:r>
        <w:t xml:space="preserve">Real Decreto 977/2015: </w:t>
      </w:r>
      <w:r>
        <w:rPr>
          <w:b/>
        </w:rPr>
        <w:t>A.4</w:t>
      </w:r>
      <w:r>
        <w:t>.</w:t>
      </w:r>
    </w:p>
    <w:p>
      <w:pPr>
        <w:pStyle w:val="ListBullet"/>
      </w:pPr>
      <w:r>
        <w:t xml:space="preserve">Real Decreto 1167/2015: </w:t>
      </w:r>
      <w:r>
        <w:rPr>
          <w:b/>
        </w:rPr>
        <w:t>A.4</w:t>
      </w:r>
      <w:r>
        <w:t>.</w:t>
      </w:r>
    </w:p>
    <w:p>
      <w:pPr>
        <w:pStyle w:val="ListBullet"/>
      </w:pPr>
      <w:r>
        <w:t xml:space="preserve">Real Decreto 931/2017: </w:t>
      </w:r>
      <w:r>
        <w:rPr>
          <w:b/>
        </w:rPr>
        <w:t>A.4</w:t>
      </w:r>
      <w:r>
        <w:t>.</w:t>
      </w:r>
    </w:p>
    <w:p>
      <w:pPr>
        <w:pStyle w:val="ListBullet"/>
      </w:pPr>
      <w:r>
        <w:t xml:space="preserve">Real Decreto 946/2017: </w:t>
      </w:r>
      <w:r>
        <w:rPr>
          <w:b/>
        </w:rPr>
        <w:t>A.1</w:t>
      </w:r>
      <w:r>
        <w:t>.</w:t>
      </w:r>
    </w:p>
    <w:p>
      <w:pPr>
        <w:pStyle w:val="ListBullet"/>
      </w:pPr>
      <w:r>
        <w:t xml:space="preserve">Real Decreto 954/2017: </w:t>
      </w:r>
      <w:r>
        <w:rPr>
          <w:b/>
        </w:rPr>
        <w:t>A.1</w:t>
      </w:r>
      <w:r>
        <w:t>.</w:t>
      </w:r>
    </w:p>
    <w:p>
      <w:pPr>
        <w:pStyle w:val="ListBullet"/>
      </w:pPr>
      <w:r>
        <w:t xml:space="preserve">Real Decreto 1462/2018: </w:t>
      </w:r>
      <w:r>
        <w:rPr>
          <w:b/>
        </w:rPr>
        <w:t>8.3</w:t>
      </w:r>
      <w:r>
        <w:t>.</w:t>
      </w:r>
    </w:p>
    <w:p>
      <w:pPr>
        <w:pStyle w:val="ListBullet"/>
      </w:pPr>
      <w:r>
        <w:t xml:space="preserve">Real Decreto 297/2022: </w:t>
      </w:r>
      <w:r>
        <w:rPr>
          <w:b/>
        </w:rPr>
        <w:t>7.2</w:t>
      </w:r>
      <w:r>
        <w:t>.</w:t>
      </w:r>
    </w:p>
    <w:p>
      <w:pPr>
        <w:pStyle w:val="ListBullet"/>
      </w:pPr>
      <w:r>
        <w:t xml:space="preserve">Real Decreto 400/2023: </w:t>
      </w:r>
      <w:r>
        <w:rPr>
          <w:b/>
        </w:rPr>
        <w:t>A.4</w:t>
      </w:r>
      <w:r>
        <w:t>.</w:t>
      </w:r>
    </w:p>
    <w:p>
      <w:pPr>
        <w:pStyle w:val="ListBullet"/>
      </w:pPr>
      <w:r>
        <w:t xml:space="preserve">Real Decreto 87/2025: </w:t>
      </w:r>
      <w:r>
        <w:rPr>
          <w:b/>
        </w:rPr>
        <w:t>8.3</w:t>
      </w:r>
      <w:r>
        <w:t>.</w:t>
      </w:r>
    </w:p>
    <w:p>
      <w:pPr>
        <w:pStyle w:val="ListBullet"/>
      </w:pPr>
      <w:r>
        <w:t xml:space="preserve">Real Decreto 126/2026: </w:t>
      </w:r>
      <w:r>
        <w:rPr>
          <w:b/>
        </w:rPr>
        <w:t>B.6</w:t>
      </w:r>
      <w:r>
        <w:t>.</w:t>
      </w:r>
    </w:p>
    <w:p>
      <w:pPr>
        <w:pStyle w:val="ListBullet"/>
      </w:pPr>
      <w:r>
        <w:t xml:space="preserve">Real Decreto 170/2026: </w:t>
      </w:r>
      <w:r>
        <w:rPr>
          <w:b/>
        </w:rPr>
        <w:t>A.2</w:t>
      </w:r>
      <w:r>
        <w:t>.</w:t>
      </w:r>
    </w:p>
    <w:p>
      <w:pPr>
        <w:pStyle w:val="ListBullet"/>
      </w:pPr>
      <w:r>
        <w:t xml:space="preserve">Real Decreto 241/2026: </w:t>
      </w:r>
      <w:r>
        <w:rPr>
          <w:b/>
        </w:rPr>
        <w:t>7.6</w:t>
      </w:r>
      <w:r>
        <w:t>.</w:t>
      </w:r>
    </w:p>
    <w:p>
      <w:pPr>
        <w:pStyle w:val="ListBullet"/>
      </w:pPr>
      <w:r>
        <w:t xml:space="preserve">Real Decreto-ley 20/1977: </w:t>
      </w:r>
      <w:r>
        <w:rPr>
          <w:b/>
        </w:rPr>
        <w:t>6.4</w:t>
      </w:r>
      <w:r>
        <w:t>.</w:t>
      </w:r>
    </w:p>
    <w:p>
      <w:pPr>
        <w:pStyle w:val="ListBullet"/>
      </w:pPr>
      <w:r>
        <w:t xml:space="preserve">Real Decreto-ley 9/1981: </w:t>
      </w:r>
      <w:r>
        <w:rPr>
          <w:b/>
        </w:rPr>
        <w:t>8.7</w:t>
      </w:r>
      <w:r>
        <w:t>.</w:t>
      </w:r>
    </w:p>
    <w:p>
      <w:pPr>
        <w:pStyle w:val="ListBullet"/>
      </w:pPr>
      <w:r>
        <w:t xml:space="preserve">Real Decreto-ley 8/1983: </w:t>
      </w:r>
      <w:r>
        <w:rPr>
          <w:b/>
        </w:rPr>
        <w:t>8.7</w:t>
      </w:r>
      <w:r>
        <w:t>.</w:t>
      </w:r>
    </w:p>
    <w:p>
      <w:pPr>
        <w:pStyle w:val="ListBullet"/>
      </w:pPr>
      <w:r>
        <w:t xml:space="preserve">Real Decreto-ley 5/1992: </w:t>
      </w:r>
      <w:r>
        <w:rPr>
          <w:b/>
        </w:rPr>
        <w:t>8.5</w:t>
      </w:r>
      <w:r>
        <w:t>.</w:t>
      </w:r>
    </w:p>
    <w:p>
      <w:pPr>
        <w:pStyle w:val="ListBullet"/>
      </w:pPr>
      <w:r>
        <w:t xml:space="preserve">Real Decreto-ley 16/2011: </w:t>
      </w:r>
      <w:r>
        <w:rPr>
          <w:b/>
        </w:rPr>
        <w:t>11.3</w:t>
      </w:r>
      <w:r>
        <w:t>.</w:t>
      </w:r>
    </w:p>
    <w:p>
      <w:pPr>
        <w:pStyle w:val="ListBullet"/>
      </w:pPr>
      <w:r>
        <w:t xml:space="preserve">Real Decreto-ley 20/2012: </w:t>
      </w:r>
      <w:r>
        <w:rPr>
          <w:b/>
        </w:rPr>
        <w:t>8.5</w:t>
      </w:r>
      <w:r>
        <w:t>.</w:t>
      </w:r>
    </w:p>
    <w:p>
      <w:pPr>
        <w:pStyle w:val="ListBullet"/>
      </w:pPr>
      <w:r>
        <w:t xml:space="preserve">Real Decreto-ley 28/2012: </w:t>
      </w:r>
      <w:r>
        <w:rPr>
          <w:b/>
        </w:rPr>
        <w:t>8.6</w:t>
      </w:r>
      <w:r>
        <w:t xml:space="preserve">, </w:t>
      </w:r>
      <w:r>
        <w:rPr>
          <w:b/>
        </w:rPr>
        <w:t>A.2</w:t>
      </w:r>
      <w:r>
        <w:t>.</w:t>
      </w:r>
    </w:p>
    <w:p>
      <w:pPr>
        <w:pStyle w:val="ListBullet"/>
      </w:pPr>
      <w:r>
        <w:t xml:space="preserve">Real Decreto-ley 15/2018: </w:t>
      </w:r>
      <w:r>
        <w:rPr>
          <w:b/>
        </w:rPr>
        <w:t>8.5</w:t>
      </w:r>
      <w:r>
        <w:t>.</w:t>
      </w:r>
    </w:p>
    <w:p>
      <w:pPr>
        <w:pStyle w:val="ListBullet"/>
      </w:pPr>
      <w:r>
        <w:t xml:space="preserve">Real Decreto-ley 36/2020: </w:t>
      </w:r>
      <w:r>
        <w:rPr>
          <w:b/>
        </w:rPr>
        <w:t>A.8</w:t>
      </w:r>
      <w:r>
        <w:t>.</w:t>
      </w:r>
    </w:p>
    <w:p>
      <w:pPr>
        <w:pStyle w:val="ListBullet"/>
      </w:pPr>
      <w:r>
        <w:t xml:space="preserve">Real Decreto-ley 32/2021: </w:t>
      </w:r>
      <w:r>
        <w:rPr>
          <w:b/>
        </w:rPr>
        <w:t>A.2</w:t>
      </w:r>
      <w:r>
        <w:t xml:space="preserve">, </w:t>
      </w:r>
      <w:r>
        <w:rPr>
          <w:b/>
        </w:rPr>
        <w:t>A.4</w:t>
      </w:r>
      <w:r>
        <w:t>.</w:t>
      </w:r>
    </w:p>
    <w:p>
      <w:pPr>
        <w:pStyle w:val="ListBullet"/>
      </w:pPr>
      <w:r>
        <w:t xml:space="preserve">Real Decreto-ley 5/2023: </w:t>
      </w:r>
      <w:r>
        <w:rPr>
          <w:b/>
        </w:rPr>
        <w:t>A.7</w:t>
      </w:r>
      <w:r>
        <w:t>.</w:t>
      </w:r>
    </w:p>
    <w:p>
      <w:pPr>
        <w:pStyle w:val="ListBullet"/>
      </w:pPr>
      <w:r>
        <w:t xml:space="preserve">Real Decreto-ley 2/2024: </w:t>
      </w:r>
      <w:r>
        <w:rPr>
          <w:b/>
        </w:rPr>
        <w:t>A.2</w:t>
      </w:r>
      <w:r>
        <w:t>.</w:t>
      </w:r>
    </w:p>
    <w:p>
      <w:pPr>
        <w:pStyle w:val="ListBullet"/>
      </w:pPr>
      <w:r>
        <w:t xml:space="preserve">Real Decreto-ley 4/2024: </w:t>
      </w:r>
      <w:r>
        <w:rPr>
          <w:b/>
        </w:rPr>
        <w:t>8.3</w:t>
      </w:r>
      <w:r>
        <w:t>.</w:t>
      </w:r>
    </w:p>
    <w:p>
      <w:pPr>
        <w:pStyle w:val="ListBullet"/>
      </w:pPr>
      <w:r>
        <w:t xml:space="preserve">Real Decreto-ley 7/2025: </w:t>
      </w:r>
      <w:r>
        <w:rPr>
          <w:b/>
        </w:rPr>
        <w:t>A.4</w:t>
      </w:r>
      <w:r>
        <w:t>.</w:t>
      </w:r>
    </w:p>
    <w:p>
      <w:pPr>
        <w:pStyle w:val="ListBullet"/>
      </w:pPr>
      <w:r>
        <w:t xml:space="preserve">Real Decreto-ley 16/2025: </w:t>
      </w:r>
      <w:r>
        <w:rPr>
          <w:b/>
        </w:rPr>
        <w:t>10.7</w:t>
      </w:r>
      <w:r>
        <w:t>.</w:t>
      </w:r>
    </w:p>
    <w:p>
      <w:pPr>
        <w:pStyle w:val="ListBullet"/>
      </w:pPr>
      <w:r>
        <w:t xml:space="preserve">Real Decreto-ley 8/2026: </w:t>
      </w:r>
      <w:r>
        <w:rPr>
          <w:b/>
        </w:rPr>
        <w:t>A.4</w:t>
      </w:r>
      <w:r>
        <w:t>.</w:t>
      </w:r>
    </w:p>
    <w:p>
      <w:pPr>
        <w:pStyle w:val="ListBullet"/>
      </w:pPr>
      <w:r>
        <w:t xml:space="preserve">Reglamento de Pensiones Parlamentarias: </w:t>
      </w:r>
      <w:r>
        <w:rPr>
          <w:b/>
        </w:rPr>
        <w:t>C.4</w:t>
      </w:r>
      <w:r>
        <w:t>.</w:t>
      </w:r>
    </w:p>
    <w:p>
      <w:pPr>
        <w:pStyle w:val="ListBullet"/>
      </w:pPr>
      <w:r>
        <w:t xml:space="preserve">Reglamento del Congreso de los Diputados: </w:t>
      </w:r>
      <w:r>
        <w:rPr>
          <w:b/>
        </w:rPr>
        <w:t>5.1</w:t>
      </w:r>
      <w:r>
        <w:t xml:space="preserve">, </w:t>
      </w:r>
      <w:r>
        <w:rPr>
          <w:b/>
        </w:rPr>
        <w:t>8.6</w:t>
      </w:r>
      <w:r>
        <w:t xml:space="preserve">, </w:t>
      </w:r>
      <w:r>
        <w:rPr>
          <w:b/>
        </w:rPr>
        <w:t>A.4</w:t>
      </w:r>
      <w:r>
        <w:t>.</w:t>
      </w:r>
    </w:p>
    <w:p>
      <w:pPr>
        <w:pStyle w:val="ListBullet"/>
      </w:pPr>
      <w:r>
        <w:t xml:space="preserve">Reglamento del Senado: </w:t>
      </w:r>
      <w:r>
        <w:rPr>
          <w:b/>
        </w:rPr>
        <w:t>A.4</w:t>
      </w:r>
      <w:r>
        <w:t>.</w:t>
      </w:r>
    </w:p>
    <w:p>
      <w:r>
        <w:rPr>
          <w:b/>
        </w:rPr>
        <w:t>Las normas europeas e internacionales</w:t>
      </w:r>
      <w:r>
        <w:t xml:space="preserve"> (45 fuentes)</w:t>
      </w:r>
    </w:p>
    <w:p>
      <w:pPr>
        <w:pStyle w:val="ListBullet"/>
      </w:pPr>
      <w:r>
        <w:t xml:space="preserve">Acuerdos entre España y la Santa Sede (1979): </w:t>
      </w:r>
      <w:r>
        <w:rPr>
          <w:b/>
        </w:rPr>
        <w:t>A.2</w:t>
      </w:r>
      <w:r>
        <w:t>.</w:t>
      </w:r>
    </w:p>
    <w:p>
      <w:pPr>
        <w:pStyle w:val="ListBullet"/>
      </w:pPr>
      <w:r>
        <w:t xml:space="preserve">Archives parlementaires (Francia): </w:t>
      </w:r>
      <w:r>
        <w:rPr>
          <w:b/>
        </w:rPr>
        <w:t>6.1</w:t>
      </w:r>
      <w:r>
        <w:t>.</w:t>
      </w:r>
    </w:p>
    <w:p>
      <w:pPr>
        <w:pStyle w:val="ListBullet"/>
      </w:pPr>
      <w:r>
        <w:t xml:space="preserve">Bevans, Tratados de los Estados Unidos 1776-1949 (Avalon Project): </w:t>
      </w:r>
      <w:r>
        <w:rPr>
          <w:b/>
        </w:rPr>
        <w:t>11.2</w:t>
      </w:r>
      <w:r>
        <w:t>.</w:t>
      </w:r>
    </w:p>
    <w:p>
      <w:pPr>
        <w:pStyle w:val="ListBullet"/>
      </w:pPr>
      <w:r>
        <w:t xml:space="preserve">Bill of Rights inglés (1689): </w:t>
      </w:r>
      <w:r>
        <w:rPr>
          <w:b/>
        </w:rPr>
        <w:t>6.1</w:t>
      </w:r>
      <w:r>
        <w:t xml:space="preserve">, </w:t>
      </w:r>
      <w:r>
        <w:rPr>
          <w:b/>
        </w:rPr>
        <w:t>9.2</w:t>
      </w:r>
      <w:r>
        <w:t>.</w:t>
      </w:r>
    </w:p>
    <w:p>
      <w:pPr>
        <w:pStyle w:val="ListBullet"/>
      </w:pPr>
      <w:r>
        <w:t xml:space="preserve">Carta de las Naciones Unidas: </w:t>
      </w:r>
      <w:r>
        <w:rPr>
          <w:b/>
        </w:rPr>
        <w:t>6.2</w:t>
      </w:r>
      <w:r>
        <w:t>.</w:t>
      </w:r>
    </w:p>
    <w:p>
      <w:pPr>
        <w:pStyle w:val="ListBullet"/>
      </w:pPr>
      <w:r>
        <w:t xml:space="preserve">Carta de los Derechos Fundamentales de la Unión Europea: </w:t>
      </w:r>
      <w:r>
        <w:rPr>
          <w:b/>
        </w:rPr>
        <w:t>10.4</w:t>
      </w:r>
      <w:r>
        <w:t xml:space="preserve">, </w:t>
      </w:r>
      <w:r>
        <w:rPr>
          <w:b/>
        </w:rPr>
        <w:t>10.7</w:t>
      </w:r>
      <w:r>
        <w:t>.</w:t>
      </w:r>
    </w:p>
    <w:p>
      <w:pPr>
        <w:pStyle w:val="ListBullet"/>
      </w:pPr>
      <w:r>
        <w:t xml:space="preserve">CIDH, Declaración de Principios sobre Libertad de Expresión: </w:t>
      </w:r>
      <w:r>
        <w:rPr>
          <w:b/>
        </w:rPr>
        <w:t>8.5</w:t>
      </w:r>
      <w:r>
        <w:t>.</w:t>
      </w:r>
    </w:p>
    <w:p>
      <w:pPr>
        <w:pStyle w:val="ListBullet"/>
      </w:pPr>
      <w:r>
        <w:t xml:space="preserve">Comisión Europea, propuesta COM(2023) 364 (curso legal de los billetes y monedas en euros): </w:t>
      </w:r>
      <w:r>
        <w:rPr>
          <w:b/>
        </w:rPr>
        <w:t>8.11</w:t>
      </w:r>
      <w:r>
        <w:t>.</w:t>
      </w:r>
    </w:p>
    <w:p>
      <w:pPr>
        <w:pStyle w:val="ListBullet"/>
      </w:pPr>
      <w:r>
        <w:t xml:space="preserve">Constitución de Bolivia: </w:t>
      </w:r>
      <w:r>
        <w:rPr>
          <w:b/>
        </w:rPr>
        <w:t>10.2</w:t>
      </w:r>
      <w:r>
        <w:t>.</w:t>
      </w:r>
    </w:p>
    <w:p>
      <w:pPr>
        <w:pStyle w:val="ListBullet"/>
      </w:pPr>
      <w:r>
        <w:t xml:space="preserve">Constitución de los Estados Unidos: </w:t>
      </w:r>
      <w:r>
        <w:rPr>
          <w:b/>
        </w:rPr>
        <w:t>3.1</w:t>
      </w:r>
      <w:r>
        <w:t>.</w:t>
      </w:r>
    </w:p>
    <w:p>
      <w:pPr>
        <w:pStyle w:val="ListBullet"/>
      </w:pPr>
      <w:r>
        <w:t xml:space="preserve">Constitución de Sudáfrica de 1993: </w:t>
      </w:r>
      <w:r>
        <w:rPr>
          <w:b/>
        </w:rPr>
        <w:t>F.7</w:t>
      </w:r>
      <w:r>
        <w:t>.</w:t>
      </w:r>
    </w:p>
    <w:p>
      <w:pPr>
        <w:pStyle w:val="ListBullet"/>
      </w:pPr>
      <w:r>
        <w:t xml:space="preserve">Constitución francesa de 1793: </w:t>
      </w:r>
      <w:r>
        <w:rPr>
          <w:b/>
        </w:rPr>
        <w:t>6.5</w:t>
      </w:r>
      <w:r>
        <w:t>.</w:t>
      </w:r>
    </w:p>
    <w:p>
      <w:pPr>
        <w:pStyle w:val="ListBullet"/>
      </w:pPr>
      <w:r>
        <w:t xml:space="preserve">Convención de Montevideo sobre Derechos y Deberes de los Estados (1933): </w:t>
      </w:r>
      <w:r>
        <w:rPr>
          <w:b/>
        </w:rPr>
        <w:t>6.2</w:t>
      </w:r>
      <w:r>
        <w:t xml:space="preserve">, </w:t>
      </w:r>
      <w:r>
        <w:rPr>
          <w:b/>
        </w:rPr>
        <w:t>11.2</w:t>
      </w:r>
      <w:r>
        <w:t>.</w:t>
      </w:r>
    </w:p>
    <w:p>
      <w:pPr>
        <w:pStyle w:val="ListBullet"/>
      </w:pPr>
      <w:r>
        <w:t xml:space="preserve">Convenio de Estambul: </w:t>
      </w:r>
      <w:r>
        <w:rPr>
          <w:b/>
        </w:rPr>
        <w:t>11.3</w:t>
      </w:r>
      <w:r>
        <w:t>.</w:t>
      </w:r>
    </w:p>
    <w:p>
      <w:pPr>
        <w:pStyle w:val="ListBullet"/>
      </w:pPr>
      <w:r>
        <w:t xml:space="preserve">Convenio Europeo de Derechos Humanos: </w:t>
      </w:r>
      <w:r>
        <w:rPr>
          <w:b/>
        </w:rPr>
        <w:t>10.7</w:t>
      </w:r>
      <w:r>
        <w:t xml:space="preserve">, </w:t>
      </w:r>
      <w:r>
        <w:rPr>
          <w:b/>
        </w:rPr>
        <w:t>A.2</w:t>
      </w:r>
      <w:r>
        <w:t>.</w:t>
      </w:r>
    </w:p>
    <w:p>
      <w:pPr>
        <w:pStyle w:val="ListBullet"/>
      </w:pPr>
      <w:r>
        <w:t xml:space="preserve">Declaración de Derechos de Virginia: </w:t>
      </w:r>
      <w:r>
        <w:rPr>
          <w:b/>
        </w:rPr>
        <w:t>6.3</w:t>
      </w:r>
      <w:r>
        <w:t>.</w:t>
      </w:r>
    </w:p>
    <w:p>
      <w:pPr>
        <w:pStyle w:val="ListBullet"/>
      </w:pPr>
      <w:r>
        <w:t xml:space="preserve">Declaración de Independencia de los Estados Unidos (1776): </w:t>
      </w:r>
      <w:r>
        <w:rPr>
          <w:b/>
        </w:rPr>
        <w:t>6.1</w:t>
      </w:r>
      <w:r>
        <w:t xml:space="preserve">, </w:t>
      </w:r>
      <w:r>
        <w:rPr>
          <w:b/>
        </w:rPr>
        <w:t>6.3</w:t>
      </w:r>
      <w:r>
        <w:t>.</w:t>
      </w:r>
    </w:p>
    <w:p>
      <w:pPr>
        <w:pStyle w:val="ListBullet"/>
      </w:pPr>
      <w:r>
        <w:t xml:space="preserve">Declaración de los Derechos del Hombre y del Ciudadano (1789): </w:t>
      </w:r>
      <w:r>
        <w:rPr>
          <w:b/>
        </w:rPr>
        <w:t>6.1</w:t>
      </w:r>
      <w:r>
        <w:t xml:space="preserve">, </w:t>
      </w:r>
      <w:r>
        <w:rPr>
          <w:b/>
        </w:rPr>
        <w:t>6.3</w:t>
      </w:r>
      <w:r>
        <w:t xml:space="preserve">, </w:t>
      </w:r>
      <w:r>
        <w:rPr>
          <w:b/>
        </w:rPr>
        <w:t>H.10</w:t>
      </w:r>
      <w:r>
        <w:t>.</w:t>
      </w:r>
    </w:p>
    <w:p>
      <w:pPr>
        <w:pStyle w:val="ListBullet"/>
      </w:pPr>
      <w:r>
        <w:t xml:space="preserve">Declaración Universal de Derechos Humanos: </w:t>
      </w:r>
      <w:r>
        <w:rPr>
          <w:b/>
        </w:rPr>
        <w:t>2.2</w:t>
      </w:r>
      <w:r>
        <w:t xml:space="preserve">, </w:t>
      </w:r>
      <w:r>
        <w:rPr>
          <w:b/>
        </w:rPr>
        <w:t>6.5</w:t>
      </w:r>
      <w:r>
        <w:t xml:space="preserve">, </w:t>
      </w:r>
      <w:r>
        <w:rPr>
          <w:b/>
        </w:rPr>
        <w:t>10.7</w:t>
      </w:r>
      <w:r>
        <w:t xml:space="preserve">, </w:t>
      </w:r>
      <w:r>
        <w:rPr>
          <w:b/>
        </w:rPr>
        <w:t>11.3</w:t>
      </w:r>
      <w:r>
        <w:t>.</w:t>
      </w:r>
    </w:p>
    <w:p>
      <w:pPr>
        <w:pStyle w:val="ListBullet"/>
      </w:pPr>
      <w:r>
        <w:t xml:space="preserve">Directiva (UE) 2024/2853: </w:t>
      </w:r>
      <w:r>
        <w:rPr>
          <w:b/>
        </w:rPr>
        <w:t>10.6</w:t>
      </w:r>
      <w:r>
        <w:t>.</w:t>
      </w:r>
    </w:p>
    <w:p>
      <w:pPr>
        <w:pStyle w:val="ListBullet"/>
      </w:pPr>
      <w:r>
        <w:t xml:space="preserve">Estatuto de Roma: </w:t>
      </w:r>
      <w:r>
        <w:rPr>
          <w:b/>
        </w:rPr>
        <w:t>8.1</w:t>
      </w:r>
      <w:r>
        <w:t>.</w:t>
      </w:r>
    </w:p>
    <w:p>
      <w:pPr>
        <w:pStyle w:val="ListBullet"/>
      </w:pPr>
      <w:r>
        <w:t xml:space="preserve">Indian Independence Act (1947): </w:t>
      </w:r>
      <w:r>
        <w:rPr>
          <w:b/>
        </w:rPr>
        <w:t>9.2</w:t>
      </w:r>
      <w:r>
        <w:t>.</w:t>
      </w:r>
    </w:p>
    <w:p>
      <w:pPr>
        <w:pStyle w:val="ListBullet"/>
      </w:pPr>
      <w:r>
        <w:t xml:space="preserve">Instrumento de ratificación del Convenio de Estambul (BOE-A-2014-5947): </w:t>
      </w:r>
      <w:r>
        <w:rPr>
          <w:b/>
        </w:rPr>
        <w:t>11.3</w:t>
      </w:r>
      <w:r>
        <w:t>.</w:t>
      </w:r>
    </w:p>
    <w:p>
      <w:pPr>
        <w:pStyle w:val="ListBullet"/>
      </w:pPr>
      <w:r>
        <w:t xml:space="preserve">Japón, rescripto imperial de 1-I-1946: </w:t>
      </w:r>
      <w:r>
        <w:rPr>
          <w:b/>
        </w:rPr>
        <w:t>6.2</w:t>
      </w:r>
      <w:r>
        <w:t>.</w:t>
      </w:r>
    </w:p>
    <w:p>
      <w:pPr>
        <w:pStyle w:val="ListBullet"/>
      </w:pPr>
      <w:r>
        <w:t xml:space="preserve">Lex mercatoria, Libro Rojo de Bristol: </w:t>
      </w:r>
      <w:r>
        <w:rPr>
          <w:b/>
        </w:rPr>
        <w:t>1.5</w:t>
      </w:r>
      <w:r>
        <w:t>.</w:t>
      </w:r>
    </w:p>
    <w:p>
      <w:pPr>
        <w:pStyle w:val="ListBullet"/>
      </w:pPr>
      <w:r>
        <w:t xml:space="preserve">Ley Áurea de Brasil (1888): </w:t>
      </w:r>
      <w:r>
        <w:rPr>
          <w:b/>
        </w:rPr>
        <w:t>3.1</w:t>
      </w:r>
      <w:r>
        <w:t>.</w:t>
      </w:r>
    </w:p>
    <w:p>
      <w:pPr>
        <w:pStyle w:val="ListBullet"/>
      </w:pPr>
      <w:r>
        <w:t xml:space="preserve">Ley Fundamental de la República Federal de Alemania: </w:t>
      </w:r>
      <w:r>
        <w:rPr>
          <w:b/>
        </w:rPr>
        <w:t>6.5</w:t>
      </w:r>
      <w:r>
        <w:t>.</w:t>
      </w:r>
    </w:p>
    <w:p>
      <w:pPr>
        <w:pStyle w:val="ListBullet"/>
      </w:pPr>
      <w:r>
        <w:t xml:space="preserve">Leyes y decretos de la Revolución francesa: </w:t>
      </w:r>
      <w:r>
        <w:rPr>
          <w:b/>
        </w:rPr>
        <w:t>3.1</w:t>
      </w:r>
      <w:r>
        <w:t>.</w:t>
      </w:r>
    </w:p>
    <w:p>
      <w:pPr>
        <w:pStyle w:val="ListBullet"/>
      </w:pPr>
      <w:r>
        <w:t xml:space="preserve">OEA, estado de firmas de la Convención de Montevideo (A-40): </w:t>
      </w:r>
      <w:r>
        <w:rPr>
          <w:b/>
        </w:rPr>
        <w:t>11.2</w:t>
      </w:r>
      <w:r>
        <w:t>.</w:t>
      </w:r>
    </w:p>
    <w:p>
      <w:pPr>
        <w:pStyle w:val="ListBullet"/>
      </w:pPr>
      <w:r>
        <w:t xml:space="preserve">Pacto Internacional de Derechos Civiles y Políticos: </w:t>
      </w:r>
      <w:r>
        <w:rPr>
          <w:b/>
        </w:rPr>
        <w:t>8.5</w:t>
      </w:r>
      <w:r>
        <w:t>.</w:t>
      </w:r>
    </w:p>
    <w:p>
      <w:pPr>
        <w:pStyle w:val="ListBullet"/>
      </w:pPr>
      <w:r>
        <w:t xml:space="preserve">Pardessus, Collection de lois maritimes: </w:t>
      </w:r>
      <w:r>
        <w:rPr>
          <w:b/>
        </w:rPr>
        <w:t>1.5</w:t>
      </w:r>
      <w:r>
        <w:t>.</w:t>
      </w:r>
    </w:p>
    <w:p>
      <w:pPr>
        <w:pStyle w:val="ListBullet"/>
      </w:pPr>
      <w:r>
        <w:t xml:space="preserve">Parliamentary Standards Act (Reino Unido): </w:t>
      </w:r>
      <w:r>
        <w:rPr>
          <w:b/>
        </w:rPr>
        <w:t>7.2</w:t>
      </w:r>
      <w:r>
        <w:t>.</w:t>
      </w:r>
    </w:p>
    <w:p>
      <w:pPr>
        <w:pStyle w:val="ListBullet"/>
      </w:pPr>
      <w:r>
        <w:t xml:space="preserve">Plan de Constitución de 1793 (Condorcet): </w:t>
      </w:r>
      <w:r>
        <w:rPr>
          <w:b/>
        </w:rPr>
        <w:t>6.1</w:t>
      </w:r>
      <w:r>
        <w:t>.</w:t>
      </w:r>
    </w:p>
    <w:p>
      <w:pPr>
        <w:pStyle w:val="ListBullet"/>
      </w:pPr>
      <w:r>
        <w:t xml:space="preserve">Principios de Núremberg (1950): </w:t>
      </w:r>
      <w:r>
        <w:rPr>
          <w:b/>
        </w:rPr>
        <w:t>1.4</w:t>
      </w:r>
      <w:r>
        <w:t>.</w:t>
      </w:r>
    </w:p>
    <w:p>
      <w:pPr>
        <w:pStyle w:val="ListBullet"/>
      </w:pPr>
      <w:r>
        <w:t xml:space="preserve">Reglamento (CE) 2866/98: </w:t>
      </w:r>
      <w:r>
        <w:rPr>
          <w:b/>
        </w:rPr>
        <w:t>8.3</w:t>
      </w:r>
      <w:r>
        <w:t>.</w:t>
      </w:r>
    </w:p>
    <w:p>
      <w:pPr>
        <w:pStyle w:val="ListBullet"/>
      </w:pPr>
      <w:r>
        <w:t xml:space="preserve">Reglamento (UE) 2024/1083: </w:t>
      </w:r>
      <w:r>
        <w:rPr>
          <w:b/>
        </w:rPr>
        <w:t>10.2</w:t>
      </w:r>
      <w:r>
        <w:t>.</w:t>
      </w:r>
    </w:p>
    <w:p>
      <w:pPr>
        <w:pStyle w:val="ListBullet"/>
      </w:pPr>
      <w:r>
        <w:t xml:space="preserve">Reglamento (UE) 2024/1624: </w:t>
      </w:r>
      <w:r>
        <w:rPr>
          <w:b/>
        </w:rPr>
        <w:t>8.11</w:t>
      </w:r>
      <w:r>
        <w:t>.</w:t>
      </w:r>
    </w:p>
    <w:p>
      <w:pPr>
        <w:pStyle w:val="ListBullet"/>
      </w:pPr>
      <w:r>
        <w:t xml:space="preserve">Reglamento (UE, Euratom) 2024/2509: </w:t>
      </w:r>
      <w:r>
        <w:rPr>
          <w:b/>
        </w:rPr>
        <w:t>7.5</w:t>
      </w:r>
      <w:r>
        <w:t>.</w:t>
      </w:r>
    </w:p>
    <w:p>
      <w:pPr>
        <w:pStyle w:val="ListBullet"/>
      </w:pPr>
      <w:r>
        <w:t xml:space="preserve">Reglamento General de Protección de Datos: </w:t>
      </w:r>
      <w:r>
        <w:rPr>
          <w:b/>
        </w:rPr>
        <w:t>10.4</w:t>
      </w:r>
      <w:r>
        <w:t>.</w:t>
      </w:r>
    </w:p>
    <w:p>
      <w:pPr>
        <w:pStyle w:val="ListBullet"/>
      </w:pPr>
      <w:r>
        <w:t xml:space="preserve">Sentencia Arbitral de Guadalupe (1486): </w:t>
      </w:r>
      <w:r>
        <w:rPr>
          <w:b/>
        </w:rPr>
        <w:t>2.2</w:t>
      </w:r>
      <w:r>
        <w:t>.</w:t>
      </w:r>
    </w:p>
    <w:p>
      <w:pPr>
        <w:pStyle w:val="ListBullet"/>
      </w:pPr>
      <w:r>
        <w:t xml:space="preserve">Slavery Abolition Act (1833): </w:t>
      </w:r>
      <w:r>
        <w:rPr>
          <w:b/>
        </w:rPr>
        <w:t>3.1</w:t>
      </w:r>
      <w:r>
        <w:t>.</w:t>
      </w:r>
    </w:p>
    <w:p>
      <w:pPr>
        <w:pStyle w:val="ListBullet"/>
      </w:pPr>
      <w:r>
        <w:t xml:space="preserve">Sudáfrica, Ley 34 de 1995, de Promoción de la Unidad Nacional y la Reconciliación: </w:t>
      </w:r>
      <w:r>
        <w:rPr>
          <w:b/>
        </w:rPr>
        <w:t>F.7</w:t>
      </w:r>
      <w:r>
        <w:t>.</w:t>
      </w:r>
    </w:p>
    <w:p>
      <w:pPr>
        <w:pStyle w:val="ListBullet"/>
      </w:pPr>
      <w:r>
        <w:t xml:space="preserve">Tratado de Fort Stanwix: </w:t>
      </w:r>
      <w:r>
        <w:rPr>
          <w:b/>
        </w:rPr>
        <w:t>9.2</w:t>
      </w:r>
      <w:r>
        <w:t>.</w:t>
      </w:r>
    </w:p>
    <w:p>
      <w:pPr>
        <w:pStyle w:val="ListBullet"/>
      </w:pPr>
      <w:r>
        <w:t xml:space="preserve">Tratado de Funcionamiento de la Unión Europea: </w:t>
      </w:r>
      <w:r>
        <w:rPr>
          <w:b/>
        </w:rPr>
        <w:t>5.1</w:t>
      </w:r>
      <w:r>
        <w:t xml:space="preserve">, </w:t>
      </w:r>
      <w:r>
        <w:rPr>
          <w:b/>
        </w:rPr>
        <w:t>8.1</w:t>
      </w:r>
      <w:r>
        <w:t xml:space="preserve">, </w:t>
      </w:r>
      <w:r>
        <w:rPr>
          <w:b/>
        </w:rPr>
        <w:t>8.3</w:t>
      </w:r>
      <w:r>
        <w:t xml:space="preserve">, </w:t>
      </w:r>
      <w:r>
        <w:rPr>
          <w:b/>
        </w:rPr>
        <w:t>10.2</w:t>
      </w:r>
      <w:r>
        <w:t xml:space="preserve">, </w:t>
      </w:r>
      <w:r>
        <w:rPr>
          <w:b/>
        </w:rPr>
        <w:t>11.3</w:t>
      </w:r>
      <w:r>
        <w:t>.</w:t>
      </w:r>
    </w:p>
    <w:p>
      <w:pPr>
        <w:pStyle w:val="ListBullet"/>
      </w:pPr>
      <w:r>
        <w:t xml:space="preserve">Tratado de la Unión Europea: </w:t>
      </w:r>
      <w:r>
        <w:rPr>
          <w:b/>
        </w:rPr>
        <w:t>10.7</w:t>
      </w:r>
      <w:r>
        <w:t>.</w:t>
      </w:r>
    </w:p>
    <w:p>
      <w:r>
        <w:rPr>
          <w:b/>
        </w:rPr>
        <w:t>Las sentencias y las resoluciones de los tribunales</w:t>
      </w:r>
      <w:r>
        <w:t xml:space="preserve"> (193 fuentes)</w:t>
      </w:r>
    </w:p>
    <w:p>
      <w:pPr>
        <w:pStyle w:val="ListBullet"/>
      </w:pPr>
      <w:r>
        <w:t xml:space="preserve">ATC 147/1982: </w:t>
      </w:r>
      <w:r>
        <w:rPr>
          <w:b/>
        </w:rPr>
        <w:t>A.4</w:t>
      </w:r>
      <w:r>
        <w:t>.</w:t>
      </w:r>
    </w:p>
    <w:p>
      <w:pPr>
        <w:pStyle w:val="ListBullet"/>
      </w:pPr>
      <w:r>
        <w:t xml:space="preserve">ATC 141/2016: </w:t>
      </w:r>
      <w:r>
        <w:rPr>
          <w:b/>
        </w:rPr>
        <w:t>A.10</w:t>
      </w:r>
      <w:r>
        <w:t>.</w:t>
      </w:r>
    </w:p>
    <w:p>
      <w:pPr>
        <w:pStyle w:val="ListBullet"/>
      </w:pPr>
      <w:r>
        <w:t xml:space="preserve">ATC 170/2016: </w:t>
      </w:r>
      <w:r>
        <w:rPr>
          <w:b/>
        </w:rPr>
        <w:t>A.10</w:t>
      </w:r>
      <w:r>
        <w:t>.</w:t>
      </w:r>
    </w:p>
    <w:p>
      <w:pPr>
        <w:pStyle w:val="ListBullet"/>
      </w:pPr>
      <w:r>
        <w:t xml:space="preserve">ATC 24/2017: </w:t>
      </w:r>
      <w:r>
        <w:rPr>
          <w:b/>
        </w:rPr>
        <w:t>A.10</w:t>
      </w:r>
      <w:r>
        <w:t>.</w:t>
      </w:r>
    </w:p>
    <w:p>
      <w:pPr>
        <w:pStyle w:val="ListBullet"/>
      </w:pPr>
      <w:r>
        <w:t xml:space="preserve">ATC 123/2017: </w:t>
      </w:r>
      <w:r>
        <w:rPr>
          <w:b/>
        </w:rPr>
        <w:t>A.10</w:t>
      </w:r>
      <w:r>
        <w:t>.</w:t>
      </w:r>
    </w:p>
    <w:p>
      <w:pPr>
        <w:pStyle w:val="ListBullet"/>
      </w:pPr>
      <w:r>
        <w:t xml:space="preserve">ATC 155/2022: </w:t>
      </w:r>
      <w:r>
        <w:rPr>
          <w:b/>
        </w:rPr>
        <w:t>A.10</w:t>
      </w:r>
      <w:r>
        <w:t>.</w:t>
      </w:r>
    </w:p>
    <w:p>
      <w:pPr>
        <w:pStyle w:val="ListBullet"/>
      </w:pPr>
      <w:r>
        <w:t xml:space="preserve">DTC 1/1992: </w:t>
      </w:r>
      <w:r>
        <w:rPr>
          <w:b/>
        </w:rPr>
        <w:t>A.4</w:t>
      </w:r>
      <w:r>
        <w:t>.</w:t>
      </w:r>
    </w:p>
    <w:p>
      <w:pPr>
        <w:pStyle w:val="ListBullet"/>
      </w:pPr>
      <w:r>
        <w:t xml:space="preserve">DTC 1/2004: </w:t>
      </w:r>
      <w:r>
        <w:rPr>
          <w:b/>
        </w:rPr>
        <w:t>A.4</w:t>
      </w:r>
      <w:r>
        <w:t>.</w:t>
      </w:r>
    </w:p>
    <w:p>
      <w:pPr>
        <w:pStyle w:val="ListBullet"/>
      </w:pPr>
      <w:r>
        <w:t xml:space="preserve">STC 11/1981: </w:t>
      </w:r>
      <w:r>
        <w:rPr>
          <w:b/>
        </w:rPr>
        <w:t>10.7</w:t>
      </w:r>
      <w:r>
        <w:t>.</w:t>
      </w:r>
    </w:p>
    <w:p>
      <w:pPr>
        <w:pStyle w:val="ListBullet"/>
      </w:pPr>
      <w:r>
        <w:t xml:space="preserve">STC 18/1981: </w:t>
      </w:r>
      <w:r>
        <w:rPr>
          <w:b/>
        </w:rPr>
        <w:t>7.5</w:t>
      </w:r>
      <w:r>
        <w:t>.</w:t>
      </w:r>
    </w:p>
    <w:p>
      <w:pPr>
        <w:pStyle w:val="ListBullet"/>
      </w:pPr>
      <w:r>
        <w:t xml:space="preserve">STC 26/1981: </w:t>
      </w:r>
      <w:r>
        <w:rPr>
          <w:b/>
        </w:rPr>
        <w:t>A.2</w:t>
      </w:r>
      <w:r>
        <w:t>.</w:t>
      </w:r>
    </w:p>
    <w:p>
      <w:pPr>
        <w:pStyle w:val="ListBullet"/>
      </w:pPr>
      <w:r>
        <w:t xml:space="preserve">STC 10/1983: </w:t>
      </w:r>
      <w:r>
        <w:rPr>
          <w:b/>
        </w:rPr>
        <w:t>A.4</w:t>
      </w:r>
      <w:r>
        <w:t>.</w:t>
      </w:r>
    </w:p>
    <w:p>
      <w:pPr>
        <w:pStyle w:val="ListBullet"/>
      </w:pPr>
      <w:r>
        <w:t xml:space="preserve">STC 76/1983: </w:t>
      </w:r>
      <w:r>
        <w:rPr>
          <w:b/>
        </w:rPr>
        <w:t>A.8</w:t>
      </w:r>
      <w:r>
        <w:t>.</w:t>
      </w:r>
    </w:p>
    <w:p>
      <w:pPr>
        <w:pStyle w:val="ListBullet"/>
      </w:pPr>
      <w:r>
        <w:t xml:space="preserve">STC 111/1983: </w:t>
      </w:r>
      <w:r>
        <w:rPr>
          <w:b/>
        </w:rPr>
        <w:t>A.4</w:t>
      </w:r>
      <w:r>
        <w:t>.</w:t>
      </w:r>
    </w:p>
    <w:p>
      <w:pPr>
        <w:pStyle w:val="ListBullet"/>
      </w:pPr>
      <w:r>
        <w:t xml:space="preserve">STC 42/1985: </w:t>
      </w:r>
      <w:r>
        <w:rPr>
          <w:b/>
        </w:rPr>
        <w:t>A.10</w:t>
      </w:r>
      <w:r>
        <w:t>.</w:t>
      </w:r>
    </w:p>
    <w:p>
      <w:pPr>
        <w:pStyle w:val="ListBullet"/>
      </w:pPr>
      <w:r>
        <w:t xml:space="preserve">STC 44/1986: </w:t>
      </w:r>
      <w:r>
        <w:rPr>
          <w:b/>
        </w:rPr>
        <w:t>A.9</w:t>
      </w:r>
      <w:r>
        <w:t>.</w:t>
      </w:r>
    </w:p>
    <w:p>
      <w:pPr>
        <w:pStyle w:val="ListBullet"/>
      </w:pPr>
      <w:r>
        <w:t xml:space="preserve">STC 53/1986: </w:t>
      </w:r>
      <w:r>
        <w:rPr>
          <w:b/>
        </w:rPr>
        <w:t>A.2</w:t>
      </w:r>
      <w:r>
        <w:t>.</w:t>
      </w:r>
    </w:p>
    <w:p>
      <w:pPr>
        <w:pStyle w:val="ListBullet"/>
      </w:pPr>
      <w:r>
        <w:t xml:space="preserve">STC 108/1986: </w:t>
      </w:r>
      <w:r>
        <w:rPr>
          <w:b/>
        </w:rPr>
        <w:t>6.4</w:t>
      </w:r>
      <w:r>
        <w:t xml:space="preserve">, </w:t>
      </w:r>
      <w:r>
        <w:rPr>
          <w:b/>
        </w:rPr>
        <w:t>A.4</w:t>
      </w:r>
      <w:r>
        <w:t>.</w:t>
      </w:r>
    </w:p>
    <w:p>
      <w:pPr>
        <w:pStyle w:val="ListBullet"/>
      </w:pPr>
      <w:r>
        <w:t xml:space="preserve">STC 152/1988: </w:t>
      </w:r>
      <w:r>
        <w:rPr>
          <w:b/>
        </w:rPr>
        <w:t>A.2</w:t>
      </w:r>
      <w:r>
        <w:t>.</w:t>
      </w:r>
    </w:p>
    <w:p>
      <w:pPr>
        <w:pStyle w:val="ListBullet"/>
      </w:pPr>
      <w:r>
        <w:t xml:space="preserve">STC 132/1989: </w:t>
      </w:r>
      <w:r>
        <w:rPr>
          <w:b/>
        </w:rPr>
        <w:t>A.2</w:t>
      </w:r>
      <w:r>
        <w:t>.</w:t>
      </w:r>
    </w:p>
    <w:p>
      <w:pPr>
        <w:pStyle w:val="ListBullet"/>
      </w:pPr>
      <w:r>
        <w:t xml:space="preserve">STC 219/1989: </w:t>
      </w:r>
      <w:r>
        <w:rPr>
          <w:b/>
        </w:rPr>
        <w:t>A.2</w:t>
      </w:r>
      <w:r>
        <w:t>.</w:t>
      </w:r>
    </w:p>
    <w:p>
      <w:pPr>
        <w:pStyle w:val="ListBullet"/>
      </w:pPr>
      <w:r>
        <w:t xml:space="preserve">STC 76/1990: </w:t>
      </w:r>
      <w:r>
        <w:rPr>
          <w:b/>
        </w:rPr>
        <w:t>7.6</w:t>
      </w:r>
      <w:r>
        <w:t xml:space="preserve">, </w:t>
      </w:r>
      <w:r>
        <w:rPr>
          <w:b/>
        </w:rPr>
        <w:t>11.3</w:t>
      </w:r>
      <w:r>
        <w:t xml:space="preserve">, </w:t>
      </w:r>
      <w:r>
        <w:rPr>
          <w:b/>
        </w:rPr>
        <w:t>A.2</w:t>
      </w:r>
      <w:r>
        <w:t>.</w:t>
      </w:r>
    </w:p>
    <w:p>
      <w:pPr>
        <w:pStyle w:val="ListBullet"/>
      </w:pPr>
      <w:r>
        <w:t xml:space="preserve">STC 150/1990: </w:t>
      </w:r>
      <w:r>
        <w:rPr>
          <w:b/>
        </w:rPr>
        <w:t>7.6</w:t>
      </w:r>
      <w:r>
        <w:t xml:space="preserve">, </w:t>
      </w:r>
      <w:r>
        <w:rPr>
          <w:b/>
        </w:rPr>
        <w:t>A.2</w:t>
      </w:r>
      <w:r>
        <w:t xml:space="preserve">, </w:t>
      </w:r>
      <w:r>
        <w:rPr>
          <w:b/>
        </w:rPr>
        <w:t>A.10</w:t>
      </w:r>
      <w:r>
        <w:t>.</w:t>
      </w:r>
    </w:p>
    <w:p>
      <w:pPr>
        <w:pStyle w:val="ListBullet"/>
      </w:pPr>
      <w:r>
        <w:t xml:space="preserve">STC 10/1991: </w:t>
      </w:r>
      <w:r>
        <w:rPr>
          <w:b/>
        </w:rPr>
        <w:t>10.7</w:t>
      </w:r>
      <w:r>
        <w:t>.</w:t>
      </w:r>
    </w:p>
    <w:p>
      <w:pPr>
        <w:pStyle w:val="ListBullet"/>
      </w:pPr>
      <w:r>
        <w:t xml:space="preserve">STC 145/1991: </w:t>
      </w:r>
      <w:r>
        <w:rPr>
          <w:b/>
        </w:rPr>
        <w:t>A.2</w:t>
      </w:r>
      <w:r>
        <w:t>.</w:t>
      </w:r>
    </w:p>
    <w:p>
      <w:pPr>
        <w:pStyle w:val="ListBullet"/>
      </w:pPr>
      <w:r>
        <w:t xml:space="preserve">STC 147/1991: </w:t>
      </w:r>
      <w:r>
        <w:rPr>
          <w:b/>
        </w:rPr>
        <w:t>A.9</w:t>
      </w:r>
      <w:r>
        <w:t>.</w:t>
      </w:r>
    </w:p>
    <w:p>
      <w:pPr>
        <w:pStyle w:val="ListBullet"/>
      </w:pPr>
      <w:r>
        <w:t xml:space="preserve">STC 149/1991: </w:t>
      </w:r>
      <w:r>
        <w:rPr>
          <w:b/>
        </w:rPr>
        <w:t>A.8</w:t>
      </w:r>
      <w:r>
        <w:t>.</w:t>
      </w:r>
    </w:p>
    <w:p>
      <w:pPr>
        <w:pStyle w:val="ListBullet"/>
      </w:pPr>
      <w:r>
        <w:t xml:space="preserve">STC 245/1991: </w:t>
      </w:r>
      <w:r>
        <w:rPr>
          <w:b/>
        </w:rPr>
        <w:t>A.2</w:t>
      </w:r>
      <w:r>
        <w:t>.</w:t>
      </w:r>
    </w:p>
    <w:p>
      <w:pPr>
        <w:pStyle w:val="ListBullet"/>
      </w:pPr>
      <w:r>
        <w:t xml:space="preserve">STC 66/1995: </w:t>
      </w:r>
      <w:r>
        <w:rPr>
          <w:b/>
        </w:rPr>
        <w:t>10.4</w:t>
      </w:r>
      <w:r>
        <w:t xml:space="preserve">, </w:t>
      </w:r>
      <w:r>
        <w:rPr>
          <w:b/>
        </w:rPr>
        <w:t>10.7</w:t>
      </w:r>
      <w:r>
        <w:t>.</w:t>
      </w:r>
    </w:p>
    <w:p>
      <w:pPr>
        <w:pStyle w:val="ListBullet"/>
      </w:pPr>
      <w:r>
        <w:t xml:space="preserve">STC 55/1996: </w:t>
      </w:r>
      <w:r>
        <w:rPr>
          <w:b/>
        </w:rPr>
        <w:t>10.4</w:t>
      </w:r>
      <w:r>
        <w:t xml:space="preserve">, </w:t>
      </w:r>
      <w:r>
        <w:rPr>
          <w:b/>
        </w:rPr>
        <w:t>10.7</w:t>
      </w:r>
      <w:r>
        <w:t>.</w:t>
      </w:r>
    </w:p>
    <w:p>
      <w:pPr>
        <w:pStyle w:val="ListBullet"/>
      </w:pPr>
      <w:r>
        <w:t xml:space="preserve">STC 118/1996: </w:t>
      </w:r>
      <w:r>
        <w:rPr>
          <w:b/>
        </w:rPr>
        <w:t>A.9</w:t>
      </w:r>
      <w:r>
        <w:t>.</w:t>
      </w:r>
    </w:p>
    <w:p>
      <w:pPr>
        <w:pStyle w:val="ListBullet"/>
      </w:pPr>
      <w:r>
        <w:t xml:space="preserve">STC 173/1996: </w:t>
      </w:r>
      <w:r>
        <w:rPr>
          <w:b/>
        </w:rPr>
        <w:t>A.1</w:t>
      </w:r>
      <w:r>
        <w:t>.</w:t>
      </w:r>
    </w:p>
    <w:p>
      <w:pPr>
        <w:pStyle w:val="ListBullet"/>
      </w:pPr>
      <w:r>
        <w:t xml:space="preserve">STC 207/1996: </w:t>
      </w:r>
      <w:r>
        <w:rPr>
          <w:b/>
        </w:rPr>
        <w:t>10.4</w:t>
      </w:r>
      <w:r>
        <w:t xml:space="preserve">, </w:t>
      </w:r>
      <w:r>
        <w:rPr>
          <w:b/>
        </w:rPr>
        <w:t>10.7</w:t>
      </w:r>
      <w:r>
        <w:t>.</w:t>
      </w:r>
    </w:p>
    <w:p>
      <w:pPr>
        <w:pStyle w:val="ListBullet"/>
      </w:pPr>
      <w:r>
        <w:t xml:space="preserve">STC 61/1997: </w:t>
      </w:r>
      <w:r>
        <w:rPr>
          <w:b/>
        </w:rPr>
        <w:t>A.9</w:t>
      </w:r>
      <w:r>
        <w:t>.</w:t>
      </w:r>
    </w:p>
    <w:p>
      <w:pPr>
        <w:pStyle w:val="ListBullet"/>
      </w:pPr>
      <w:r>
        <w:t xml:space="preserve">STC 182/1997: </w:t>
      </w:r>
      <w:r>
        <w:rPr>
          <w:b/>
        </w:rPr>
        <w:t>A.4</w:t>
      </w:r>
      <w:r>
        <w:t>.</w:t>
      </w:r>
    </w:p>
    <w:p>
      <w:pPr>
        <w:pStyle w:val="ListBullet"/>
      </w:pPr>
      <w:r>
        <w:t xml:space="preserve">STC 233/1999: </w:t>
      </w:r>
      <w:r>
        <w:rPr>
          <w:b/>
        </w:rPr>
        <w:t>A.2</w:t>
      </w:r>
      <w:r>
        <w:t>.</w:t>
      </w:r>
    </w:p>
    <w:p>
      <w:pPr>
        <w:pStyle w:val="ListBullet"/>
      </w:pPr>
      <w:r>
        <w:t xml:space="preserve">STC 105/2000: </w:t>
      </w:r>
      <w:r>
        <w:rPr>
          <w:b/>
        </w:rPr>
        <w:t>6.4</w:t>
      </w:r>
      <w:r>
        <w:t>.</w:t>
      </w:r>
    </w:p>
    <w:p>
      <w:pPr>
        <w:pStyle w:val="ListBullet"/>
      </w:pPr>
      <w:r>
        <w:t xml:space="preserve">STC 68/2001: </w:t>
      </w:r>
      <w:r>
        <w:rPr>
          <w:b/>
        </w:rPr>
        <w:t>A.5</w:t>
      </w:r>
      <w:r>
        <w:t>.</w:t>
      </w:r>
    </w:p>
    <w:p>
      <w:pPr>
        <w:pStyle w:val="ListBullet"/>
      </w:pPr>
      <w:r>
        <w:t xml:space="preserve">STC 5/2004: </w:t>
      </w:r>
      <w:r>
        <w:rPr>
          <w:b/>
        </w:rPr>
        <w:t>6.4</w:t>
      </w:r>
      <w:r>
        <w:t xml:space="preserve">, </w:t>
      </w:r>
      <w:r>
        <w:rPr>
          <w:b/>
        </w:rPr>
        <w:t>A.2</w:t>
      </w:r>
      <w:r>
        <w:t>.</w:t>
      </w:r>
    </w:p>
    <w:p>
      <w:pPr>
        <w:pStyle w:val="ListBullet"/>
      </w:pPr>
      <w:r>
        <w:t xml:space="preserve">STC 6/2004: </w:t>
      </w:r>
      <w:r>
        <w:rPr>
          <w:b/>
        </w:rPr>
        <w:t>A.2</w:t>
      </w:r>
      <w:r>
        <w:t>.</w:t>
      </w:r>
    </w:p>
    <w:p>
      <w:pPr>
        <w:pStyle w:val="ListBullet"/>
      </w:pPr>
      <w:r>
        <w:t xml:space="preserve">STC 166/2007: </w:t>
      </w:r>
      <w:r>
        <w:rPr>
          <w:b/>
        </w:rPr>
        <w:t>A.4</w:t>
      </w:r>
      <w:r>
        <w:t>.</w:t>
      </w:r>
    </w:p>
    <w:p>
      <w:pPr>
        <w:pStyle w:val="ListBullet"/>
      </w:pPr>
      <w:r>
        <w:t xml:space="preserve">STC 31/2010: </w:t>
      </w:r>
      <w:r>
        <w:rPr>
          <w:b/>
        </w:rPr>
        <w:t>A.9</w:t>
      </w:r>
      <w:r>
        <w:t>.</w:t>
      </w:r>
    </w:p>
    <w:p>
      <w:pPr>
        <w:pStyle w:val="ListBullet"/>
      </w:pPr>
      <w:r>
        <w:t xml:space="preserve">STC 163/2011: </w:t>
      </w:r>
      <w:r>
        <w:rPr>
          <w:b/>
        </w:rPr>
        <w:t>6.4</w:t>
      </w:r>
      <w:r>
        <w:t>.</w:t>
      </w:r>
    </w:p>
    <w:p>
      <w:pPr>
        <w:pStyle w:val="ListBullet"/>
      </w:pPr>
      <w:r>
        <w:t xml:space="preserve">STC 145/2012: </w:t>
      </w:r>
      <w:r>
        <w:rPr>
          <w:b/>
        </w:rPr>
        <w:t>11.3</w:t>
      </w:r>
      <w:r>
        <w:t>.</w:t>
      </w:r>
    </w:p>
    <w:p>
      <w:pPr>
        <w:pStyle w:val="ListBullet"/>
      </w:pPr>
      <w:r>
        <w:t xml:space="preserve">STC 198/2012: </w:t>
      </w:r>
      <w:r>
        <w:rPr>
          <w:b/>
        </w:rPr>
        <w:t>7.3</w:t>
      </w:r>
      <w:r>
        <w:t xml:space="preserve">, </w:t>
      </w:r>
      <w:r>
        <w:rPr>
          <w:b/>
        </w:rPr>
        <w:t>A.2</w:t>
      </w:r>
      <w:r>
        <w:t>.</w:t>
      </w:r>
    </w:p>
    <w:p>
      <w:pPr>
        <w:pStyle w:val="ListBullet"/>
      </w:pPr>
      <w:r>
        <w:t xml:space="preserve">STC 205/2013: </w:t>
      </w:r>
      <w:r>
        <w:rPr>
          <w:b/>
        </w:rPr>
        <w:t>A.7</w:t>
      </w:r>
      <w:r>
        <w:t>.</w:t>
      </w:r>
    </w:p>
    <w:p>
      <w:pPr>
        <w:pStyle w:val="ListBullet"/>
      </w:pPr>
      <w:r>
        <w:t xml:space="preserve">STC 26/2014: </w:t>
      </w:r>
      <w:r>
        <w:rPr>
          <w:b/>
        </w:rPr>
        <w:t>A.4</w:t>
      </w:r>
      <w:r>
        <w:t>.</w:t>
      </w:r>
    </w:p>
    <w:p>
      <w:pPr>
        <w:pStyle w:val="ListBullet"/>
      </w:pPr>
      <w:r>
        <w:t xml:space="preserve">STC 31/2015: </w:t>
      </w:r>
      <w:r>
        <w:rPr>
          <w:b/>
        </w:rPr>
        <w:t>7.3</w:t>
      </w:r>
      <w:r>
        <w:t xml:space="preserve">, </w:t>
      </w:r>
      <w:r>
        <w:rPr>
          <w:b/>
        </w:rPr>
        <w:t>A.1</w:t>
      </w:r>
      <w:r>
        <w:t>.</w:t>
      </w:r>
    </w:p>
    <w:p>
      <w:pPr>
        <w:pStyle w:val="ListBullet"/>
      </w:pPr>
      <w:r>
        <w:t xml:space="preserve">STC 49/2015: </w:t>
      </w:r>
      <w:r>
        <w:rPr>
          <w:b/>
        </w:rPr>
        <w:t>A.2</w:t>
      </w:r>
      <w:r>
        <w:t>.</w:t>
      </w:r>
    </w:p>
    <w:p>
      <w:pPr>
        <w:pStyle w:val="ListBullet"/>
      </w:pPr>
      <w:r>
        <w:t xml:space="preserve">STC 95/2015: </w:t>
      </w:r>
      <w:r>
        <w:rPr>
          <w:b/>
        </w:rPr>
        <w:t>A.2</w:t>
      </w:r>
      <w:r>
        <w:t>.</w:t>
      </w:r>
    </w:p>
    <w:p>
      <w:pPr>
        <w:pStyle w:val="ListBullet"/>
      </w:pPr>
      <w:r>
        <w:t xml:space="preserve">STC 4/2016: </w:t>
      </w:r>
      <w:r>
        <w:rPr>
          <w:b/>
        </w:rPr>
        <w:t>A.1</w:t>
      </w:r>
      <w:r>
        <w:t>.</w:t>
      </w:r>
    </w:p>
    <w:p>
      <w:pPr>
        <w:pStyle w:val="ListBullet"/>
      </w:pPr>
      <w:r>
        <w:t xml:space="preserve">STC 41/2016: </w:t>
      </w:r>
      <w:r>
        <w:rPr>
          <w:b/>
        </w:rPr>
        <w:t>A.9</w:t>
      </w:r>
      <w:r>
        <w:t>.</w:t>
      </w:r>
    </w:p>
    <w:p>
      <w:pPr>
        <w:pStyle w:val="ListBullet"/>
      </w:pPr>
      <w:r>
        <w:t xml:space="preserve">STC 104/2016: </w:t>
      </w:r>
      <w:r>
        <w:rPr>
          <w:b/>
        </w:rPr>
        <w:t>A.1</w:t>
      </w:r>
      <w:r>
        <w:t>.</w:t>
      </w:r>
    </w:p>
    <w:p>
      <w:pPr>
        <w:pStyle w:val="ListBullet"/>
      </w:pPr>
      <w:r>
        <w:t xml:space="preserve">STC 111/2016: </w:t>
      </w:r>
      <w:r>
        <w:rPr>
          <w:b/>
        </w:rPr>
        <w:t>A.9</w:t>
      </w:r>
      <w:r>
        <w:t>.</w:t>
      </w:r>
    </w:p>
    <w:p>
      <w:pPr>
        <w:pStyle w:val="ListBullet"/>
      </w:pPr>
      <w:r>
        <w:t xml:space="preserve">STC 185/2016: </w:t>
      </w:r>
      <w:r>
        <w:rPr>
          <w:b/>
        </w:rPr>
        <w:t>A.10</w:t>
      </w:r>
      <w:r>
        <w:t>.</w:t>
      </w:r>
    </w:p>
    <w:p>
      <w:pPr>
        <w:pStyle w:val="ListBullet"/>
      </w:pPr>
      <w:r>
        <w:t xml:space="preserve">STC 215/2016: </w:t>
      </w:r>
      <w:r>
        <w:rPr>
          <w:b/>
        </w:rPr>
        <w:t>A.10</w:t>
      </w:r>
      <w:r>
        <w:t>.</w:t>
      </w:r>
    </w:p>
    <w:p>
      <w:pPr>
        <w:pStyle w:val="ListBullet"/>
      </w:pPr>
      <w:r>
        <w:t xml:space="preserve">STC 51/2017: </w:t>
      </w:r>
      <w:r>
        <w:rPr>
          <w:b/>
        </w:rPr>
        <w:t>7.3</w:t>
      </w:r>
      <w:r>
        <w:t xml:space="preserve">, </w:t>
      </w:r>
      <w:r>
        <w:rPr>
          <w:b/>
        </w:rPr>
        <w:t>A.1</w:t>
      </w:r>
      <w:r>
        <w:t>.</w:t>
      </w:r>
    </w:p>
    <w:p>
      <w:pPr>
        <w:pStyle w:val="ListBullet"/>
      </w:pPr>
      <w:r>
        <w:t xml:space="preserve">STC 59/2017: </w:t>
      </w:r>
      <w:r>
        <w:rPr>
          <w:b/>
        </w:rPr>
        <w:t>10.4</w:t>
      </w:r>
      <w:r>
        <w:t>.</w:t>
      </w:r>
    </w:p>
    <w:p>
      <w:pPr>
        <w:pStyle w:val="ListBullet"/>
      </w:pPr>
      <w:r>
        <w:t xml:space="preserve">STC 73/2017: </w:t>
      </w:r>
      <w:r>
        <w:rPr>
          <w:b/>
        </w:rPr>
        <w:t>5.1</w:t>
      </w:r>
      <w:r>
        <w:t xml:space="preserve">, </w:t>
      </w:r>
      <w:r>
        <w:rPr>
          <w:b/>
        </w:rPr>
        <w:t>11.3</w:t>
      </w:r>
      <w:r>
        <w:t xml:space="preserve">, </w:t>
      </w:r>
      <w:r>
        <w:rPr>
          <w:b/>
        </w:rPr>
        <w:t>A.2</w:t>
      </w:r>
      <w:r>
        <w:t xml:space="preserve">, </w:t>
      </w:r>
      <w:r>
        <w:rPr>
          <w:b/>
        </w:rPr>
        <w:t>A.4</w:t>
      </w:r>
      <w:r>
        <w:t>.</w:t>
      </w:r>
    </w:p>
    <w:p>
      <w:pPr>
        <w:pStyle w:val="ListBullet"/>
      </w:pPr>
      <w:r>
        <w:t xml:space="preserve">STC 79/2017: </w:t>
      </w:r>
      <w:r>
        <w:rPr>
          <w:b/>
        </w:rPr>
        <w:t>A.9</w:t>
      </w:r>
      <w:r>
        <w:t>.</w:t>
      </w:r>
    </w:p>
    <w:p>
      <w:pPr>
        <w:pStyle w:val="ListBullet"/>
      </w:pPr>
      <w:r>
        <w:t xml:space="preserve">STC 111/2017: </w:t>
      </w:r>
      <w:r>
        <w:rPr>
          <w:b/>
        </w:rPr>
        <w:t>A.9</w:t>
      </w:r>
      <w:r>
        <w:t>.</w:t>
      </w:r>
    </w:p>
    <w:p>
      <w:pPr>
        <w:pStyle w:val="ListBullet"/>
      </w:pPr>
      <w:r>
        <w:t xml:space="preserve">STC 114/2017: </w:t>
      </w:r>
      <w:r>
        <w:rPr>
          <w:b/>
        </w:rPr>
        <w:t>7.3</w:t>
      </w:r>
      <w:r>
        <w:t xml:space="preserve">, </w:t>
      </w:r>
      <w:r>
        <w:rPr>
          <w:b/>
        </w:rPr>
        <w:t>A.1</w:t>
      </w:r>
      <w:r>
        <w:t>.</w:t>
      </w:r>
    </w:p>
    <w:p>
      <w:pPr>
        <w:pStyle w:val="ListBullet"/>
      </w:pPr>
      <w:r>
        <w:t xml:space="preserve">STC 45/2018: </w:t>
      </w:r>
      <w:r>
        <w:rPr>
          <w:b/>
        </w:rPr>
        <w:t>A.1</w:t>
      </w:r>
      <w:r>
        <w:t>.</w:t>
      </w:r>
    </w:p>
    <w:p>
      <w:pPr>
        <w:pStyle w:val="ListBullet"/>
      </w:pPr>
      <w:r>
        <w:t xml:space="preserve">STC 51/2018: </w:t>
      </w:r>
      <w:r>
        <w:rPr>
          <w:b/>
        </w:rPr>
        <w:t>A.1</w:t>
      </w:r>
      <w:r>
        <w:t>.</w:t>
      </w:r>
    </w:p>
    <w:p>
      <w:pPr>
        <w:pStyle w:val="ListBullet"/>
      </w:pPr>
      <w:r>
        <w:t xml:space="preserve">STC 61/2018: </w:t>
      </w:r>
      <w:r>
        <w:rPr>
          <w:b/>
        </w:rPr>
        <w:t>11.3</w:t>
      </w:r>
      <w:r>
        <w:t xml:space="preserve">, </w:t>
      </w:r>
      <w:r>
        <w:rPr>
          <w:b/>
        </w:rPr>
        <w:t>A.4</w:t>
      </w:r>
      <w:r>
        <w:t>.</w:t>
      </w:r>
    </w:p>
    <w:p>
      <w:pPr>
        <w:pStyle w:val="ListBullet"/>
      </w:pPr>
      <w:r>
        <w:t xml:space="preserve">STC 124/2018: </w:t>
      </w:r>
      <w:r>
        <w:rPr>
          <w:b/>
        </w:rPr>
        <w:t>A.5</w:t>
      </w:r>
      <w:r>
        <w:t>.</w:t>
      </w:r>
    </w:p>
    <w:p>
      <w:pPr>
        <w:pStyle w:val="ListBullet"/>
      </w:pPr>
      <w:r>
        <w:t xml:space="preserve">STC 32/2019: </w:t>
      </w:r>
      <w:r>
        <w:rPr>
          <w:b/>
        </w:rPr>
        <w:t>A.2</w:t>
      </w:r>
      <w:r>
        <w:t>.</w:t>
      </w:r>
    </w:p>
    <w:p>
      <w:pPr>
        <w:pStyle w:val="ListBullet"/>
      </w:pPr>
      <w:r>
        <w:t xml:space="preserve">STC 89/2019: </w:t>
      </w:r>
      <w:r>
        <w:rPr>
          <w:b/>
        </w:rPr>
        <w:t>A.1</w:t>
      </w:r>
      <w:r>
        <w:t>.</w:t>
      </w:r>
    </w:p>
    <w:p>
      <w:pPr>
        <w:pStyle w:val="ListBullet"/>
      </w:pPr>
      <w:r>
        <w:t xml:space="preserve">STC 90/2019: </w:t>
      </w:r>
      <w:r>
        <w:rPr>
          <w:b/>
        </w:rPr>
        <w:t>A.1</w:t>
      </w:r>
      <w:r>
        <w:t>.</w:t>
      </w:r>
    </w:p>
    <w:p>
      <w:pPr>
        <w:pStyle w:val="ListBullet"/>
      </w:pPr>
      <w:r>
        <w:t xml:space="preserve">STC 98/2019: </w:t>
      </w:r>
      <w:r>
        <w:rPr>
          <w:b/>
        </w:rPr>
        <w:t>A.3</w:t>
      </w:r>
      <w:r>
        <w:t>.</w:t>
      </w:r>
    </w:p>
    <w:p>
      <w:pPr>
        <w:pStyle w:val="ListBullet"/>
      </w:pPr>
      <w:r>
        <w:t xml:space="preserve">STC 108/2019: </w:t>
      </w:r>
      <w:r>
        <w:rPr>
          <w:b/>
        </w:rPr>
        <w:t>A.2</w:t>
      </w:r>
      <w:r>
        <w:t>.</w:t>
      </w:r>
    </w:p>
    <w:p>
      <w:pPr>
        <w:pStyle w:val="ListBullet"/>
      </w:pPr>
      <w:r>
        <w:t xml:space="preserve">STC 126/2019: </w:t>
      </w:r>
      <w:r>
        <w:rPr>
          <w:b/>
        </w:rPr>
        <w:t>7.6</w:t>
      </w:r>
      <w:r>
        <w:t xml:space="preserve">, </w:t>
      </w:r>
      <w:r>
        <w:rPr>
          <w:b/>
        </w:rPr>
        <w:t>A.2</w:t>
      </w:r>
      <w:r>
        <w:t>.</w:t>
      </w:r>
    </w:p>
    <w:p>
      <w:pPr>
        <w:pStyle w:val="ListBullet"/>
      </w:pPr>
      <w:r>
        <w:t xml:space="preserve">STC 14/2020: </w:t>
      </w:r>
      <w:r>
        <w:rPr>
          <w:b/>
        </w:rPr>
        <w:t>A.4</w:t>
      </w:r>
      <w:r>
        <w:t>.</w:t>
      </w:r>
    </w:p>
    <w:p>
      <w:pPr>
        <w:pStyle w:val="ListBullet"/>
      </w:pPr>
      <w:r>
        <w:t xml:space="preserve">STC 79/2020: </w:t>
      </w:r>
      <w:r>
        <w:rPr>
          <w:b/>
        </w:rPr>
        <w:t>A.2</w:t>
      </w:r>
      <w:r>
        <w:t>.</w:t>
      </w:r>
    </w:p>
    <w:p>
      <w:pPr>
        <w:pStyle w:val="ListBullet"/>
      </w:pPr>
      <w:r>
        <w:t xml:space="preserve">STC 172/2020: </w:t>
      </w:r>
      <w:r>
        <w:rPr>
          <w:b/>
        </w:rPr>
        <w:t>7.3</w:t>
      </w:r>
      <w:r>
        <w:t xml:space="preserve">, </w:t>
      </w:r>
      <w:r>
        <w:rPr>
          <w:b/>
        </w:rPr>
        <w:t>A.2</w:t>
      </w:r>
      <w:r>
        <w:t>.</w:t>
      </w:r>
    </w:p>
    <w:p>
      <w:pPr>
        <w:pStyle w:val="ListBullet"/>
      </w:pPr>
      <w:r>
        <w:t xml:space="preserve">STC 73/2021: </w:t>
      </w:r>
      <w:r>
        <w:rPr>
          <w:b/>
        </w:rPr>
        <w:t>A.2</w:t>
      </w:r>
      <w:r>
        <w:t>.</w:t>
      </w:r>
    </w:p>
    <w:p>
      <w:pPr>
        <w:pStyle w:val="ListBullet"/>
      </w:pPr>
      <w:r>
        <w:t xml:space="preserve">STC 148/2021: </w:t>
      </w:r>
      <w:r>
        <w:rPr>
          <w:b/>
        </w:rPr>
        <w:t>7.2</w:t>
      </w:r>
      <w:r>
        <w:t xml:space="preserve">, </w:t>
      </w:r>
      <w:r>
        <w:rPr>
          <w:b/>
        </w:rPr>
        <w:t>8.5</w:t>
      </w:r>
      <w:r>
        <w:t xml:space="preserve">, </w:t>
      </w:r>
      <w:r>
        <w:rPr>
          <w:b/>
        </w:rPr>
        <w:t>10.7</w:t>
      </w:r>
      <w:r>
        <w:t xml:space="preserve">, </w:t>
      </w:r>
      <w:r>
        <w:rPr>
          <w:b/>
        </w:rPr>
        <w:t>A.2</w:t>
      </w:r>
      <w:r>
        <w:t xml:space="preserve">, </w:t>
      </w:r>
      <w:r>
        <w:rPr>
          <w:b/>
        </w:rPr>
        <w:t>A.6</w:t>
      </w:r>
      <w:r>
        <w:t>.</w:t>
      </w:r>
    </w:p>
    <w:p>
      <w:pPr>
        <w:pStyle w:val="ListBullet"/>
      </w:pPr>
      <w:r>
        <w:t xml:space="preserve">STC 169/2021: </w:t>
      </w:r>
      <w:r>
        <w:rPr>
          <w:b/>
        </w:rPr>
        <w:t>7.3</w:t>
      </w:r>
      <w:r>
        <w:t xml:space="preserve">, </w:t>
      </w:r>
      <w:r>
        <w:rPr>
          <w:b/>
        </w:rPr>
        <w:t>A.2</w:t>
      </w:r>
      <w:r>
        <w:t>.</w:t>
      </w:r>
    </w:p>
    <w:p>
      <w:pPr>
        <w:pStyle w:val="ListBullet"/>
      </w:pPr>
      <w:r>
        <w:t xml:space="preserve">STC 182/2021: </w:t>
      </w:r>
      <w:r>
        <w:rPr>
          <w:b/>
        </w:rPr>
        <w:t>5.1</w:t>
      </w:r>
      <w:r>
        <w:t xml:space="preserve">, </w:t>
      </w:r>
      <w:r>
        <w:rPr>
          <w:b/>
        </w:rPr>
        <w:t>7.2</w:t>
      </w:r>
      <w:r>
        <w:t xml:space="preserve">, </w:t>
      </w:r>
      <w:r>
        <w:rPr>
          <w:b/>
        </w:rPr>
        <w:t>10.4</w:t>
      </w:r>
      <w:r>
        <w:t xml:space="preserve">, </w:t>
      </w:r>
      <w:r>
        <w:rPr>
          <w:b/>
        </w:rPr>
        <w:t>A.2</w:t>
      </w:r>
      <w:r>
        <w:t>.</w:t>
      </w:r>
    </w:p>
    <w:p>
      <w:pPr>
        <w:pStyle w:val="ListBullet"/>
      </w:pPr>
      <w:r>
        <w:t xml:space="preserve">STC 183/2021: </w:t>
      </w:r>
      <w:r>
        <w:rPr>
          <w:b/>
        </w:rPr>
        <w:t>7.2</w:t>
      </w:r>
      <w:r>
        <w:t xml:space="preserve">, </w:t>
      </w:r>
      <w:r>
        <w:rPr>
          <w:b/>
        </w:rPr>
        <w:t>A.2</w:t>
      </w:r>
      <w:r>
        <w:t xml:space="preserve">, </w:t>
      </w:r>
      <w:r>
        <w:rPr>
          <w:b/>
        </w:rPr>
        <w:t>A.6</w:t>
      </w:r>
      <w:r>
        <w:t>.</w:t>
      </w:r>
    </w:p>
    <w:p>
      <w:pPr>
        <w:pStyle w:val="ListBullet"/>
      </w:pPr>
      <w:r>
        <w:t xml:space="preserve">STC 2/2022: </w:t>
      </w:r>
      <w:r>
        <w:rPr>
          <w:b/>
        </w:rPr>
        <w:t>A.2</w:t>
      </w:r>
      <w:r>
        <w:t>.</w:t>
      </w:r>
    </w:p>
    <w:p>
      <w:pPr>
        <w:pStyle w:val="ListBullet"/>
      </w:pPr>
      <w:r>
        <w:t xml:space="preserve">STC 49/2022: </w:t>
      </w:r>
      <w:r>
        <w:rPr>
          <w:b/>
        </w:rPr>
        <w:t>A.2</w:t>
      </w:r>
      <w:r>
        <w:t>.</w:t>
      </w:r>
    </w:p>
    <w:p>
      <w:pPr>
        <w:pStyle w:val="ListBullet"/>
      </w:pPr>
      <w:r>
        <w:t xml:space="preserve">STC 103/2022: </w:t>
      </w:r>
      <w:r>
        <w:rPr>
          <w:b/>
        </w:rPr>
        <w:t>A.2</w:t>
      </w:r>
      <w:r>
        <w:t>.</w:t>
      </w:r>
    </w:p>
    <w:p>
      <w:pPr>
        <w:pStyle w:val="ListBullet"/>
      </w:pPr>
      <w:r>
        <w:t xml:space="preserve">STC 125/2022: </w:t>
      </w:r>
      <w:r>
        <w:rPr>
          <w:b/>
        </w:rPr>
        <w:t>10.7</w:t>
      </w:r>
      <w:r>
        <w:t>.</w:t>
      </w:r>
    </w:p>
    <w:p>
      <w:pPr>
        <w:pStyle w:val="ListBullet"/>
      </w:pPr>
      <w:r>
        <w:t xml:space="preserve">STC 9/2023: </w:t>
      </w:r>
      <w:r>
        <w:rPr>
          <w:b/>
        </w:rPr>
        <w:t>A.4</w:t>
      </w:r>
      <w:r>
        <w:t>.</w:t>
      </w:r>
    </w:p>
    <w:p>
      <w:pPr>
        <w:pStyle w:val="ListBullet"/>
      </w:pPr>
      <w:r>
        <w:t xml:space="preserve">STC 17/2023: </w:t>
      </w:r>
      <w:r>
        <w:rPr>
          <w:b/>
        </w:rPr>
        <w:t>A.4</w:t>
      </w:r>
      <w:r>
        <w:t>.</w:t>
      </w:r>
    </w:p>
    <w:p>
      <w:pPr>
        <w:pStyle w:val="ListBullet"/>
      </w:pPr>
      <w:r>
        <w:t xml:space="preserve">STC 49/2023: </w:t>
      </w:r>
      <w:r>
        <w:rPr>
          <w:b/>
        </w:rPr>
        <w:t>7.3</w:t>
      </w:r>
      <w:r>
        <w:t>.</w:t>
      </w:r>
    </w:p>
    <w:p>
      <w:pPr>
        <w:pStyle w:val="ListBullet"/>
      </w:pPr>
      <w:r>
        <w:t xml:space="preserve">STC 94/2023: </w:t>
      </w:r>
      <w:r>
        <w:rPr>
          <w:b/>
        </w:rPr>
        <w:t>A.4</w:t>
      </w:r>
      <w:r>
        <w:t>.</w:t>
      </w:r>
    </w:p>
    <w:p>
      <w:pPr>
        <w:pStyle w:val="ListBullet"/>
      </w:pPr>
      <w:r>
        <w:t xml:space="preserve">STC 128/2023: </w:t>
      </w:r>
      <w:r>
        <w:rPr>
          <w:b/>
        </w:rPr>
        <w:t>A.4</w:t>
      </w:r>
      <w:r>
        <w:t xml:space="preserve">, </w:t>
      </w:r>
      <w:r>
        <w:rPr>
          <w:b/>
        </w:rPr>
        <w:t>A.10</w:t>
      </w:r>
      <w:r>
        <w:t>.</w:t>
      </w:r>
    </w:p>
    <w:p>
      <w:pPr>
        <w:pStyle w:val="ListBullet"/>
      </w:pPr>
      <w:r>
        <w:t xml:space="preserve">STC 149/2023: </w:t>
      </w:r>
      <w:r>
        <w:rPr>
          <w:b/>
        </w:rPr>
        <w:t>A.8</w:t>
      </w:r>
      <w:r>
        <w:t>.</w:t>
      </w:r>
    </w:p>
    <w:p>
      <w:pPr>
        <w:pStyle w:val="ListBullet"/>
      </w:pPr>
      <w:r>
        <w:t xml:space="preserve">STC 31/2024: </w:t>
      </w:r>
      <w:r>
        <w:rPr>
          <w:b/>
        </w:rPr>
        <w:t>A.4</w:t>
      </w:r>
      <w:r>
        <w:t>.</w:t>
      </w:r>
    </w:p>
    <w:p>
      <w:pPr>
        <w:pStyle w:val="ListBullet"/>
      </w:pPr>
      <w:r>
        <w:t xml:space="preserve">STC 45/2024: </w:t>
      </w:r>
      <w:r>
        <w:rPr>
          <w:b/>
        </w:rPr>
        <w:t>A.4</w:t>
      </w:r>
      <w:r>
        <w:t>.</w:t>
      </w:r>
    </w:p>
    <w:p>
      <w:pPr>
        <w:pStyle w:val="ListBullet"/>
      </w:pPr>
      <w:r>
        <w:t xml:space="preserve">STC 79/2024: </w:t>
      </w:r>
      <w:r>
        <w:rPr>
          <w:b/>
        </w:rPr>
        <w:t>A.2</w:t>
      </w:r>
      <w:r>
        <w:t xml:space="preserve">, </w:t>
      </w:r>
      <w:r>
        <w:rPr>
          <w:b/>
        </w:rPr>
        <w:t>A.9</w:t>
      </w:r>
      <w:r>
        <w:t>.</w:t>
      </w:r>
    </w:p>
    <w:p>
      <w:pPr>
        <w:pStyle w:val="ListBullet"/>
      </w:pPr>
      <w:r>
        <w:t xml:space="preserve">STC 85/2024: </w:t>
      </w:r>
      <w:r>
        <w:rPr>
          <w:b/>
        </w:rPr>
        <w:t>A.2</w:t>
      </w:r>
      <w:r>
        <w:t>.</w:t>
      </w:r>
    </w:p>
    <w:p>
      <w:pPr>
        <w:pStyle w:val="ListBullet"/>
      </w:pPr>
      <w:r>
        <w:t xml:space="preserve">STC 139/2024: </w:t>
      </w:r>
      <w:r>
        <w:rPr>
          <w:b/>
        </w:rPr>
        <w:t>A.4</w:t>
      </w:r>
      <w:r>
        <w:t xml:space="preserve">, </w:t>
      </w:r>
      <w:r>
        <w:rPr>
          <w:b/>
        </w:rPr>
        <w:t>A.10</w:t>
      </w:r>
      <w:r>
        <w:t>.</w:t>
      </w:r>
    </w:p>
    <w:p>
      <w:pPr>
        <w:pStyle w:val="ListBullet"/>
      </w:pPr>
      <w:r>
        <w:t xml:space="preserve">STC 153/2024: </w:t>
      </w:r>
      <w:r>
        <w:rPr>
          <w:b/>
        </w:rPr>
        <w:t>A.10</w:t>
      </w:r>
      <w:r>
        <w:t>.</w:t>
      </w:r>
    </w:p>
    <w:p>
      <w:pPr>
        <w:pStyle w:val="ListBullet"/>
      </w:pPr>
      <w:r>
        <w:t xml:space="preserve">STC 26/2025: </w:t>
      </w:r>
      <w:r>
        <w:rPr>
          <w:b/>
        </w:rPr>
        <w:t>A.9</w:t>
      </w:r>
      <w:r>
        <w:t>.</w:t>
      </w:r>
    </w:p>
    <w:p>
      <w:pPr>
        <w:pStyle w:val="ListBullet"/>
      </w:pPr>
      <w:r>
        <w:t xml:space="preserve">STC 121/2025: </w:t>
      </w:r>
      <w:r>
        <w:rPr>
          <w:b/>
        </w:rPr>
        <w:t>10.4</w:t>
      </w:r>
      <w:r>
        <w:t>.</w:t>
      </w:r>
    </w:p>
    <w:p>
      <w:pPr>
        <w:pStyle w:val="ListBullet"/>
      </w:pPr>
      <w:r>
        <w:t xml:space="preserve">STC 137/2025: </w:t>
      </w:r>
      <w:r>
        <w:rPr>
          <w:b/>
        </w:rPr>
        <w:t>7.2</w:t>
      </w:r>
      <w:r>
        <w:t xml:space="preserve">, </w:t>
      </w:r>
      <w:r>
        <w:rPr>
          <w:b/>
        </w:rPr>
        <w:t>H.10</w:t>
      </w:r>
      <w:r>
        <w:t>.</w:t>
      </w:r>
    </w:p>
    <w:p>
      <w:pPr>
        <w:pStyle w:val="ListBullet"/>
      </w:pPr>
      <w:r>
        <w:t xml:space="preserve">STC 164/2025: </w:t>
      </w:r>
      <w:r>
        <w:rPr>
          <w:b/>
        </w:rPr>
        <w:t>7.2</w:t>
      </w:r>
      <w:r>
        <w:t>.</w:t>
      </w:r>
    </w:p>
    <w:p>
      <w:pPr>
        <w:pStyle w:val="ListBullet"/>
      </w:pPr>
      <w:r>
        <w:t xml:space="preserve">STC 184/2025: </w:t>
      </w:r>
      <w:r>
        <w:rPr>
          <w:b/>
        </w:rPr>
        <w:t>10.4</w:t>
      </w:r>
      <w:r>
        <w:t>.</w:t>
      </w:r>
    </w:p>
    <w:p>
      <w:pPr>
        <w:pStyle w:val="ListBullet"/>
      </w:pPr>
      <w:r>
        <w:t xml:space="preserve">STC 190/2025: </w:t>
      </w:r>
      <w:r>
        <w:rPr>
          <w:b/>
        </w:rPr>
        <w:t>A.9</w:t>
      </w:r>
      <w:r>
        <w:t>.</w:t>
      </w:r>
    </w:p>
    <w:p>
      <w:pPr>
        <w:pStyle w:val="ListBullet"/>
      </w:pPr>
      <w:r>
        <w:t xml:space="preserve">STC 17/2026: </w:t>
      </w:r>
      <w:r>
        <w:rPr>
          <w:b/>
        </w:rPr>
        <w:t>A.2</w:t>
      </w:r>
      <w:r>
        <w:t xml:space="preserve">, </w:t>
      </w:r>
      <w:r>
        <w:rPr>
          <w:b/>
        </w:rPr>
        <w:t>A.9</w:t>
      </w:r>
      <w:r>
        <w:t>.</w:t>
      </w:r>
    </w:p>
    <w:p>
      <w:pPr>
        <w:pStyle w:val="ListBullet"/>
      </w:pPr>
      <w:r>
        <w:t xml:space="preserve">STC 21/2026: </w:t>
      </w:r>
      <w:r>
        <w:rPr>
          <w:b/>
        </w:rPr>
        <w:t>A.2</w:t>
      </w:r>
      <w:r>
        <w:t>.</w:t>
      </w:r>
    </w:p>
    <w:p>
      <w:pPr>
        <w:pStyle w:val="ListBullet"/>
      </w:pPr>
      <w:r>
        <w:t xml:space="preserve">STC 44/2026: </w:t>
      </w:r>
      <w:r>
        <w:rPr>
          <w:b/>
        </w:rPr>
        <w:t>A.9</w:t>
      </w:r>
      <w:r>
        <w:t>.</w:t>
      </w:r>
    </w:p>
    <w:p>
      <w:pPr>
        <w:pStyle w:val="ListBullet"/>
      </w:pPr>
      <w:r>
        <w:t xml:space="preserve">Tribunal Constitucional, Auto 177/2022 (BOE-A-2023-1773): </w:t>
      </w:r>
      <w:r>
        <w:rPr>
          <w:b/>
        </w:rPr>
        <w:t>A.10</w:t>
      </w:r>
      <w:r>
        <w:t>.</w:t>
      </w:r>
    </w:p>
    <w:p>
      <w:pPr>
        <w:pStyle w:val="ListBullet"/>
      </w:pPr>
      <w:r>
        <w:t xml:space="preserve">Tribunal Constitucional, conflicto entre órganos n.º 9110-2024: </w:t>
      </w:r>
      <w:r>
        <w:rPr>
          <w:b/>
        </w:rPr>
        <w:t>A.4</w:t>
      </w:r>
      <w:r>
        <w:t>.</w:t>
      </w:r>
    </w:p>
    <w:p>
      <w:pPr>
        <w:pStyle w:val="ListBullet"/>
      </w:pPr>
      <w:r>
        <w:t xml:space="preserve">Tribunal Constitucional, Declaración 1/2025: </w:t>
      </w:r>
      <w:r>
        <w:rPr>
          <w:b/>
        </w:rPr>
        <w:t>A.4</w:t>
      </w:r>
      <w:r>
        <w:t>.</w:t>
      </w:r>
    </w:p>
    <w:p>
      <w:pPr>
        <w:pStyle w:val="ListBullet"/>
      </w:pPr>
      <w:r>
        <w:t xml:space="preserve">Tribunal Constitucional, declaración de 23-IX-2026: </w:t>
      </w:r>
      <w:r>
        <w:rPr>
          <w:b/>
        </w:rPr>
        <w:t>A.4</w:t>
      </w:r>
      <w:r>
        <w:t>.</w:t>
      </w:r>
    </w:p>
    <w:p>
      <w:pPr>
        <w:pStyle w:val="ListBullet"/>
      </w:pPr>
      <w:r>
        <w:t xml:space="preserve">Tribunal Constitucional, sentencias de 23-X-2013 y 25-VI-2015: </w:t>
      </w:r>
      <w:r>
        <w:rPr>
          <w:b/>
        </w:rPr>
        <w:t>A.2</w:t>
      </w:r>
      <w:r>
        <w:t>.</w:t>
      </w:r>
    </w:p>
    <w:p>
      <w:pPr>
        <w:pStyle w:val="ListBullet"/>
      </w:pPr>
      <w:r>
        <w:t xml:space="preserve">STS 2/1998: </w:t>
      </w:r>
      <w:r>
        <w:rPr>
          <w:b/>
        </w:rPr>
        <w:t>A.5</w:t>
      </w:r>
      <w:r>
        <w:t>.</w:t>
      </w:r>
    </w:p>
    <w:p>
      <w:pPr>
        <w:pStyle w:val="ListBullet"/>
      </w:pPr>
      <w:r>
        <w:t xml:space="preserve">STS 279/2003: </w:t>
      </w:r>
      <w:r>
        <w:rPr>
          <w:b/>
        </w:rPr>
        <w:t>A.7</w:t>
      </w:r>
      <w:r>
        <w:t>.</w:t>
      </w:r>
    </w:p>
    <w:p>
      <w:pPr>
        <w:pStyle w:val="ListBullet"/>
      </w:pPr>
      <w:r>
        <w:t xml:space="preserve">STS 1045/2007: </w:t>
      </w:r>
      <w:r>
        <w:rPr>
          <w:b/>
        </w:rPr>
        <w:t>A.7</w:t>
      </w:r>
      <w:r>
        <w:t>.</w:t>
      </w:r>
    </w:p>
    <w:p>
      <w:pPr>
        <w:pStyle w:val="ListBullet"/>
      </w:pPr>
      <w:r>
        <w:t xml:space="preserve">STS 54/2008: </w:t>
      </w:r>
      <w:r>
        <w:rPr>
          <w:b/>
        </w:rPr>
        <w:t>A.7</w:t>
      </w:r>
      <w:r>
        <w:t>.</w:t>
      </w:r>
    </w:p>
    <w:p>
      <w:pPr>
        <w:pStyle w:val="ListBullet"/>
      </w:pPr>
      <w:r>
        <w:t xml:space="preserve">STS 241/2013: </w:t>
      </w:r>
      <w:r>
        <w:rPr>
          <w:b/>
        </w:rPr>
        <w:t>A.2</w:t>
      </w:r>
      <w:r>
        <w:t xml:space="preserve">, </w:t>
      </w:r>
      <w:r>
        <w:rPr>
          <w:b/>
        </w:rPr>
        <w:t>H.10</w:t>
      </w:r>
      <w:r>
        <w:t>.</w:t>
      </w:r>
    </w:p>
    <w:p>
      <w:pPr>
        <w:pStyle w:val="ListBullet"/>
      </w:pPr>
      <w:r>
        <w:t xml:space="preserve">STS 1978/2017: </w:t>
      </w:r>
      <w:r>
        <w:rPr>
          <w:b/>
        </w:rPr>
        <w:t>8.5</w:t>
      </w:r>
      <w:r>
        <w:t>.</w:t>
      </w:r>
    </w:p>
    <w:p>
      <w:pPr>
        <w:pStyle w:val="ListBullet"/>
      </w:pPr>
      <w:r>
        <w:t xml:space="preserve">STS 184/2018: </w:t>
      </w:r>
      <w:r>
        <w:rPr>
          <w:b/>
        </w:rPr>
        <w:t>8.5</w:t>
      </w:r>
      <w:r>
        <w:t>.</w:t>
      </w:r>
    </w:p>
    <w:p>
      <w:pPr>
        <w:pStyle w:val="ListBullet"/>
      </w:pPr>
      <w:r>
        <w:t xml:space="preserve">STS 459/2019: </w:t>
      </w:r>
      <w:r>
        <w:rPr>
          <w:b/>
        </w:rPr>
        <w:t>A.4</w:t>
      </w:r>
      <w:r>
        <w:t>.</w:t>
      </w:r>
    </w:p>
    <w:p>
      <w:pPr>
        <w:pStyle w:val="ListBullet"/>
      </w:pPr>
      <w:r>
        <w:t xml:space="preserve">STS 1484/2019: </w:t>
      </w:r>
      <w:r>
        <w:rPr>
          <w:b/>
        </w:rPr>
        <w:t>A.7</w:t>
      </w:r>
      <w:r>
        <w:t>.</w:t>
      </w:r>
    </w:p>
    <w:p>
      <w:pPr>
        <w:pStyle w:val="ListBullet"/>
      </w:pPr>
      <w:r>
        <w:t xml:space="preserve">STS 572/2021: </w:t>
      </w:r>
      <w:r>
        <w:rPr>
          <w:b/>
        </w:rPr>
        <w:t>A.4</w:t>
      </w:r>
      <w:r>
        <w:t>.</w:t>
      </w:r>
    </w:p>
    <w:p>
      <w:pPr>
        <w:pStyle w:val="ListBullet"/>
      </w:pPr>
      <w:r>
        <w:t xml:space="preserve">STS 932/2021: </w:t>
      </w:r>
      <w:r>
        <w:rPr>
          <w:b/>
        </w:rPr>
        <w:t>10.4</w:t>
      </w:r>
      <w:r>
        <w:t>.</w:t>
      </w:r>
    </w:p>
    <w:p>
      <w:pPr>
        <w:pStyle w:val="ListBullet"/>
      </w:pPr>
      <w:r>
        <w:t xml:space="preserve">STS 162/2022: </w:t>
      </w:r>
      <w:r>
        <w:rPr>
          <w:b/>
        </w:rPr>
        <w:t>A.7</w:t>
      </w:r>
      <w:r>
        <w:t>.</w:t>
      </w:r>
    </w:p>
    <w:p>
      <w:pPr>
        <w:pStyle w:val="ListBullet"/>
      </w:pPr>
      <w:r>
        <w:t xml:space="preserve">STS 291/2022: </w:t>
      </w:r>
      <w:r>
        <w:rPr>
          <w:b/>
        </w:rPr>
        <w:t>11.3</w:t>
      </w:r>
      <w:r>
        <w:t>.</w:t>
      </w:r>
    </w:p>
    <w:p>
      <w:pPr>
        <w:pStyle w:val="ListBullet"/>
      </w:pPr>
      <w:r>
        <w:t xml:space="preserve">STS 132/2023: </w:t>
      </w:r>
      <w:r>
        <w:rPr>
          <w:b/>
        </w:rPr>
        <w:t>A.4</w:t>
      </w:r>
      <w:r>
        <w:t>.</w:t>
      </w:r>
    </w:p>
    <w:p>
      <w:pPr>
        <w:pStyle w:val="ListBullet"/>
      </w:pPr>
      <w:r>
        <w:t xml:space="preserve">STS 444/2023: </w:t>
      </w:r>
      <w:r>
        <w:rPr>
          <w:b/>
        </w:rPr>
        <w:t>A.4</w:t>
      </w:r>
      <w:r>
        <w:t>.</w:t>
      </w:r>
    </w:p>
    <w:p>
      <w:pPr>
        <w:pStyle w:val="ListBullet"/>
      </w:pPr>
      <w:r>
        <w:t xml:space="preserve">STS 1182/2024: </w:t>
      </w:r>
      <w:r>
        <w:rPr>
          <w:b/>
        </w:rPr>
        <w:t>10.4</w:t>
      </w:r>
      <w:r>
        <w:t>.</w:t>
      </w:r>
    </w:p>
    <w:p>
      <w:pPr>
        <w:pStyle w:val="ListBullet"/>
      </w:pPr>
      <w:r>
        <w:t xml:space="preserve">STS 1264/2024: </w:t>
      </w:r>
      <w:r>
        <w:rPr>
          <w:b/>
        </w:rPr>
        <w:t>A.5</w:t>
      </w:r>
      <w:r>
        <w:t>.</w:t>
      </w:r>
    </w:p>
    <w:p>
      <w:pPr>
        <w:pStyle w:val="ListBullet"/>
      </w:pPr>
      <w:r>
        <w:t xml:space="preserve">STS 1000/2025: </w:t>
      </w:r>
      <w:r>
        <w:rPr>
          <w:b/>
        </w:rPr>
        <w:t>A.7</w:t>
      </w:r>
      <w:r>
        <w:t>.</w:t>
      </w:r>
    </w:p>
    <w:p>
      <w:pPr>
        <w:pStyle w:val="ListBullet"/>
      </w:pPr>
      <w:r>
        <w:t xml:space="preserve">STS 1008/2025: </w:t>
      </w:r>
      <w:r>
        <w:rPr>
          <w:b/>
        </w:rPr>
        <w:t>A.3</w:t>
      </w:r>
      <w:r>
        <w:t>.</w:t>
      </w:r>
    </w:p>
    <w:p>
      <w:pPr>
        <w:pStyle w:val="ListBullet"/>
      </w:pPr>
      <w:r>
        <w:t xml:space="preserve">STS 1063/2025: </w:t>
      </w:r>
      <w:r>
        <w:rPr>
          <w:b/>
        </w:rPr>
        <w:t>10.4</w:t>
      </w:r>
      <w:r>
        <w:t>.</w:t>
      </w:r>
    </w:p>
    <w:p>
      <w:pPr>
        <w:pStyle w:val="ListBullet"/>
      </w:pPr>
      <w:r>
        <w:t xml:space="preserve">STS 1119/2025: </w:t>
      </w:r>
      <w:r>
        <w:rPr>
          <w:b/>
        </w:rPr>
        <w:t>8.5</w:t>
      </w:r>
      <w:r>
        <w:t>.</w:t>
      </w:r>
    </w:p>
    <w:p>
      <w:pPr>
        <w:pStyle w:val="ListBullet"/>
      </w:pPr>
      <w:r>
        <w:t xml:space="preserve">STS 1785/2025: </w:t>
      </w:r>
      <w:r>
        <w:rPr>
          <w:b/>
        </w:rPr>
        <w:t>10.4</w:t>
      </w:r>
      <w:r>
        <w:t>.</w:t>
      </w:r>
    </w:p>
    <w:p>
      <w:pPr>
        <w:pStyle w:val="ListBullet"/>
      </w:pPr>
      <w:r>
        <w:t xml:space="preserve">STS 1786/2025: </w:t>
      </w:r>
      <w:r>
        <w:rPr>
          <w:b/>
        </w:rPr>
        <w:t>10.4</w:t>
      </w:r>
      <w:r>
        <w:t>.</w:t>
      </w:r>
    </w:p>
    <w:p>
      <w:pPr>
        <w:pStyle w:val="ListBullet"/>
      </w:pPr>
      <w:r>
        <w:t xml:space="preserve">STS 1796/2025: </w:t>
      </w:r>
      <w:r>
        <w:rPr>
          <w:b/>
        </w:rPr>
        <w:t>10.4</w:t>
      </w:r>
      <w:r>
        <w:t>.</w:t>
      </w:r>
    </w:p>
    <w:p>
      <w:pPr>
        <w:pStyle w:val="ListBullet"/>
      </w:pPr>
      <w:r>
        <w:t xml:space="preserve">STS 3259/2025: </w:t>
      </w:r>
      <w:r>
        <w:rPr>
          <w:b/>
        </w:rPr>
        <w:t>10.4</w:t>
      </w:r>
      <w:r>
        <w:t>.</w:t>
      </w:r>
    </w:p>
    <w:p>
      <w:pPr>
        <w:pStyle w:val="ListBullet"/>
      </w:pPr>
      <w:r>
        <w:t xml:space="preserve">STS 3465/2025: </w:t>
      </w:r>
      <w:r>
        <w:rPr>
          <w:b/>
        </w:rPr>
        <w:t>10.4</w:t>
      </w:r>
      <w:r>
        <w:t>.</w:t>
      </w:r>
    </w:p>
    <w:p>
      <w:pPr>
        <w:pStyle w:val="ListBullet"/>
      </w:pPr>
      <w:r>
        <w:t xml:space="preserve">STS 527/2026: </w:t>
      </w:r>
      <w:r>
        <w:rPr>
          <w:b/>
        </w:rPr>
        <w:t>A.5</w:t>
      </w:r>
      <w:r>
        <w:t>.</w:t>
      </w:r>
    </w:p>
    <w:p>
      <w:pPr>
        <w:pStyle w:val="ListBullet"/>
      </w:pPr>
      <w:r>
        <w:t xml:space="preserve">STS 868/2026: </w:t>
      </w:r>
      <w:r>
        <w:rPr>
          <w:b/>
        </w:rPr>
        <w:t>A.5</w:t>
      </w:r>
      <w:r>
        <w:t>.</w:t>
      </w:r>
    </w:p>
    <w:p>
      <w:pPr>
        <w:pStyle w:val="ListBullet"/>
      </w:pPr>
      <w:r>
        <w:t xml:space="preserve">STS 872/2026: </w:t>
      </w:r>
      <w:r>
        <w:rPr>
          <w:b/>
        </w:rPr>
        <w:t>8.5</w:t>
      </w:r>
      <w:r>
        <w:t>.</w:t>
      </w:r>
    </w:p>
    <w:p>
      <w:pPr>
        <w:pStyle w:val="ListBullet"/>
      </w:pPr>
      <w:r>
        <w:t xml:space="preserve">Tribunal Supremo de Illinois, Bueker v. Madison County, 2016 IL 120024: </w:t>
      </w:r>
      <w:r>
        <w:rPr>
          <w:b/>
        </w:rPr>
        <w:t>E.4</w:t>
      </w:r>
      <w:r>
        <w:t>.</w:t>
      </w:r>
    </w:p>
    <w:p>
      <w:pPr>
        <w:pStyle w:val="ListBullet"/>
      </w:pPr>
      <w:r>
        <w:t xml:space="preserve">Tribunal Supremo de los Estados Unidos, Payton c. Nueva York: </w:t>
      </w:r>
      <w:r>
        <w:rPr>
          <w:b/>
        </w:rPr>
        <w:t>H.10</w:t>
      </w:r>
      <w:r>
        <w:t>.</w:t>
      </w:r>
    </w:p>
    <w:p>
      <w:pPr>
        <w:pStyle w:val="ListBullet"/>
      </w:pPr>
      <w:r>
        <w:t xml:space="preserve">Tribunal Supremo de Nueva Zelanda, Ellis v R [2022] NZSC 114: </w:t>
      </w:r>
      <w:r>
        <w:rPr>
          <w:b/>
        </w:rPr>
        <w:t>F.7</w:t>
      </w:r>
      <w:r>
        <w:t>.</w:t>
      </w:r>
    </w:p>
    <w:p>
      <w:pPr>
        <w:pStyle w:val="ListBullet"/>
      </w:pPr>
      <w:r>
        <w:t xml:space="preserve">Tribunal Supremo, archivo de julio de 2016: </w:t>
      </w:r>
      <w:r>
        <w:rPr>
          <w:b/>
        </w:rPr>
        <w:t>A.4</w:t>
      </w:r>
      <w:r>
        <w:t>.</w:t>
      </w:r>
    </w:p>
    <w:p>
      <w:pPr>
        <w:pStyle w:val="ListBullet"/>
      </w:pPr>
      <w:r>
        <w:t xml:space="preserve">Tribunal Supremo, auto de 15-4-2026: </w:t>
      </w:r>
      <w:r>
        <w:rPr>
          <w:b/>
        </w:rPr>
        <w:t>8.5</w:t>
      </w:r>
      <w:r>
        <w:t>.</w:t>
      </w:r>
    </w:p>
    <w:p>
      <w:pPr>
        <w:pStyle w:val="ListBullet"/>
      </w:pPr>
      <w:r>
        <w:t xml:space="preserve">Tribunal Supremo, auto de 24-4-2025: </w:t>
      </w:r>
      <w:r>
        <w:rPr>
          <w:b/>
        </w:rPr>
        <w:t>7.2</w:t>
      </w:r>
      <w:r>
        <w:t>.</w:t>
      </w:r>
    </w:p>
    <w:p>
      <w:pPr>
        <w:pStyle w:val="ListBullet"/>
      </w:pPr>
      <w:r>
        <w:t xml:space="preserve">Tribunal Supremo, providencia de 18-11-2021: </w:t>
      </w:r>
      <w:r>
        <w:rPr>
          <w:b/>
        </w:rPr>
        <w:t>7.3</w:t>
      </w:r>
      <w:r>
        <w:t>.</w:t>
      </w:r>
    </w:p>
    <w:p>
      <w:pPr>
        <w:pStyle w:val="ListBullet"/>
      </w:pPr>
      <w:r>
        <w:t xml:space="preserve">Tribunal Supremo, Sala Especial, sentencia de 27-III-2003: </w:t>
      </w:r>
      <w:r>
        <w:rPr>
          <w:b/>
        </w:rPr>
        <w:t>A.2</w:t>
      </w:r>
      <w:r>
        <w:t>.</w:t>
      </w:r>
    </w:p>
    <w:p>
      <w:pPr>
        <w:pStyle w:val="ListBullet"/>
      </w:pPr>
      <w:r>
        <w:t xml:space="preserve">Tribunal Supremo, sentencia condenatoria a un mando de la Ertzaintza (número no localizado): </w:t>
      </w:r>
      <w:r>
        <w:rPr>
          <w:b/>
        </w:rPr>
        <w:t>A.5</w:t>
      </w:r>
      <w:r>
        <w:t>.</w:t>
      </w:r>
    </w:p>
    <w:p>
      <w:pPr>
        <w:pStyle w:val="ListBullet"/>
      </w:pPr>
      <w:r>
        <w:t xml:space="preserve">Tribunal Supremo, sentencia de 12-11-2015: </w:t>
      </w:r>
      <w:r>
        <w:rPr>
          <w:b/>
        </w:rPr>
        <w:t>8.5</w:t>
      </w:r>
      <w:r>
        <w:t>.</w:t>
      </w:r>
    </w:p>
    <w:p>
      <w:pPr>
        <w:pStyle w:val="ListBullet"/>
      </w:pPr>
      <w:r>
        <w:t xml:space="preserve">Tribunal Supremo, sentencia de 18-VI-2026: </w:t>
      </w:r>
      <w:r>
        <w:rPr>
          <w:b/>
        </w:rPr>
        <w:t>A.5</w:t>
      </w:r>
      <w:r>
        <w:t>.</w:t>
      </w:r>
    </w:p>
    <w:p>
      <w:pPr>
        <w:pStyle w:val="ListBullet"/>
      </w:pPr>
      <w:r>
        <w:t xml:space="preserve">Tribunal Supremo, sentencia de 20-IX-2005 y STS de 2-XII-2005: </w:t>
      </w:r>
      <w:r>
        <w:rPr>
          <w:b/>
        </w:rPr>
        <w:t>A.5</w:t>
      </w:r>
      <w:r>
        <w:t>.</w:t>
      </w:r>
    </w:p>
    <w:p>
      <w:pPr>
        <w:pStyle w:val="ListBullet"/>
      </w:pPr>
      <w:r>
        <w:t xml:space="preserve">Tribunal Supremo, sentencia de 21 de junio de 1996: </w:t>
      </w:r>
      <w:r>
        <w:rPr>
          <w:b/>
        </w:rPr>
        <w:t>10.6</w:t>
      </w:r>
      <w:r>
        <w:t>.</w:t>
      </w:r>
    </w:p>
    <w:p>
      <w:pPr>
        <w:pStyle w:val="ListBullet"/>
      </w:pPr>
      <w:r>
        <w:t xml:space="preserve">Tribunal Supremo, sentencia de 22 de marzo de 1996: </w:t>
      </w:r>
      <w:r>
        <w:rPr>
          <w:b/>
        </w:rPr>
        <w:t>10.7</w:t>
      </w:r>
      <w:r>
        <w:t>.</w:t>
      </w:r>
    </w:p>
    <w:p>
      <w:pPr>
        <w:pStyle w:val="ListBullet"/>
      </w:pPr>
      <w:r>
        <w:t xml:space="preserve">Tribunal Supremo, sentencia de 7 de julio de 2026: </w:t>
      </w:r>
      <w:r>
        <w:rPr>
          <w:b/>
        </w:rPr>
        <w:t>10.7</w:t>
      </w:r>
      <w:r>
        <w:t>.</w:t>
      </w:r>
    </w:p>
    <w:p>
      <w:pPr>
        <w:pStyle w:val="ListBullet"/>
      </w:pPr>
      <w:r>
        <w:t xml:space="preserve">Tribunal Supremo, sentencia de 9-II-2000: </w:t>
      </w:r>
      <w:r>
        <w:rPr>
          <w:b/>
        </w:rPr>
        <w:t>A.4</w:t>
      </w:r>
      <w:r>
        <w:t>.</w:t>
      </w:r>
    </w:p>
    <w:p>
      <w:pPr>
        <w:pStyle w:val="ListBullet"/>
      </w:pPr>
      <w:r>
        <w:t xml:space="preserve">Tribunal Supremo, sentencia del Pleno de 20-XI-2013: </w:t>
      </w:r>
      <w:r>
        <w:rPr>
          <w:b/>
        </w:rPr>
        <w:t>A.3</w:t>
      </w:r>
      <w:r>
        <w:t>.</w:t>
      </w:r>
    </w:p>
    <w:p>
      <w:pPr>
        <w:pStyle w:val="ListBullet"/>
      </w:pPr>
      <w:r>
        <w:t xml:space="preserve">Tribunal Supremo, sentencias de 23 y 28-IV-2015: </w:t>
      </w:r>
      <w:r>
        <w:rPr>
          <w:b/>
        </w:rPr>
        <w:t>7.3</w:t>
      </w:r>
      <w:r>
        <w:t xml:space="preserve">, </w:t>
      </w:r>
      <w:r>
        <w:rPr>
          <w:b/>
        </w:rPr>
        <w:t>A.1</w:t>
      </w:r>
      <w:r>
        <w:t>.</w:t>
      </w:r>
    </w:p>
    <w:p>
      <w:pPr>
        <w:pStyle w:val="ListBullet"/>
      </w:pPr>
      <w:r>
        <w:t xml:space="preserve">Audiencia Nacional, auto de 22-I-2026: </w:t>
      </w:r>
      <w:r>
        <w:rPr>
          <w:b/>
        </w:rPr>
        <w:t>A.2</w:t>
      </w:r>
      <w:r>
        <w:t>.</w:t>
      </w:r>
    </w:p>
    <w:p>
      <w:pPr>
        <w:pStyle w:val="ListBullet"/>
      </w:pPr>
      <w:r>
        <w:t xml:space="preserve">Juzgado de lo Contencioso-Administrativo n.º 2 de Bilbao: </w:t>
      </w:r>
      <w:r>
        <w:rPr>
          <w:b/>
        </w:rPr>
        <w:t>A.1</w:t>
      </w:r>
      <w:r>
        <w:t>.</w:t>
      </w:r>
    </w:p>
    <w:p>
      <w:pPr>
        <w:pStyle w:val="ListBullet"/>
      </w:pPr>
      <w:r>
        <w:t xml:space="preserve">TSJ de Andalucía, sentencia de 1-II-2002 (rollo 29/2001): </w:t>
      </w:r>
      <w:r>
        <w:rPr>
          <w:b/>
        </w:rPr>
        <w:t>A.7</w:t>
      </w:r>
      <w:r>
        <w:t>.</w:t>
      </w:r>
    </w:p>
    <w:p>
      <w:pPr>
        <w:pStyle w:val="ListBullet"/>
      </w:pPr>
      <w:r>
        <w:t xml:space="preserve">TSJ de Cataluña, autos de 4-V-2022 y 28-VII-2022: </w:t>
      </w:r>
      <w:r>
        <w:rPr>
          <w:b/>
        </w:rPr>
        <w:t>7.3</w:t>
      </w:r>
      <w:r>
        <w:t xml:space="preserve">, </w:t>
      </w:r>
      <w:r>
        <w:rPr>
          <w:b/>
        </w:rPr>
        <w:t>A.1</w:t>
      </w:r>
      <w:r>
        <w:t>.</w:t>
      </w:r>
    </w:p>
    <w:p>
      <w:pPr>
        <w:pStyle w:val="ListBullet"/>
      </w:pPr>
      <w:r>
        <w:t xml:space="preserve">TSJ de Cataluña, sentencia de 16-XII-2020 (rec. 168/2015): </w:t>
      </w:r>
      <w:r>
        <w:rPr>
          <w:b/>
        </w:rPr>
        <w:t>7.3</w:t>
      </w:r>
      <w:r>
        <w:t xml:space="preserve">, </w:t>
      </w:r>
      <w:r>
        <w:rPr>
          <w:b/>
        </w:rPr>
        <w:t>A.1</w:t>
      </w:r>
      <w:r>
        <w:t>.</w:t>
      </w:r>
    </w:p>
    <w:p>
      <w:pPr>
        <w:pStyle w:val="ListBullet"/>
      </w:pPr>
      <w:r>
        <w:t xml:space="preserve">TSJ de Madrid, sentencia 185/2024: </w:t>
      </w:r>
      <w:r>
        <w:rPr>
          <w:b/>
        </w:rPr>
        <w:t>A.5</w:t>
      </w:r>
      <w:r>
        <w:t>.</w:t>
      </w:r>
    </w:p>
    <w:p>
      <w:pPr>
        <w:pStyle w:val="ListBullet"/>
      </w:pPr>
      <w:r>
        <w:t xml:space="preserve">TJUE (Sala Octava), sentencia de 25-VII-2018, asunto C-205/17, fallo, extracto leído en EUR-Lex (CELEX 62017CJ0205): </w:t>
      </w:r>
      <w:r>
        <w:rPr>
          <w:b/>
        </w:rPr>
        <w:t>A.2</w:t>
      </w:r>
      <w:r>
        <w:t>.</w:t>
      </w:r>
    </w:p>
    <w:p>
      <w:pPr>
        <w:pStyle w:val="ListBullet"/>
      </w:pPr>
      <w:r>
        <w:t xml:space="preserve">TJUE, asunto C-502/19: </w:t>
      </w:r>
      <w:r>
        <w:rPr>
          <w:b/>
        </w:rPr>
        <w:t>A.4</w:t>
      </w:r>
      <w:r>
        <w:t>.</w:t>
      </w:r>
    </w:p>
    <w:p>
      <w:pPr>
        <w:pStyle w:val="ListBullet"/>
      </w:pPr>
      <w:r>
        <w:t xml:space="preserve">TJUE, asunto C-504/26 (Diario Oficial de la UE): </w:t>
      </w:r>
      <w:r>
        <w:rPr>
          <w:b/>
        </w:rPr>
        <w:t>7.5</w:t>
      </w:r>
      <w:r>
        <w:t xml:space="preserve">, </w:t>
      </w:r>
      <w:r>
        <w:rPr>
          <w:b/>
        </w:rPr>
        <w:t>8.5</w:t>
      </w:r>
      <w:r>
        <w:t>.</w:t>
      </w:r>
    </w:p>
    <w:p>
      <w:pPr>
        <w:pStyle w:val="ListBullet"/>
      </w:pPr>
      <w:r>
        <w:t xml:space="preserve">TJUE, sentencia de 14-IV-2026, asunto C-418/24 (Obadal): </w:t>
      </w:r>
      <w:r>
        <w:rPr>
          <w:b/>
        </w:rPr>
        <w:t>10.7</w:t>
      </w:r>
      <w:r>
        <w:t xml:space="preserve">, </w:t>
      </w:r>
      <w:r>
        <w:rPr>
          <w:b/>
        </w:rPr>
        <w:t>A.5</w:t>
      </w:r>
      <w:r>
        <w:t>.</w:t>
      </w:r>
    </w:p>
    <w:p>
      <w:pPr>
        <w:pStyle w:val="ListBullet"/>
      </w:pPr>
      <w:r>
        <w:t xml:space="preserve">TJUE, sentencia de 21-XII-2016 (asuntos C-154/15, C-307/15, C-308/15): </w:t>
      </w:r>
      <w:r>
        <w:rPr>
          <w:b/>
        </w:rPr>
        <w:t>A.2</w:t>
      </w:r>
      <w:r>
        <w:t>.</w:t>
      </w:r>
    </w:p>
    <w:p>
      <w:pPr>
        <w:pStyle w:val="ListBullet"/>
      </w:pPr>
      <w:r>
        <w:t xml:space="preserve">TJUE, sentencia de 22-II-2024, asuntos C-59/22, C-110/22 y C-159/22: </w:t>
      </w:r>
      <w:r>
        <w:rPr>
          <w:b/>
        </w:rPr>
        <w:t>10.7</w:t>
      </w:r>
      <w:r>
        <w:t>.</w:t>
      </w:r>
    </w:p>
    <w:p>
      <w:pPr>
        <w:pStyle w:val="ListBullet"/>
      </w:pPr>
      <w:r>
        <w:t xml:space="preserve">TJUE, sentencia de 28-6-2022, asunto C-278/20: </w:t>
      </w:r>
      <w:r>
        <w:rPr>
          <w:b/>
        </w:rPr>
        <w:t>8.5</w:t>
      </w:r>
      <w:r>
        <w:t>.</w:t>
      </w:r>
    </w:p>
    <w:p>
      <w:pPr>
        <w:pStyle w:val="ListBullet"/>
      </w:pPr>
      <w:r>
        <w:t xml:space="preserve">TJUE, sentencia de 30-5-2024, asunto C-743/22: </w:t>
      </w:r>
      <w:r>
        <w:rPr>
          <w:b/>
        </w:rPr>
        <w:t>8.5</w:t>
      </w:r>
      <w:r>
        <w:t>.</w:t>
      </w:r>
    </w:p>
    <w:p>
      <w:pPr>
        <w:pStyle w:val="ListBullet"/>
      </w:pPr>
      <w:r>
        <w:t xml:space="preserve">TJUE, sentencia Gauweiler, asunto C-62/14 (16-6-2015): </w:t>
      </w:r>
      <w:r>
        <w:rPr>
          <w:b/>
        </w:rPr>
        <w:t>8.1</w:t>
      </w:r>
      <w:r>
        <w:t>.</w:t>
      </w:r>
    </w:p>
    <w:p>
      <w:pPr>
        <w:pStyle w:val="ListBullet"/>
      </w:pPr>
      <w:r>
        <w:t xml:space="preserve">TEDH, 30-VI-2009: </w:t>
      </w:r>
      <w:r>
        <w:rPr>
          <w:b/>
        </w:rPr>
        <w:t>A.2</w:t>
      </w:r>
      <w:r>
        <w:t>.</w:t>
      </w:r>
    </w:p>
    <w:p>
      <w:pPr>
        <w:pStyle w:val="ListBullet"/>
      </w:pPr>
      <w:r>
        <w:t xml:space="preserve">TEDH, Casa di Cura Valle Fiorita c. Italia (13-12-2018): </w:t>
      </w:r>
      <w:r>
        <w:rPr>
          <w:b/>
        </w:rPr>
        <w:t>10.7</w:t>
      </w:r>
      <w:r>
        <w:t>.</w:t>
      </w:r>
    </w:p>
    <w:p>
      <w:pPr>
        <w:pStyle w:val="ListBullet"/>
      </w:pPr>
      <w:r>
        <w:t xml:space="preserve">TEDH, caso del director de Egunkaria: </w:t>
      </w:r>
      <w:r>
        <w:rPr>
          <w:b/>
        </w:rPr>
        <w:t>A.2</w:t>
      </w:r>
      <w:r>
        <w:t>.</w:t>
      </w:r>
    </w:p>
    <w:p>
      <w:pPr>
        <w:pStyle w:val="ListBullet"/>
      </w:pPr>
      <w:r>
        <w:t xml:space="preserve">TEDH, demanda 3344/13: </w:t>
      </w:r>
      <w:r>
        <w:rPr>
          <w:b/>
        </w:rPr>
        <w:t>A.2</w:t>
      </w:r>
      <w:r>
        <w:t>.</w:t>
      </w:r>
    </w:p>
    <w:p>
      <w:pPr>
        <w:pStyle w:val="ListBullet"/>
      </w:pPr>
      <w:r>
        <w:t xml:space="preserve">TEDH, demanda 74181/01, sentencia de 6-I-2010: </w:t>
      </w:r>
      <w:r>
        <w:rPr>
          <w:b/>
        </w:rPr>
        <w:t>A.5</w:t>
      </w:r>
      <w:r>
        <w:t>.</w:t>
      </w:r>
    </w:p>
    <w:p>
      <w:pPr>
        <w:pStyle w:val="ListBullet"/>
      </w:pPr>
      <w:r>
        <w:t xml:space="preserve">TEDH, demanda nº 41462/17, sentencia de 6-X-2020: </w:t>
      </w:r>
      <w:r>
        <w:rPr>
          <w:b/>
        </w:rPr>
        <w:t>A.5</w:t>
      </w:r>
      <w:r>
        <w:t>.</w:t>
      </w:r>
    </w:p>
    <w:p>
      <w:pPr>
        <w:pStyle w:val="ListBullet"/>
      </w:pPr>
      <w:r>
        <w:t xml:space="preserve">TEDH, Kafkaris c. Chipre (2008): </w:t>
      </w:r>
      <w:r>
        <w:rPr>
          <w:b/>
        </w:rPr>
        <w:t>7.3</w:t>
      </w:r>
      <w:r>
        <w:t xml:space="preserve">, </w:t>
      </w:r>
      <w:r>
        <w:rPr>
          <w:b/>
        </w:rPr>
        <w:t>A.2</w:t>
      </w:r>
      <w:r>
        <w:t>.</w:t>
      </w:r>
    </w:p>
    <w:p>
      <w:pPr>
        <w:pStyle w:val="ListBullet"/>
      </w:pPr>
      <w:r>
        <w:t xml:space="preserve">TEDH, Observer y Guardian c. Reino Unido (26-11-1991): </w:t>
      </w:r>
      <w:r>
        <w:rPr>
          <w:b/>
        </w:rPr>
        <w:t>10.2</w:t>
      </w:r>
      <w:r>
        <w:t>.</w:t>
      </w:r>
    </w:p>
    <w:p>
      <w:pPr>
        <w:pStyle w:val="ListBullet"/>
      </w:pPr>
      <w:r>
        <w:t xml:space="preserve">TEDH, Papachela y Amazon c. Grecia (3-12-2020): </w:t>
      </w:r>
      <w:r>
        <w:rPr>
          <w:b/>
        </w:rPr>
        <w:t>10.7</w:t>
      </w:r>
      <w:r>
        <w:t>.</w:t>
      </w:r>
    </w:p>
    <w:p>
      <w:pPr>
        <w:pStyle w:val="ListBullet"/>
      </w:pPr>
      <w:r>
        <w:t xml:space="preserve">TEDH, sentencia de 13-III-2018: </w:t>
      </w:r>
      <w:r>
        <w:rPr>
          <w:b/>
        </w:rPr>
        <w:t>A.2</w:t>
      </w:r>
      <w:r>
        <w:t>.</w:t>
      </w:r>
    </w:p>
    <w:p>
      <w:pPr>
        <w:pStyle w:val="ListBullet"/>
      </w:pPr>
      <w:r>
        <w:t xml:space="preserve">TEDH, sentencia de 25-XI-2003: </w:t>
      </w:r>
      <w:r>
        <w:rPr>
          <w:b/>
        </w:rPr>
        <w:t>A.7</w:t>
      </w:r>
      <w:r>
        <w:t>.</w:t>
      </w:r>
    </w:p>
    <w:p>
      <w:pPr>
        <w:pStyle w:val="ListBullet"/>
      </w:pPr>
      <w:r>
        <w:t xml:space="preserve">TEDH, sentencias de 13-XII-2018 (Italia) y 3-XII-2020 (Grecia): </w:t>
      </w:r>
      <w:r>
        <w:rPr>
          <w:b/>
        </w:rPr>
        <w:t>A.2</w:t>
      </w:r>
      <w:r>
        <w:t>.</w:t>
      </w:r>
    </w:p>
    <w:p>
      <w:pPr>
        <w:pStyle w:val="ListBullet"/>
      </w:pPr>
      <w:r>
        <w:t xml:space="preserve">TEDH, Soberanía de la Razón y otros c. España, decisión de 26-5-2015: </w:t>
      </w:r>
      <w:r>
        <w:rPr>
          <w:b/>
        </w:rPr>
        <w:t>6.4</w:t>
      </w:r>
      <w:r>
        <w:t>.</w:t>
      </w:r>
    </w:p>
    <w:p>
      <w:pPr>
        <w:pStyle w:val="ListBullet"/>
      </w:pPr>
      <w:r>
        <w:t xml:space="preserve">TEDH, Stern Taulats y Roura Capellera c. España (13-3-2018): </w:t>
      </w:r>
      <w:r>
        <w:rPr>
          <w:b/>
        </w:rPr>
        <w:t>7.2</w:t>
      </w:r>
      <w:r>
        <w:t>.</w:t>
      </w:r>
    </w:p>
    <w:p>
      <w:pPr>
        <w:pStyle w:val="ListBullet"/>
      </w:pPr>
      <w:r>
        <w:t xml:space="preserve">Casley v Deputy Commissioner of Taxation [2017] WASCA 196 (Tribunal de Apelación de Australia Occidental): </w:t>
      </w:r>
      <w:r>
        <w:rPr>
          <w:b/>
        </w:rPr>
        <w:t>6.2</w:t>
      </w:r>
      <w:r>
        <w:t>.</w:t>
      </w:r>
    </w:p>
    <w:p>
      <w:pPr>
        <w:pStyle w:val="ListBullet"/>
      </w:pPr>
      <w:r>
        <w:t xml:space="preserve">Corte Penal Internacional, audiencia de la Fiscalía (Whitney Harris): </w:t>
      </w:r>
      <w:r>
        <w:rPr>
          <w:b/>
        </w:rPr>
        <w:t>7.2</w:t>
      </w:r>
      <w:r>
        <w:t>.</w:t>
      </w:r>
    </w:p>
    <w:p>
      <w:pPr>
        <w:pStyle w:val="ListBullet"/>
      </w:pPr>
      <w:r>
        <w:t xml:space="preserve">Deputy Commissioner of Taxation v Casley [2017] WASC 161 (Tribunal Supremo de Australia Occidental): </w:t>
      </w:r>
      <w:r>
        <w:rPr>
          <w:b/>
        </w:rPr>
        <w:t>6.2</w:t>
      </w:r>
      <w:r>
        <w:t>.</w:t>
      </w:r>
    </w:p>
    <w:p>
      <w:pPr>
        <w:pStyle w:val="ListBullet"/>
      </w:pPr>
      <w:r>
        <w:t xml:space="preserve">Tribunal Arbitral Mixto germano-polaco, laudo de 1929: </w:t>
      </w:r>
      <w:r>
        <w:rPr>
          <w:b/>
        </w:rPr>
        <w:t>6.2</w:t>
      </w:r>
      <w:r>
        <w:t>.</w:t>
      </w:r>
    </w:p>
    <w:p>
      <w:pPr>
        <w:pStyle w:val="ListBullet"/>
      </w:pPr>
      <w:r>
        <w:t xml:space="preserve">Tribunal de Alberta (Canadá), Meads v. Meads, 2012 ABQB 571: </w:t>
      </w:r>
      <w:r>
        <w:rPr>
          <w:b/>
        </w:rPr>
        <w:t>E.1</w:t>
      </w:r>
      <w:r>
        <w:t xml:space="preserve">, </w:t>
      </w:r>
      <w:r>
        <w:rPr>
          <w:b/>
        </w:rPr>
        <w:t>E.2</w:t>
      </w:r>
      <w:r>
        <w:t xml:space="preserve">, </w:t>
      </w:r>
      <w:r>
        <w:rPr>
          <w:b/>
        </w:rPr>
        <w:t>E.3</w:t>
      </w:r>
      <w:r>
        <w:t xml:space="preserve">, </w:t>
      </w:r>
      <w:r>
        <w:rPr>
          <w:b/>
        </w:rPr>
        <w:t>E.4</w:t>
      </w:r>
      <w:r>
        <w:t>.</w:t>
      </w:r>
    </w:p>
    <w:p>
      <w:pPr>
        <w:pStyle w:val="ListBullet"/>
      </w:pPr>
      <w:r>
        <w:t xml:space="preserve">Tribunal Militar Internacional de Núremberg, el fiscal Robert H. Jackson (informe de 1945 y discurso de apertura): </w:t>
      </w:r>
      <w:r>
        <w:rPr>
          <w:b/>
        </w:rPr>
        <w:t>7.2</w:t>
      </w:r>
      <w:r>
        <w:t>.</w:t>
      </w:r>
    </w:p>
    <w:p>
      <w:pPr>
        <w:pStyle w:val="ListBullet"/>
      </w:pPr>
      <w:r>
        <w:t xml:space="preserve">Tribunal Militar Internacional de Núremberg, sentencia de 1-10-1946: </w:t>
      </w:r>
      <w:r>
        <w:rPr>
          <w:b/>
        </w:rPr>
        <w:t>9.1</w:t>
      </w:r>
      <w:r>
        <w:t>.</w:t>
      </w:r>
    </w:p>
    <w:p>
      <w:r>
        <w:rPr>
          <w:b/>
        </w:rPr>
        <w:t>La estadística oficial</w:t>
      </w:r>
      <w:r>
        <w:t xml:space="preserve"> (33 fuentes)</w:t>
      </w:r>
    </w:p>
    <w:p>
      <w:pPr>
        <w:pStyle w:val="ListBullet"/>
      </w:pPr>
      <w:r>
        <w:t xml:space="preserve">TEDH, Analysis of Statistics 2017: </w:t>
      </w:r>
      <w:r>
        <w:rPr>
          <w:b/>
        </w:rPr>
        <w:t>6.4</w:t>
      </w:r>
      <w:r>
        <w:t>.</w:t>
      </w:r>
    </w:p>
    <w:p>
      <w:pPr>
        <w:pStyle w:val="ListBullet"/>
      </w:pPr>
      <w:r>
        <w:t xml:space="preserve">TEDH, Violations by Article and by State 1959-2017: </w:t>
      </w:r>
      <w:r>
        <w:rPr>
          <w:b/>
        </w:rPr>
        <w:t>6.4</w:t>
      </w:r>
      <w:r>
        <w:t>.</w:t>
      </w:r>
    </w:p>
    <w:p>
      <w:pPr>
        <w:pStyle w:val="ListBullet"/>
      </w:pPr>
      <w:r>
        <w:t xml:space="preserve">AEMPS, Utilización de medicamentos antidepresivos en España, 2000-2013: </w:t>
      </w:r>
      <w:r>
        <w:rPr>
          <w:b/>
        </w:rPr>
        <w:t>8.10</w:t>
      </w:r>
      <w:r>
        <w:t>.</w:t>
      </w:r>
    </w:p>
    <w:p>
      <w:pPr>
        <w:pStyle w:val="ListBullet"/>
      </w:pPr>
      <w:r>
        <w:t xml:space="preserve">Agencia Tributaria: </w:t>
      </w:r>
      <w:r>
        <w:rPr>
          <w:b/>
        </w:rPr>
        <w:t>A.2</w:t>
      </w:r>
      <w:r>
        <w:t>.</w:t>
      </w:r>
    </w:p>
    <w:p>
      <w:pPr>
        <w:pStyle w:val="ListBullet"/>
      </w:pPr>
      <w:r>
        <w:t xml:space="preserve">Ayuntamiento de Madrid, datos abiertos: </w:t>
      </w:r>
      <w:r>
        <w:rPr>
          <w:b/>
        </w:rPr>
        <w:t>9.1</w:t>
      </w:r>
      <w:r>
        <w:t>.</w:t>
      </w:r>
    </w:p>
    <w:p>
      <w:pPr>
        <w:pStyle w:val="ListBullet"/>
      </w:pPr>
      <w:r>
        <w:t xml:space="preserve">Banco Central Europeo: </w:t>
      </w:r>
      <w:r>
        <w:rPr>
          <w:b/>
        </w:rPr>
        <w:t>8.1</w:t>
      </w:r>
      <w:r>
        <w:t xml:space="preserve">, </w:t>
      </w:r>
      <w:r>
        <w:rPr>
          <w:b/>
        </w:rPr>
        <w:t>8.3</w:t>
      </w:r>
      <w:r>
        <w:t xml:space="preserve">, </w:t>
      </w:r>
      <w:r>
        <w:rPr>
          <w:b/>
        </w:rPr>
        <w:t>8.11</w:t>
      </w:r>
      <w:r>
        <w:t>.</w:t>
      </w:r>
    </w:p>
    <w:p>
      <w:pPr>
        <w:pStyle w:val="ListBullet"/>
      </w:pPr>
      <w:r>
        <w:t xml:space="preserve">Banco de España: </w:t>
      </w:r>
      <w:r>
        <w:rPr>
          <w:b/>
        </w:rPr>
        <w:t>7.2</w:t>
      </w:r>
      <w:r>
        <w:t xml:space="preserve">, </w:t>
      </w:r>
      <w:r>
        <w:rPr>
          <w:b/>
        </w:rPr>
        <w:t>8.3</w:t>
      </w:r>
      <w:r>
        <w:t xml:space="preserve">, </w:t>
      </w:r>
      <w:r>
        <w:rPr>
          <w:b/>
        </w:rPr>
        <w:t>8.8</w:t>
      </w:r>
      <w:r>
        <w:t xml:space="preserve">, </w:t>
      </w:r>
      <w:r>
        <w:rPr>
          <w:b/>
        </w:rPr>
        <w:t>A.2</w:t>
      </w:r>
      <w:r>
        <w:t xml:space="preserve">, </w:t>
      </w:r>
      <w:r>
        <w:rPr>
          <w:b/>
        </w:rPr>
        <w:t>A.8</w:t>
      </w:r>
      <w:r>
        <w:t xml:space="preserve">, </w:t>
      </w:r>
      <w:r>
        <w:rPr>
          <w:b/>
        </w:rPr>
        <w:t>B.5</w:t>
      </w:r>
      <w:r>
        <w:t>.</w:t>
      </w:r>
    </w:p>
    <w:p>
      <w:pPr>
        <w:pStyle w:val="ListBullet"/>
      </w:pPr>
      <w:r>
        <w:t xml:space="preserve">Banco Mundial: </w:t>
      </w:r>
      <w:r>
        <w:rPr>
          <w:b/>
        </w:rPr>
        <w:t>6.4</w:t>
      </w:r>
      <w:r>
        <w:t xml:space="preserve">, </w:t>
      </w:r>
      <w:r>
        <w:rPr>
          <w:b/>
        </w:rPr>
        <w:t>8.1</w:t>
      </w:r>
      <w:r>
        <w:t xml:space="preserve">, </w:t>
      </w:r>
      <w:r>
        <w:rPr>
          <w:b/>
        </w:rPr>
        <w:t>8.4</w:t>
      </w:r>
      <w:r>
        <w:t xml:space="preserve">, </w:t>
      </w:r>
      <w:r>
        <w:rPr>
          <w:b/>
        </w:rPr>
        <w:t>8.7</w:t>
      </w:r>
      <w:r>
        <w:t xml:space="preserve">, </w:t>
      </w:r>
      <w:r>
        <w:rPr>
          <w:b/>
        </w:rPr>
        <w:t>A.2</w:t>
      </w:r>
      <w:r>
        <w:t>.</w:t>
      </w:r>
    </w:p>
    <w:p>
      <w:pPr>
        <w:pStyle w:val="ListBullet"/>
      </w:pPr>
      <w:r>
        <w:t xml:space="preserve">Boletín Estadístico del Personal al Servicio de las Administraciones Públicas: </w:t>
      </w:r>
      <w:r>
        <w:rPr>
          <w:b/>
        </w:rPr>
        <w:t>8.6</w:t>
      </w:r>
      <w:r>
        <w:t xml:space="preserve">, </w:t>
      </w:r>
      <w:r>
        <w:rPr>
          <w:b/>
        </w:rPr>
        <w:t>C.1</w:t>
      </w:r>
      <w:r>
        <w:t xml:space="preserve">, </w:t>
      </w:r>
      <w:r>
        <w:rPr>
          <w:b/>
        </w:rPr>
        <w:t>C.2</w:t>
      </w:r>
      <w:r>
        <w:t>.</w:t>
      </w:r>
    </w:p>
    <w:p>
      <w:pPr>
        <w:pStyle w:val="ListBullet"/>
      </w:pPr>
      <w:r>
        <w:t xml:space="preserve">Centro de Investigaciones Sociológicas (CIS): </w:t>
      </w:r>
      <w:r>
        <w:rPr>
          <w:b/>
        </w:rPr>
        <w:t>8.9</w:t>
      </w:r>
      <w:r>
        <w:t>.</w:t>
      </w:r>
    </w:p>
    <w:p>
      <w:pPr>
        <w:pStyle w:val="ListBullet"/>
      </w:pPr>
      <w:r>
        <w:t xml:space="preserve">Consejo de la Juventud de España, Observatorio de Emancipación: </w:t>
      </w:r>
      <w:r>
        <w:rPr>
          <w:b/>
        </w:rPr>
        <w:t>7.2</w:t>
      </w:r>
      <w:r>
        <w:t xml:space="preserve">, </w:t>
      </w:r>
      <w:r>
        <w:rPr>
          <w:b/>
        </w:rPr>
        <w:t>A.2</w:t>
      </w:r>
      <w:r>
        <w:t>.</w:t>
      </w:r>
    </w:p>
    <w:p>
      <w:pPr>
        <w:pStyle w:val="ListBullet"/>
      </w:pPr>
      <w:r>
        <w:t xml:space="preserve">EFSA, informe de la UE sobre residuos de plaguicidas: </w:t>
      </w:r>
      <w:r>
        <w:rPr>
          <w:b/>
        </w:rPr>
        <w:t>8.7</w:t>
      </w:r>
      <w:r>
        <w:t>.</w:t>
      </w:r>
    </w:p>
    <w:p>
      <w:pPr>
        <w:pStyle w:val="ListBullet"/>
      </w:pPr>
      <w:r>
        <w:t xml:space="preserve">Eurostat: </w:t>
      </w:r>
      <w:r>
        <w:rPr>
          <w:b/>
        </w:rPr>
        <w:t>5.1</w:t>
      </w:r>
      <w:r>
        <w:t xml:space="preserve">, </w:t>
      </w:r>
      <w:r>
        <w:rPr>
          <w:b/>
        </w:rPr>
        <w:t>7.2</w:t>
      </w:r>
      <w:r>
        <w:t xml:space="preserve">, </w:t>
      </w:r>
      <w:r>
        <w:rPr>
          <w:b/>
        </w:rPr>
        <w:t>8.3</w:t>
      </w:r>
      <w:r>
        <w:t xml:space="preserve">, </w:t>
      </w:r>
      <w:r>
        <w:rPr>
          <w:b/>
        </w:rPr>
        <w:t>8.4</w:t>
      </w:r>
      <w:r>
        <w:t xml:space="preserve">, </w:t>
      </w:r>
      <w:r>
        <w:rPr>
          <w:b/>
        </w:rPr>
        <w:t>8.6</w:t>
      </w:r>
      <w:r>
        <w:t xml:space="preserve">, </w:t>
      </w:r>
      <w:r>
        <w:rPr>
          <w:b/>
        </w:rPr>
        <w:t>8.10</w:t>
      </w:r>
      <w:r>
        <w:t xml:space="preserve">, </w:t>
      </w:r>
      <w:r>
        <w:rPr>
          <w:b/>
        </w:rPr>
        <w:t>9.1</w:t>
      </w:r>
      <w:r>
        <w:t xml:space="preserve">, </w:t>
      </w:r>
      <w:r>
        <w:rPr>
          <w:b/>
        </w:rPr>
        <w:t>10.2</w:t>
      </w:r>
      <w:r>
        <w:t xml:space="preserve">, </w:t>
      </w:r>
      <w:r>
        <w:rPr>
          <w:b/>
        </w:rPr>
        <w:t>A.2</w:t>
      </w:r>
      <w:r>
        <w:t xml:space="preserve">, </w:t>
      </w:r>
      <w:r>
        <w:rPr>
          <w:b/>
        </w:rPr>
        <w:t>A.8</w:t>
      </w:r>
      <w:r>
        <w:t xml:space="preserve">, </w:t>
      </w:r>
      <w:r>
        <w:rPr>
          <w:b/>
        </w:rPr>
        <w:t>B.4</w:t>
      </w:r>
      <w:r>
        <w:t xml:space="preserve">, </w:t>
      </w:r>
      <w:r>
        <w:rPr>
          <w:b/>
        </w:rPr>
        <w:t>B.5</w:t>
      </w:r>
      <w:r>
        <w:t xml:space="preserve">, </w:t>
      </w:r>
      <w:r>
        <w:rPr>
          <w:b/>
        </w:rPr>
        <w:t>C.2</w:t>
      </w:r>
      <w:r>
        <w:t xml:space="preserve">, </w:t>
      </w:r>
      <w:r>
        <w:rPr>
          <w:b/>
        </w:rPr>
        <w:t>C.3</w:t>
      </w:r>
      <w:r>
        <w:t>.</w:t>
      </w:r>
    </w:p>
    <w:p>
      <w:pPr>
        <w:pStyle w:val="ListBullet"/>
      </w:pPr>
      <w:r>
        <w:t xml:space="preserve">Fondo de Reserva de la Seguridad Social, informes a las Cortes: </w:t>
      </w:r>
      <w:r>
        <w:rPr>
          <w:b/>
        </w:rPr>
        <w:t>5.1</w:t>
      </w:r>
      <w:r>
        <w:t xml:space="preserve">, </w:t>
      </w:r>
      <w:r>
        <w:rPr>
          <w:b/>
        </w:rPr>
        <w:t>7.5</w:t>
      </w:r>
      <w:r>
        <w:t xml:space="preserve">, </w:t>
      </w:r>
      <w:r>
        <w:rPr>
          <w:b/>
        </w:rPr>
        <w:t>8.6</w:t>
      </w:r>
      <w:r>
        <w:t>.</w:t>
      </w:r>
    </w:p>
    <w:p>
      <w:pPr>
        <w:pStyle w:val="ListBullet"/>
      </w:pPr>
      <w:r>
        <w:t xml:space="preserve">Fondo Monetario Internacional: </w:t>
      </w:r>
      <w:r>
        <w:rPr>
          <w:b/>
        </w:rPr>
        <w:t>8.7</w:t>
      </w:r>
      <w:r>
        <w:t xml:space="preserve">, </w:t>
      </w:r>
      <w:r>
        <w:rPr>
          <w:b/>
        </w:rPr>
        <w:t>9.2</w:t>
      </w:r>
      <w:r>
        <w:t>.</w:t>
      </w:r>
    </w:p>
    <w:p>
      <w:pPr>
        <w:pStyle w:val="ListBullet"/>
      </w:pPr>
      <w:r>
        <w:t xml:space="preserve">Generalitat de Catalunya, datos abiertos: </w:t>
      </w:r>
      <w:r>
        <w:rPr>
          <w:b/>
        </w:rPr>
        <w:t>8.7</w:t>
      </w:r>
      <w:r>
        <w:t>.</w:t>
      </w:r>
    </w:p>
    <w:p>
      <w:pPr>
        <w:pStyle w:val="ListBullet"/>
      </w:pPr>
      <w:r>
        <w:t xml:space="preserve">Institute of International Finance, Global Debt Monitor: </w:t>
      </w:r>
      <w:r>
        <w:rPr>
          <w:b/>
        </w:rPr>
        <w:t>8.1</w:t>
      </w:r>
      <w:r>
        <w:t>.</w:t>
      </w:r>
    </w:p>
    <w:p>
      <w:pPr>
        <w:pStyle w:val="ListBullet"/>
      </w:pPr>
      <w:r>
        <w:t xml:space="preserve">Instituto de Estadística de Islandia: </w:t>
      </w:r>
      <w:r>
        <w:rPr>
          <w:b/>
        </w:rPr>
        <w:t>9.2</w:t>
      </w:r>
      <w:r>
        <w:t>.</w:t>
      </w:r>
    </w:p>
    <w:p>
      <w:pPr>
        <w:pStyle w:val="ListBullet"/>
      </w:pPr>
      <w:r>
        <w:t xml:space="preserve">Instituto Nacional de Estadística (INE): </w:t>
      </w:r>
      <w:r>
        <w:rPr>
          <w:b/>
        </w:rPr>
        <w:t>5.1</w:t>
      </w:r>
      <w:r>
        <w:t xml:space="preserve">, </w:t>
      </w:r>
      <w:r>
        <w:rPr>
          <w:b/>
        </w:rPr>
        <w:t>7.5</w:t>
      </w:r>
      <w:r>
        <w:t xml:space="preserve">, </w:t>
      </w:r>
      <w:r>
        <w:rPr>
          <w:b/>
        </w:rPr>
        <w:t>8.3</w:t>
      </w:r>
      <w:r>
        <w:t xml:space="preserve">, </w:t>
      </w:r>
      <w:r>
        <w:rPr>
          <w:b/>
        </w:rPr>
        <w:t>8.6</w:t>
      </w:r>
      <w:r>
        <w:t xml:space="preserve">, </w:t>
      </w:r>
      <w:r>
        <w:rPr>
          <w:b/>
        </w:rPr>
        <w:t>8.8</w:t>
      </w:r>
      <w:r>
        <w:t xml:space="preserve">, </w:t>
      </w:r>
      <w:r>
        <w:rPr>
          <w:b/>
        </w:rPr>
        <w:t>8.10</w:t>
      </w:r>
      <w:r>
        <w:t xml:space="preserve">, </w:t>
      </w:r>
      <w:r>
        <w:rPr>
          <w:b/>
        </w:rPr>
        <w:t>9.1</w:t>
      </w:r>
      <w:r>
        <w:t xml:space="preserve">, </w:t>
      </w:r>
      <w:r>
        <w:rPr>
          <w:b/>
        </w:rPr>
        <w:t>11.3</w:t>
      </w:r>
      <w:r>
        <w:t xml:space="preserve">, </w:t>
      </w:r>
      <w:r>
        <w:rPr>
          <w:b/>
        </w:rPr>
        <w:t>A.2</w:t>
      </w:r>
      <w:r>
        <w:t xml:space="preserve">, </w:t>
      </w:r>
      <w:r>
        <w:rPr>
          <w:b/>
        </w:rPr>
        <w:t>B.4</w:t>
      </w:r>
      <w:r>
        <w:t xml:space="preserve">, </w:t>
      </w:r>
      <w:r>
        <w:rPr>
          <w:b/>
        </w:rPr>
        <w:t>B.5</w:t>
      </w:r>
      <w:r>
        <w:t xml:space="preserve">, </w:t>
      </w:r>
      <w:r>
        <w:rPr>
          <w:b/>
        </w:rPr>
        <w:t>B.6</w:t>
      </w:r>
      <w:r>
        <w:t>.</w:t>
      </w:r>
    </w:p>
    <w:p>
      <w:pPr>
        <w:pStyle w:val="ListBullet"/>
      </w:pPr>
      <w:r>
        <w:t xml:space="preserve">Intervención General de la Administración del Estado (IGAE): </w:t>
      </w:r>
      <w:r>
        <w:rPr>
          <w:b/>
        </w:rPr>
        <w:t>7.6</w:t>
      </w:r>
      <w:r>
        <w:t xml:space="preserve">, </w:t>
      </w:r>
      <w:r>
        <w:rPr>
          <w:b/>
        </w:rPr>
        <w:t>A.8</w:t>
      </w:r>
      <w:r>
        <w:t>.</w:t>
      </w:r>
    </w:p>
    <w:p>
      <w:pPr>
        <w:pStyle w:val="ListBullet"/>
      </w:pPr>
      <w:r>
        <w:t xml:space="preserve">Ministerio de Educación, INEE: </w:t>
      </w:r>
      <w:r>
        <w:rPr>
          <w:b/>
        </w:rPr>
        <w:t>8.4</w:t>
      </w:r>
      <w:r>
        <w:t>.</w:t>
      </w:r>
    </w:p>
    <w:p>
      <w:pPr>
        <w:pStyle w:val="ListBullet"/>
      </w:pPr>
      <w:r>
        <w:t xml:space="preserve">Ministerio de Hacienda: </w:t>
      </w:r>
      <w:r>
        <w:rPr>
          <w:b/>
        </w:rPr>
        <w:t>8.6</w:t>
      </w:r>
      <w:r>
        <w:t xml:space="preserve">, </w:t>
      </w:r>
      <w:r>
        <w:rPr>
          <w:b/>
        </w:rPr>
        <w:t>A.9</w:t>
      </w:r>
      <w:r>
        <w:t xml:space="preserve">, </w:t>
      </w:r>
      <w:r>
        <w:rPr>
          <w:b/>
        </w:rPr>
        <w:t>C.2</w:t>
      </w:r>
      <w:r>
        <w:t>.</w:t>
      </w:r>
    </w:p>
    <w:p>
      <w:pPr>
        <w:pStyle w:val="ListBullet"/>
      </w:pPr>
      <w:r>
        <w:t xml:space="preserve">Ministerio de Justicia: </w:t>
      </w:r>
      <w:r>
        <w:rPr>
          <w:b/>
        </w:rPr>
        <w:t>11.3</w:t>
      </w:r>
      <w:r>
        <w:t xml:space="preserve">, </w:t>
      </w:r>
      <w:r>
        <w:rPr>
          <w:b/>
        </w:rPr>
        <w:t>A.5</w:t>
      </w:r>
      <w:r>
        <w:t>.</w:t>
      </w:r>
    </w:p>
    <w:p>
      <w:pPr>
        <w:pStyle w:val="ListBullet"/>
      </w:pPr>
      <w:r>
        <w:t xml:space="preserve">Ministerio de Sanidad: </w:t>
      </w:r>
      <w:r>
        <w:rPr>
          <w:b/>
        </w:rPr>
        <w:t>8.4</w:t>
      </w:r>
      <w:r>
        <w:t xml:space="preserve">, </w:t>
      </w:r>
      <w:r>
        <w:rPr>
          <w:b/>
        </w:rPr>
        <w:t>8.10</w:t>
      </w:r>
      <w:r>
        <w:t xml:space="preserve">, </w:t>
      </w:r>
      <w:r>
        <w:rPr>
          <w:b/>
        </w:rPr>
        <w:t>A.2</w:t>
      </w:r>
      <w:r>
        <w:t xml:space="preserve">, </w:t>
      </w:r>
      <w:r>
        <w:rPr>
          <w:b/>
        </w:rPr>
        <w:t>A.9</w:t>
      </w:r>
      <w:r>
        <w:t>.</w:t>
      </w:r>
    </w:p>
    <w:p>
      <w:pPr>
        <w:pStyle w:val="ListBullet"/>
      </w:pPr>
      <w:r>
        <w:t xml:space="preserve">Ministerio de Sanidad, Barómetro Sanitario: </w:t>
      </w:r>
      <w:r>
        <w:rPr>
          <w:b/>
        </w:rPr>
        <w:t>8.4</w:t>
      </w:r>
      <w:r>
        <w:t>.</w:t>
      </w:r>
    </w:p>
    <w:p>
      <w:pPr>
        <w:pStyle w:val="ListBullet"/>
      </w:pPr>
      <w:r>
        <w:t xml:space="preserve">Ministerio de Trabajo y Economía Social: </w:t>
      </w:r>
      <w:r>
        <w:rPr>
          <w:b/>
        </w:rPr>
        <w:t>A.2</w:t>
      </w:r>
      <w:r>
        <w:t>.</w:t>
      </w:r>
    </w:p>
    <w:p>
      <w:pPr>
        <w:pStyle w:val="ListBullet"/>
      </w:pPr>
      <w:r>
        <w:t xml:space="preserve">Ministerio de Vivienda, Observatorio de Vivienda y Suelo: </w:t>
      </w:r>
      <w:r>
        <w:rPr>
          <w:b/>
        </w:rPr>
        <w:t>7.6</w:t>
      </w:r>
      <w:r>
        <w:t>.</w:t>
      </w:r>
    </w:p>
    <w:p>
      <w:pPr>
        <w:pStyle w:val="ListBullet"/>
      </w:pPr>
      <w:r>
        <w:t xml:space="preserve">Ministerio del Interior: </w:t>
      </w:r>
      <w:r>
        <w:rPr>
          <w:b/>
        </w:rPr>
        <w:t>10.7</w:t>
      </w:r>
      <w:r>
        <w:t xml:space="preserve">, </w:t>
      </w:r>
      <w:r>
        <w:rPr>
          <w:b/>
        </w:rPr>
        <w:t>A.4</w:t>
      </w:r>
      <w:r>
        <w:t>.</w:t>
      </w:r>
    </w:p>
    <w:p>
      <w:pPr>
        <w:pStyle w:val="ListBullet"/>
      </w:pPr>
      <w:r>
        <w:t xml:space="preserve">OCDE: </w:t>
      </w:r>
      <w:r>
        <w:rPr>
          <w:b/>
        </w:rPr>
        <w:t>8.3</w:t>
      </w:r>
      <w:r>
        <w:t xml:space="preserve">, </w:t>
      </w:r>
      <w:r>
        <w:rPr>
          <w:b/>
        </w:rPr>
        <w:t>8.4</w:t>
      </w:r>
      <w:r>
        <w:t xml:space="preserve">, </w:t>
      </w:r>
      <w:r>
        <w:rPr>
          <w:b/>
        </w:rPr>
        <w:t>8.10</w:t>
      </w:r>
      <w:r>
        <w:t xml:space="preserve">, </w:t>
      </w:r>
      <w:r>
        <w:rPr>
          <w:b/>
        </w:rPr>
        <w:t>9.1</w:t>
      </w:r>
      <w:r>
        <w:t xml:space="preserve">, </w:t>
      </w:r>
      <w:r>
        <w:rPr>
          <w:b/>
        </w:rPr>
        <w:t>11.3</w:t>
      </w:r>
      <w:r>
        <w:t>.</w:t>
      </w:r>
    </w:p>
    <w:p>
      <w:pPr>
        <w:pStyle w:val="ListBullet"/>
      </w:pPr>
      <w:r>
        <w:t xml:space="preserve">Oficina de Estadística de Australia: </w:t>
      </w:r>
      <w:r>
        <w:rPr>
          <w:b/>
        </w:rPr>
        <w:t>F.7</w:t>
      </w:r>
      <w:r>
        <w:t>.</w:t>
      </w:r>
    </w:p>
    <w:p>
      <w:pPr>
        <w:pStyle w:val="ListBullet"/>
      </w:pPr>
      <w:r>
        <w:t xml:space="preserve">Reserva Federal de los Estados Unidos: </w:t>
      </w:r>
      <w:r>
        <w:rPr>
          <w:b/>
        </w:rPr>
        <w:t>8.1</w:t>
      </w:r>
      <w:r>
        <w:t>.</w:t>
      </w:r>
    </w:p>
    <w:p>
      <w:pPr>
        <w:pStyle w:val="ListBullet"/>
      </w:pPr>
      <w:r>
        <w:t xml:space="preserve">Resultados oficiales de los referéndums: </w:t>
      </w:r>
      <w:r>
        <w:rPr>
          <w:b/>
        </w:rPr>
        <w:t>A.4</w:t>
      </w:r>
      <w:r>
        <w:t>.</w:t>
      </w:r>
    </w:p>
    <w:p>
      <w:pPr>
        <w:pStyle w:val="ListBullet"/>
      </w:pPr>
      <w:r>
        <w:t xml:space="preserve">Seguridad Social: </w:t>
      </w:r>
      <w:r>
        <w:rPr>
          <w:b/>
        </w:rPr>
        <w:t>8.4</w:t>
      </w:r>
      <w:r>
        <w:t xml:space="preserve">, </w:t>
      </w:r>
      <w:r>
        <w:rPr>
          <w:b/>
        </w:rPr>
        <w:t>8.6</w:t>
      </w:r>
      <w:r>
        <w:t>.</w:t>
      </w:r>
    </w:p>
    <w:p>
      <w:r>
        <w:rPr>
          <w:b/>
        </w:rPr>
        <w:t>Los organismos y las instituciones</w:t>
      </w:r>
      <w:r>
        <w:t xml:space="preserve"> (66 fuentes)</w:t>
      </w:r>
    </w:p>
    <w:p>
      <w:pPr>
        <w:pStyle w:val="ListBullet"/>
      </w:pPr>
      <w:r>
        <w:t xml:space="preserve">Tribunal Constitucional, fichas de los magistrados (sitio del Tribunal): </w:t>
      </w:r>
      <w:r>
        <w:rPr>
          <w:b/>
        </w:rPr>
        <w:t>A.10</w:t>
      </w:r>
      <w:r>
        <w:t>.</w:t>
      </w:r>
    </w:p>
    <w:p>
      <w:pPr>
        <w:pStyle w:val="ListBullet"/>
      </w:pPr>
      <w:r>
        <w:t xml:space="preserve">Tribunal Constitucional, Memoria: </w:t>
      </w:r>
      <w:r>
        <w:rPr>
          <w:b/>
        </w:rPr>
        <w:t>5.1</w:t>
      </w:r>
      <w:r>
        <w:t xml:space="preserve">, </w:t>
      </w:r>
      <w:r>
        <w:rPr>
          <w:b/>
        </w:rPr>
        <w:t>7.2</w:t>
      </w:r>
      <w:r>
        <w:t xml:space="preserve">, </w:t>
      </w:r>
      <w:r>
        <w:rPr>
          <w:b/>
        </w:rPr>
        <w:t>11.3</w:t>
      </w:r>
      <w:r>
        <w:t xml:space="preserve">, </w:t>
      </w:r>
      <w:r>
        <w:rPr>
          <w:b/>
        </w:rPr>
        <w:t>A.9</w:t>
      </w:r>
      <w:r>
        <w:t xml:space="preserve">, </w:t>
      </w:r>
      <w:r>
        <w:rPr>
          <w:b/>
        </w:rPr>
        <w:t>A.10</w:t>
      </w:r>
      <w:r>
        <w:t>.</w:t>
      </w:r>
    </w:p>
    <w:p>
      <w:pPr>
        <w:pStyle w:val="ListBullet"/>
      </w:pPr>
      <w:r>
        <w:t xml:space="preserve">Agencia Federal de Educación Cívica de Alemania (bpb): </w:t>
      </w:r>
      <w:r>
        <w:rPr>
          <w:b/>
        </w:rPr>
        <w:t>9.2</w:t>
      </w:r>
      <w:r>
        <w:t>.</w:t>
      </w:r>
    </w:p>
    <w:p>
      <w:pPr>
        <w:pStyle w:val="ListBullet"/>
      </w:pPr>
      <w:r>
        <w:t xml:space="preserve">Asamblea de Ciudadanos de Irlanda: </w:t>
      </w:r>
      <w:r>
        <w:rPr>
          <w:b/>
        </w:rPr>
        <w:t>10.2</w:t>
      </w:r>
      <w:r>
        <w:t>.</w:t>
      </w:r>
    </w:p>
    <w:p>
      <w:pPr>
        <w:pStyle w:val="ListBullet"/>
      </w:pPr>
      <w:r>
        <w:t xml:space="preserve">Asamblea Federal de Checoslovaquia, proyectos y actas: </w:t>
      </w:r>
      <w:r>
        <w:rPr>
          <w:b/>
        </w:rPr>
        <w:t>9.2</w:t>
      </w:r>
      <w:r>
        <w:t>.</w:t>
      </w:r>
    </w:p>
    <w:p>
      <w:pPr>
        <w:pStyle w:val="ListBullet"/>
      </w:pPr>
      <w:r>
        <w:t xml:space="preserve">Autoridad Independiente de Responsabilidad Fiscal (AIReF): </w:t>
      </w:r>
      <w:r>
        <w:rPr>
          <w:b/>
        </w:rPr>
        <w:t>7.6</w:t>
      </w:r>
      <w:r>
        <w:t xml:space="preserve">, </w:t>
      </w:r>
      <w:r>
        <w:rPr>
          <w:b/>
        </w:rPr>
        <w:t>8.3</w:t>
      </w:r>
      <w:r>
        <w:t xml:space="preserve">, </w:t>
      </w:r>
      <w:r>
        <w:rPr>
          <w:b/>
        </w:rPr>
        <w:t>11.3</w:t>
      </w:r>
      <w:r>
        <w:t xml:space="preserve">, </w:t>
      </w:r>
      <w:r>
        <w:rPr>
          <w:b/>
        </w:rPr>
        <w:t>B.5</w:t>
      </w:r>
      <w:r>
        <w:t>.</w:t>
      </w:r>
    </w:p>
    <w:p>
      <w:pPr>
        <w:pStyle w:val="ListBullet"/>
      </w:pPr>
      <w:r>
        <w:t xml:space="preserve">Banco de Inglaterra, «Money creation in the modern economy»: </w:t>
      </w:r>
      <w:r>
        <w:rPr>
          <w:b/>
        </w:rPr>
        <w:t>5.1</w:t>
      </w:r>
      <w:r>
        <w:t xml:space="preserve">, </w:t>
      </w:r>
      <w:r>
        <w:rPr>
          <w:b/>
        </w:rPr>
        <w:t>8.1</w:t>
      </w:r>
      <w:r>
        <w:t>.</w:t>
      </w:r>
    </w:p>
    <w:p>
      <w:pPr>
        <w:pStyle w:val="ListBullet"/>
      </w:pPr>
      <w:r>
        <w:t xml:space="preserve">Biblioteca del Congreso de los Estados Unidos: </w:t>
      </w:r>
      <w:r>
        <w:rPr>
          <w:b/>
        </w:rPr>
        <w:t>9.2</w:t>
      </w:r>
      <w:r>
        <w:t xml:space="preserve">, </w:t>
      </w:r>
      <w:r>
        <w:rPr>
          <w:b/>
        </w:rPr>
        <w:t>F.4</w:t>
      </w:r>
      <w:r>
        <w:t>.</w:t>
      </w:r>
    </w:p>
    <w:p>
      <w:pPr>
        <w:pStyle w:val="ListBullet"/>
      </w:pPr>
      <w:r>
        <w:t xml:space="preserve">Boletín Oficial de las Cortes Generales: </w:t>
      </w:r>
      <w:r>
        <w:rPr>
          <w:b/>
        </w:rPr>
        <w:t>A.4</w:t>
      </w:r>
      <w:r>
        <w:t>.</w:t>
      </w:r>
    </w:p>
    <w:p>
      <w:pPr>
        <w:pStyle w:val="ListBullet"/>
      </w:pPr>
      <w:r>
        <w:t xml:space="preserve">Casa de S. M. el Rey, presupuesto y cuentas: </w:t>
      </w:r>
      <w:r>
        <w:rPr>
          <w:b/>
        </w:rPr>
        <w:t>C.2</w:t>
      </w:r>
      <w:r>
        <w:t>.</w:t>
      </w:r>
    </w:p>
    <w:p>
      <w:pPr>
        <w:pStyle w:val="ListBullet"/>
      </w:pPr>
      <w:r>
        <w:t xml:space="preserve">Centro Memorial de las Víctimas del Terrorismo, «1980. El terrorismo contra la Transición» (2020): </w:t>
      </w:r>
      <w:r>
        <w:rPr>
          <w:b/>
        </w:rPr>
        <w:t>6.1</w:t>
      </w:r>
      <w:r>
        <w:t>.</w:t>
      </w:r>
    </w:p>
    <w:p>
      <w:pPr>
        <w:pStyle w:val="ListBullet"/>
      </w:pPr>
      <w:r>
        <w:t xml:space="preserve">Comisión de Derecho de Nueva Zelanda, Māori Custom and Values in New Zealand Law: </w:t>
      </w:r>
      <w:r>
        <w:rPr>
          <w:b/>
        </w:rPr>
        <w:t>F.7</w:t>
      </w:r>
      <w:r>
        <w:t>.</w:t>
      </w:r>
    </w:p>
    <w:p>
      <w:pPr>
        <w:pStyle w:val="ListBullet"/>
      </w:pPr>
      <w:r>
        <w:t xml:space="preserve">Comisión de Reforma Legal de Australia, ALRC 31: </w:t>
      </w:r>
      <w:r>
        <w:rPr>
          <w:b/>
        </w:rPr>
        <w:t>F.7</w:t>
      </w:r>
      <w:r>
        <w:t>.</w:t>
      </w:r>
    </w:p>
    <w:p>
      <w:pPr>
        <w:pStyle w:val="ListBullet"/>
      </w:pPr>
      <w:r>
        <w:t xml:space="preserve">Comisión Europea: </w:t>
      </w:r>
      <w:r>
        <w:rPr>
          <w:b/>
        </w:rPr>
        <w:t>8.5</w:t>
      </w:r>
      <w:r>
        <w:t xml:space="preserve">, </w:t>
      </w:r>
      <w:r>
        <w:rPr>
          <w:b/>
        </w:rPr>
        <w:t>8.11</w:t>
      </w:r>
      <w:r>
        <w:t xml:space="preserve">, </w:t>
      </w:r>
      <w:r>
        <w:rPr>
          <w:b/>
        </w:rPr>
        <w:t>A.2</w:t>
      </w:r>
      <w:r>
        <w:t xml:space="preserve">, </w:t>
      </w:r>
      <w:r>
        <w:rPr>
          <w:b/>
        </w:rPr>
        <w:t>A.5</w:t>
      </w:r>
      <w:r>
        <w:t xml:space="preserve">, </w:t>
      </w:r>
      <w:r>
        <w:rPr>
          <w:b/>
        </w:rPr>
        <w:t>A.7</w:t>
      </w:r>
      <w:r>
        <w:t>.</w:t>
      </w:r>
    </w:p>
    <w:p>
      <w:pPr>
        <w:pStyle w:val="ListBullet"/>
      </w:pPr>
      <w:r>
        <w:t xml:space="preserve">Comisión Nacional de los Mercados y la Competencia (CNMC; antes CNC): </w:t>
      </w:r>
      <w:r>
        <w:rPr>
          <w:b/>
        </w:rPr>
        <w:t>A.2</w:t>
      </w:r>
      <w:r>
        <w:t>.</w:t>
      </w:r>
    </w:p>
    <w:p>
      <w:pPr>
        <w:pStyle w:val="ListBullet"/>
      </w:pPr>
      <w:r>
        <w:t xml:space="preserve">Confederación Haudenosaunee, «Who we are»: </w:t>
      </w:r>
      <w:r>
        <w:rPr>
          <w:b/>
        </w:rPr>
        <w:t>F.7</w:t>
      </w:r>
      <w:r>
        <w:t>.</w:t>
      </w:r>
    </w:p>
    <w:p>
      <w:pPr>
        <w:pStyle w:val="ListBullet"/>
      </w:pPr>
      <w:r>
        <w:t xml:space="preserve">Congreso de los Diputados: </w:t>
      </w:r>
      <w:r>
        <w:rPr>
          <w:b/>
        </w:rPr>
        <w:t>7.2</w:t>
      </w:r>
      <w:r>
        <w:t xml:space="preserve">, </w:t>
      </w:r>
      <w:r>
        <w:rPr>
          <w:b/>
        </w:rPr>
        <w:t>11.3</w:t>
      </w:r>
      <w:r>
        <w:t xml:space="preserve">, </w:t>
      </w:r>
      <w:r>
        <w:rPr>
          <w:b/>
        </w:rPr>
        <w:t>A.4</w:t>
      </w:r>
      <w:r>
        <w:t xml:space="preserve">, </w:t>
      </w:r>
      <w:r>
        <w:rPr>
          <w:b/>
        </w:rPr>
        <w:t>A.6</w:t>
      </w:r>
      <w:r>
        <w:t xml:space="preserve">, </w:t>
      </w:r>
      <w:r>
        <w:rPr>
          <w:b/>
        </w:rPr>
        <w:t>A.11</w:t>
      </w:r>
      <w:r>
        <w:t xml:space="preserve">, </w:t>
      </w:r>
      <w:r>
        <w:rPr>
          <w:b/>
        </w:rPr>
        <w:t>C.2</w:t>
      </w:r>
      <w:r>
        <w:t xml:space="preserve">, </w:t>
      </w:r>
      <w:r>
        <w:rPr>
          <w:b/>
        </w:rPr>
        <w:t>C.4</w:t>
      </w:r>
      <w:r>
        <w:t>.</w:t>
      </w:r>
    </w:p>
    <w:p>
      <w:pPr>
        <w:pStyle w:val="ListBullet"/>
      </w:pPr>
      <w:r>
        <w:t xml:space="preserve">Congreso de los Diputados, Portal de la Constitución (sinopsis y comentarios): </w:t>
      </w:r>
      <w:r>
        <w:rPr>
          <w:b/>
        </w:rPr>
        <w:t>A.4</w:t>
      </w:r>
      <w:r>
        <w:t xml:space="preserve">, </w:t>
      </w:r>
      <w:r>
        <w:rPr>
          <w:b/>
        </w:rPr>
        <w:t>A.6</w:t>
      </w:r>
      <w:r>
        <w:t xml:space="preserve">, </w:t>
      </w:r>
      <w:r>
        <w:rPr>
          <w:b/>
        </w:rPr>
        <w:t>A.8</w:t>
      </w:r>
      <w:r>
        <w:t xml:space="preserve">, </w:t>
      </w:r>
      <w:r>
        <w:rPr>
          <w:b/>
        </w:rPr>
        <w:t>A.9</w:t>
      </w:r>
      <w:r>
        <w:t>.</w:t>
      </w:r>
    </w:p>
    <w:p>
      <w:pPr>
        <w:pStyle w:val="ListBullet"/>
      </w:pPr>
      <w:r>
        <w:t xml:space="preserve">Congreso, comparecencia de la directora del CNI: </w:t>
      </w:r>
      <w:r>
        <w:rPr>
          <w:b/>
        </w:rPr>
        <w:t>A.2</w:t>
      </w:r>
      <w:r>
        <w:t>.</w:t>
      </w:r>
    </w:p>
    <w:p>
      <w:pPr>
        <w:pStyle w:val="ListBullet"/>
      </w:pPr>
      <w:r>
        <w:t xml:space="preserve">Consejo de Estado: </w:t>
      </w:r>
      <w:r>
        <w:rPr>
          <w:b/>
        </w:rPr>
        <w:t>6.4</w:t>
      </w:r>
      <w:r>
        <w:t xml:space="preserve">, </w:t>
      </w:r>
      <w:r>
        <w:rPr>
          <w:b/>
        </w:rPr>
        <w:t>7.3</w:t>
      </w:r>
      <w:r>
        <w:t xml:space="preserve">, </w:t>
      </w:r>
      <w:r>
        <w:rPr>
          <w:b/>
        </w:rPr>
        <w:t>9.2</w:t>
      </w:r>
      <w:r>
        <w:t xml:space="preserve">, </w:t>
      </w:r>
      <w:r>
        <w:rPr>
          <w:b/>
        </w:rPr>
        <w:t>A.5</w:t>
      </w:r>
      <w:r>
        <w:t>.</w:t>
      </w:r>
    </w:p>
    <w:p>
      <w:pPr>
        <w:pStyle w:val="ListBullet"/>
      </w:pPr>
      <w:r>
        <w:t xml:space="preserve">Consejo de Europa, Congreso de Autoridades Locales y Regionales: </w:t>
      </w:r>
      <w:r>
        <w:rPr>
          <w:b/>
        </w:rPr>
        <w:t>A.9</w:t>
      </w:r>
      <w:r>
        <w:t>.</w:t>
      </w:r>
    </w:p>
    <w:p>
      <w:pPr>
        <w:pStyle w:val="ListBullet"/>
      </w:pPr>
      <w:r>
        <w:t xml:space="preserve">Consejo de Europa, GRECO: </w:t>
      </w:r>
      <w:r>
        <w:rPr>
          <w:b/>
        </w:rPr>
        <w:t>7.2</w:t>
      </w:r>
      <w:r>
        <w:t xml:space="preserve">, </w:t>
      </w:r>
      <w:r>
        <w:rPr>
          <w:b/>
        </w:rPr>
        <w:t>7.3</w:t>
      </w:r>
      <w:r>
        <w:t xml:space="preserve">, </w:t>
      </w:r>
      <w:r>
        <w:rPr>
          <w:b/>
        </w:rPr>
        <w:t>11.3</w:t>
      </w:r>
      <w:r>
        <w:t xml:space="preserve">, </w:t>
      </w:r>
      <w:r>
        <w:rPr>
          <w:b/>
        </w:rPr>
        <w:t>A.1</w:t>
      </w:r>
      <w:r>
        <w:t>.</w:t>
      </w:r>
    </w:p>
    <w:p>
      <w:pPr>
        <w:pStyle w:val="ListBullet"/>
      </w:pPr>
      <w:r>
        <w:t xml:space="preserve">Consejo de Transparencia y Buen Gobierno: </w:t>
      </w:r>
      <w:r>
        <w:rPr>
          <w:b/>
        </w:rPr>
        <w:t>10.2</w:t>
      </w:r>
      <w:r>
        <w:t xml:space="preserve">, </w:t>
      </w:r>
      <w:r>
        <w:rPr>
          <w:b/>
        </w:rPr>
        <w:t>A.5</w:t>
      </w:r>
      <w:r>
        <w:t>.</w:t>
      </w:r>
    </w:p>
    <w:p>
      <w:pPr>
        <w:pStyle w:val="ListBullet"/>
      </w:pPr>
      <w:r>
        <w:t xml:space="preserve">Consejo General del Poder Judicial (CGPJ): </w:t>
      </w:r>
      <w:r>
        <w:rPr>
          <w:b/>
        </w:rPr>
        <w:t>6.4</w:t>
      </w:r>
      <w:r>
        <w:t xml:space="preserve">, </w:t>
      </w:r>
      <w:r>
        <w:rPr>
          <w:b/>
        </w:rPr>
        <w:t>7.3</w:t>
      </w:r>
      <w:r>
        <w:t xml:space="preserve">, </w:t>
      </w:r>
      <w:r>
        <w:rPr>
          <w:b/>
        </w:rPr>
        <w:t>7.5</w:t>
      </w:r>
      <w:r>
        <w:t xml:space="preserve">, </w:t>
      </w:r>
      <w:r>
        <w:rPr>
          <w:b/>
        </w:rPr>
        <w:t>7.7</w:t>
      </w:r>
      <w:r>
        <w:t xml:space="preserve">, </w:t>
      </w:r>
      <w:r>
        <w:rPr>
          <w:b/>
        </w:rPr>
        <w:t>10.2</w:t>
      </w:r>
      <w:r>
        <w:t xml:space="preserve">, </w:t>
      </w:r>
      <w:r>
        <w:rPr>
          <w:b/>
        </w:rPr>
        <w:t>11.3</w:t>
      </w:r>
      <w:r>
        <w:t xml:space="preserve">, </w:t>
      </w:r>
      <w:r>
        <w:rPr>
          <w:b/>
        </w:rPr>
        <w:t>A.2</w:t>
      </w:r>
      <w:r>
        <w:t xml:space="preserve">, </w:t>
      </w:r>
      <w:r>
        <w:rPr>
          <w:b/>
        </w:rPr>
        <w:t>A.6</w:t>
      </w:r>
      <w:r>
        <w:t xml:space="preserve">, </w:t>
      </w:r>
      <w:r>
        <w:rPr>
          <w:b/>
        </w:rPr>
        <w:t>A.7</w:t>
      </w:r>
      <w:r>
        <w:t xml:space="preserve">, </w:t>
      </w:r>
      <w:r>
        <w:rPr>
          <w:b/>
        </w:rPr>
        <w:t>A.9</w:t>
      </w:r>
      <w:r>
        <w:t>.</w:t>
      </w:r>
    </w:p>
    <w:p>
      <w:pPr>
        <w:pStyle w:val="ListBullet"/>
      </w:pPr>
      <w:r>
        <w:t xml:space="preserve">Crónica del Muro (Chronik der Mauer, Berlín): </w:t>
      </w:r>
      <w:r>
        <w:rPr>
          <w:b/>
        </w:rPr>
        <w:t>9.2</w:t>
      </w:r>
      <w:r>
        <w:t>.</w:t>
      </w:r>
    </w:p>
    <w:p>
      <w:pPr>
        <w:pStyle w:val="ListBullet"/>
      </w:pPr>
      <w:r>
        <w:t xml:space="preserve">Defensor del Pueblo: </w:t>
      </w:r>
      <w:r>
        <w:rPr>
          <w:b/>
        </w:rPr>
        <w:t>8.4</w:t>
      </w:r>
      <w:r>
        <w:t xml:space="preserve">, </w:t>
      </w:r>
      <w:r>
        <w:rPr>
          <w:b/>
        </w:rPr>
        <w:t>A.2</w:t>
      </w:r>
      <w:r>
        <w:t xml:space="preserve">, </w:t>
      </w:r>
      <w:r>
        <w:rPr>
          <w:b/>
        </w:rPr>
        <w:t>A.9</w:t>
      </w:r>
      <w:r>
        <w:t>.</w:t>
      </w:r>
    </w:p>
    <w:p>
      <w:pPr>
        <w:pStyle w:val="ListBullet"/>
      </w:pPr>
      <w:r>
        <w:t xml:space="preserve">Departamento de Educación de Nunavut: </w:t>
      </w:r>
      <w:r>
        <w:rPr>
          <w:b/>
        </w:rPr>
        <w:t>F.7</w:t>
      </w:r>
      <w:r>
        <w:t>.</w:t>
      </w:r>
    </w:p>
    <w:p>
      <w:pPr>
        <w:pStyle w:val="ListBullet"/>
      </w:pPr>
      <w:r>
        <w:t xml:space="preserve">Departamento de Estado de EE. UU., Oficina del Historiador: </w:t>
      </w:r>
      <w:r>
        <w:rPr>
          <w:b/>
        </w:rPr>
        <w:t>9.2</w:t>
      </w:r>
      <w:r>
        <w:t>.</w:t>
      </w:r>
    </w:p>
    <w:p>
      <w:pPr>
        <w:pStyle w:val="ListBullet"/>
      </w:pPr>
      <w:r>
        <w:t xml:space="preserve">Diario de Sesiones de las Cortes Generales: </w:t>
      </w:r>
      <w:r>
        <w:rPr>
          <w:b/>
        </w:rPr>
        <w:t>6.1</w:t>
      </w:r>
      <w:r>
        <w:t xml:space="preserve">, </w:t>
      </w:r>
      <w:r>
        <w:rPr>
          <w:b/>
        </w:rPr>
        <w:t>8.1</w:t>
      </w:r>
      <w:r>
        <w:t xml:space="preserve">, </w:t>
      </w:r>
      <w:r>
        <w:rPr>
          <w:b/>
        </w:rPr>
        <w:t>8.5</w:t>
      </w:r>
      <w:r>
        <w:t xml:space="preserve">, </w:t>
      </w:r>
      <w:r>
        <w:rPr>
          <w:b/>
        </w:rPr>
        <w:t>A.1</w:t>
      </w:r>
      <w:r>
        <w:t xml:space="preserve">, </w:t>
      </w:r>
      <w:r>
        <w:rPr>
          <w:b/>
        </w:rPr>
        <w:t>A.4</w:t>
      </w:r>
      <w:r>
        <w:t>.</w:t>
      </w:r>
    </w:p>
    <w:p>
      <w:pPr>
        <w:pStyle w:val="ListBullet"/>
      </w:pPr>
      <w:r>
        <w:t xml:space="preserve">F. W. de Klerk, discurso de 2-2-1990: </w:t>
      </w:r>
      <w:r>
        <w:rPr>
          <w:b/>
        </w:rPr>
        <w:t>9.2</w:t>
      </w:r>
      <w:r>
        <w:t>.</w:t>
      </w:r>
    </w:p>
    <w:p>
      <w:pPr>
        <w:pStyle w:val="ListBullet"/>
      </w:pPr>
      <w:r>
        <w:t xml:space="preserve">Federación Española de Municipios y Provincias (FEMP): </w:t>
      </w:r>
      <w:r>
        <w:rPr>
          <w:b/>
        </w:rPr>
        <w:t>A.9</w:t>
      </w:r>
      <w:r>
        <w:t>.</w:t>
      </w:r>
    </w:p>
    <w:p>
      <w:pPr>
        <w:pStyle w:val="ListBullet"/>
      </w:pPr>
      <w:r>
        <w:t xml:space="preserve">Fiscalía General del Estado: </w:t>
      </w:r>
      <w:r>
        <w:rPr>
          <w:b/>
        </w:rPr>
        <w:t>7.2</w:t>
      </w:r>
      <w:r>
        <w:t xml:space="preserve">, </w:t>
      </w:r>
      <w:r>
        <w:rPr>
          <w:b/>
        </w:rPr>
        <w:t>7.7</w:t>
      </w:r>
      <w:r>
        <w:t>.</w:t>
      </w:r>
    </w:p>
    <w:p>
      <w:pPr>
        <w:pStyle w:val="ListBullet"/>
      </w:pPr>
      <w:r>
        <w:t xml:space="preserve">FROB: </w:t>
      </w:r>
      <w:r>
        <w:rPr>
          <w:b/>
        </w:rPr>
        <w:t>A.8</w:t>
      </w:r>
      <w:r>
        <w:t>.</w:t>
      </w:r>
    </w:p>
    <w:p>
      <w:pPr>
        <w:pStyle w:val="ListBullet"/>
      </w:pPr>
      <w:r>
        <w:t xml:space="preserve">Gaceta Oficial de Filipinas: </w:t>
      </w:r>
      <w:r>
        <w:rPr>
          <w:b/>
        </w:rPr>
        <w:t>9.2</w:t>
      </w:r>
      <w:r>
        <w:t>.</w:t>
      </w:r>
    </w:p>
    <w:p>
      <w:pPr>
        <w:pStyle w:val="ListBullet"/>
      </w:pPr>
      <w:r>
        <w:t xml:space="preserve">Gandhi Heritage Portal: </w:t>
      </w:r>
      <w:r>
        <w:rPr>
          <w:b/>
        </w:rPr>
        <w:t>9.2</w:t>
      </w:r>
      <w:r>
        <w:t>.</w:t>
      </w:r>
    </w:p>
    <w:p>
      <w:pPr>
        <w:pStyle w:val="ListBullet"/>
      </w:pPr>
      <w:r>
        <w:t xml:space="preserve">Generalitat de Catalunya: </w:t>
      </w:r>
      <w:r>
        <w:rPr>
          <w:b/>
        </w:rPr>
        <w:t>8.7</w:t>
      </w:r>
      <w:r>
        <w:t xml:space="preserve">, </w:t>
      </w:r>
      <w:r>
        <w:rPr>
          <w:b/>
        </w:rPr>
        <w:t>A.1</w:t>
      </w:r>
      <w:r>
        <w:t xml:space="preserve">, </w:t>
      </w:r>
      <w:r>
        <w:rPr>
          <w:b/>
        </w:rPr>
        <w:t>A.9</w:t>
      </w:r>
      <w:r>
        <w:t>.</w:t>
      </w:r>
    </w:p>
    <w:p>
      <w:pPr>
        <w:pStyle w:val="ListBullet"/>
      </w:pPr>
      <w:r>
        <w:t xml:space="preserve">Gobierno de Islandia: </w:t>
      </w:r>
      <w:r>
        <w:rPr>
          <w:b/>
        </w:rPr>
        <w:t>9.2</w:t>
      </w:r>
      <w:r>
        <w:t>.</w:t>
      </w:r>
    </w:p>
    <w:p>
      <w:pPr>
        <w:pStyle w:val="ListBullet"/>
      </w:pPr>
      <w:r>
        <w:t xml:space="preserve">Gobierno de los Países Bajos (Rijksoverheid): </w:t>
      </w:r>
      <w:r>
        <w:rPr>
          <w:b/>
        </w:rPr>
        <w:t>8.11</w:t>
      </w:r>
      <w:r>
        <w:t>.</w:t>
      </w:r>
    </w:p>
    <w:p>
      <w:pPr>
        <w:pStyle w:val="ListBullet"/>
      </w:pPr>
      <w:r>
        <w:t xml:space="preserve">Gobierno de Melilla, sesión de control (enero de 2025): </w:t>
      </w:r>
      <w:r>
        <w:rPr>
          <w:b/>
        </w:rPr>
        <w:t>A.9</w:t>
      </w:r>
      <w:r>
        <w:t>.</w:t>
      </w:r>
    </w:p>
    <w:p>
      <w:pPr>
        <w:pStyle w:val="ListBullet"/>
      </w:pPr>
      <w:r>
        <w:t xml:space="preserve">Instituto de la Memoria Nacional de Polonia (IPN): </w:t>
      </w:r>
      <w:r>
        <w:rPr>
          <w:b/>
        </w:rPr>
        <w:t>9.2</w:t>
      </w:r>
      <w:r>
        <w:t>.</w:t>
      </w:r>
    </w:p>
    <w:p>
      <w:pPr>
        <w:pStyle w:val="ListBullet"/>
      </w:pPr>
      <w:r>
        <w:t xml:space="preserve">Instituto Nacional de Administración Pública (INAP): </w:t>
      </w:r>
      <w:r>
        <w:rPr>
          <w:b/>
        </w:rPr>
        <w:t>A.9</w:t>
      </w:r>
      <w:r>
        <w:t>.</w:t>
      </w:r>
    </w:p>
    <w:p>
      <w:pPr>
        <w:pStyle w:val="ListBullet"/>
      </w:pPr>
      <w:r>
        <w:t xml:space="preserve">Instituto para el Estudio de los Regímenes Totalitarios (ÚSTR, Chequia): </w:t>
      </w:r>
      <w:r>
        <w:rPr>
          <w:b/>
        </w:rPr>
        <w:t>9.2</w:t>
      </w:r>
      <w:r>
        <w:t>.</w:t>
      </w:r>
    </w:p>
    <w:p>
      <w:pPr>
        <w:pStyle w:val="ListBullet"/>
      </w:pPr>
      <w:r>
        <w:t xml:space="preserve">INTOSAI, ISSAI 300: </w:t>
      </w:r>
      <w:r>
        <w:rPr>
          <w:b/>
        </w:rPr>
        <w:t>7.5</w:t>
      </w:r>
      <w:r>
        <w:t>.</w:t>
      </w:r>
    </w:p>
    <w:p>
      <w:pPr>
        <w:pStyle w:val="ListBullet"/>
      </w:pPr>
      <w:r>
        <w:t xml:space="preserve">Islandia, Comisión Investigadora Especial (2010): </w:t>
      </w:r>
      <w:r>
        <w:rPr>
          <w:b/>
        </w:rPr>
        <w:t>9.2</w:t>
      </w:r>
      <w:r>
        <w:t>.</w:t>
      </w:r>
    </w:p>
    <w:p>
      <w:pPr>
        <w:pStyle w:val="ListBullet"/>
      </w:pPr>
      <w:r>
        <w:t xml:space="preserve">Junta Electoral Central, acuerdo de 3-I-2020: </w:t>
      </w:r>
      <w:r>
        <w:rPr>
          <w:b/>
        </w:rPr>
        <w:t>A.4</w:t>
      </w:r>
      <w:r>
        <w:t>.</w:t>
      </w:r>
    </w:p>
    <w:p>
      <w:pPr>
        <w:pStyle w:val="ListBullet"/>
      </w:pPr>
      <w:r>
        <w:t xml:space="preserve">La Moncloa, Gobierno de España: </w:t>
      </w:r>
      <w:r>
        <w:rPr>
          <w:b/>
        </w:rPr>
        <w:t>7.2</w:t>
      </w:r>
      <w:r>
        <w:t xml:space="preserve">, </w:t>
      </w:r>
      <w:r>
        <w:rPr>
          <w:b/>
        </w:rPr>
        <w:t>7.5</w:t>
      </w:r>
      <w:r>
        <w:t xml:space="preserve">, </w:t>
      </w:r>
      <w:r>
        <w:rPr>
          <w:b/>
        </w:rPr>
        <w:t>8.5</w:t>
      </w:r>
      <w:r>
        <w:t xml:space="preserve">, </w:t>
      </w:r>
      <w:r>
        <w:rPr>
          <w:b/>
        </w:rPr>
        <w:t>11.3</w:t>
      </w:r>
      <w:r>
        <w:t xml:space="preserve">, </w:t>
      </w:r>
      <w:r>
        <w:rPr>
          <w:b/>
        </w:rPr>
        <w:t>A.2</w:t>
      </w:r>
      <w:r>
        <w:t xml:space="preserve">, </w:t>
      </w:r>
      <w:r>
        <w:rPr>
          <w:b/>
        </w:rPr>
        <w:t>C.1</w:t>
      </w:r>
      <w:r>
        <w:t>.</w:t>
      </w:r>
    </w:p>
    <w:p>
      <w:pPr>
        <w:pStyle w:val="ListBullet"/>
      </w:pPr>
      <w:r>
        <w:t xml:space="preserve">Ministerio de Defensa: </w:t>
      </w:r>
      <w:r>
        <w:rPr>
          <w:b/>
        </w:rPr>
        <w:t>A.1</w:t>
      </w:r>
      <w:r>
        <w:t>.</w:t>
      </w:r>
    </w:p>
    <w:p>
      <w:pPr>
        <w:pStyle w:val="ListBullet"/>
      </w:pPr>
      <w:r>
        <w:t xml:space="preserve">Ministerio de Educación de Polonia: </w:t>
      </w:r>
      <w:r>
        <w:rPr>
          <w:b/>
        </w:rPr>
        <w:t>9.2</w:t>
      </w:r>
      <w:r>
        <w:t>.</w:t>
      </w:r>
    </w:p>
    <w:p>
      <w:pPr>
        <w:pStyle w:val="ListBullet"/>
      </w:pPr>
      <w:r>
        <w:t xml:space="preserve">Ministerio de Trabajo, Comisión Internacional de Personas Expertas sobre la Democracia en el Trabajo: </w:t>
      </w:r>
      <w:r>
        <w:rPr>
          <w:b/>
        </w:rPr>
        <w:t>A.8</w:t>
      </w:r>
      <w:r>
        <w:t>.</w:t>
      </w:r>
    </w:p>
    <w:p>
      <w:pPr>
        <w:pStyle w:val="ListBullet"/>
      </w:pPr>
      <w:r>
        <w:t xml:space="preserve">Ministerio para la Transición Ecológica y el Reto Demográfico, nota de prensa: </w:t>
      </w:r>
      <w:r>
        <w:rPr>
          <w:b/>
        </w:rPr>
        <w:t>A.2</w:t>
      </w:r>
      <w:r>
        <w:t>.</w:t>
      </w:r>
    </w:p>
    <w:p>
      <w:pPr>
        <w:pStyle w:val="ListBullet"/>
      </w:pPr>
      <w:r>
        <w:t xml:space="preserve">NDI y Centro Carter, misión de observación: </w:t>
      </w:r>
      <w:r>
        <w:rPr>
          <w:b/>
        </w:rPr>
        <w:t>9.2</w:t>
      </w:r>
      <w:r>
        <w:t>.</w:t>
      </w:r>
    </w:p>
    <w:p>
      <w:pPr>
        <w:pStyle w:val="ListBullet"/>
      </w:pPr>
      <w:r>
        <w:t xml:space="preserve">Oficina de Prensa del Gobierno de la India: </w:t>
      </w:r>
      <w:r>
        <w:rPr>
          <w:b/>
        </w:rPr>
        <w:t>9.2</w:t>
      </w:r>
      <w:r>
        <w:t>.</w:t>
      </w:r>
    </w:p>
    <w:p>
      <w:pPr>
        <w:pStyle w:val="ListBullet"/>
      </w:pPr>
      <w:r>
        <w:t xml:space="preserve">OSCE/ODIHR: </w:t>
      </w:r>
      <w:r>
        <w:rPr>
          <w:b/>
        </w:rPr>
        <w:t>9.2</w:t>
      </w:r>
      <w:r>
        <w:t>.</w:t>
      </w:r>
    </w:p>
    <w:p>
      <w:pPr>
        <w:pStyle w:val="ListBullet"/>
      </w:pPr>
      <w:r>
        <w:t xml:space="preserve">OTAN: </w:t>
      </w:r>
      <w:r>
        <w:rPr>
          <w:b/>
        </w:rPr>
        <w:t>A.1</w:t>
      </w:r>
      <w:r>
        <w:t>.</w:t>
      </w:r>
    </w:p>
    <w:p>
      <w:pPr>
        <w:pStyle w:val="ListBullet"/>
      </w:pPr>
      <w:r>
        <w:t xml:space="preserve">Pacto Antitransfuguismo (1998, III Adenda 2020): </w:t>
      </w:r>
      <w:r>
        <w:rPr>
          <w:b/>
        </w:rPr>
        <w:t>A.4</w:t>
      </w:r>
      <w:r>
        <w:t>.</w:t>
      </w:r>
    </w:p>
    <w:p>
      <w:pPr>
        <w:pStyle w:val="ListBullet"/>
      </w:pPr>
      <w:r>
        <w:t xml:space="preserve">Parks Australia, ficha «Tjukurpa»: </w:t>
      </w:r>
      <w:r>
        <w:rPr>
          <w:b/>
        </w:rPr>
        <w:t>1.4</w:t>
      </w:r>
      <w:r>
        <w:t>.</w:t>
      </w:r>
    </w:p>
    <w:p>
      <w:pPr>
        <w:pStyle w:val="ListBullet"/>
      </w:pPr>
      <w:r>
        <w:t xml:space="preserve">Parlamento del Reino Unido: </w:t>
      </w:r>
      <w:r>
        <w:rPr>
          <w:b/>
        </w:rPr>
        <w:t>9.2</w:t>
      </w:r>
      <w:r>
        <w:t>.</w:t>
      </w:r>
    </w:p>
    <w:p>
      <w:pPr>
        <w:pStyle w:val="ListBullet"/>
      </w:pPr>
      <w:r>
        <w:t xml:space="preserve">Parlamento Europeo, Observatorio Legislativo: </w:t>
      </w:r>
      <w:r>
        <w:rPr>
          <w:b/>
        </w:rPr>
        <w:t>8.11</w:t>
      </w:r>
      <w:r>
        <w:t>.</w:t>
      </w:r>
    </w:p>
    <w:p>
      <w:pPr>
        <w:pStyle w:val="ListBullet"/>
      </w:pPr>
      <w:r>
        <w:t xml:space="preserve">Portal de la Transparencia: </w:t>
      </w:r>
      <w:r>
        <w:rPr>
          <w:b/>
        </w:rPr>
        <w:t>C.1</w:t>
      </w:r>
      <w:r>
        <w:t xml:space="preserve">, </w:t>
      </w:r>
      <w:r>
        <w:rPr>
          <w:b/>
        </w:rPr>
        <w:t>C.2</w:t>
      </w:r>
      <w:r>
        <w:t>.</w:t>
      </w:r>
    </w:p>
    <w:p>
      <w:pPr>
        <w:pStyle w:val="ListBullet"/>
      </w:pPr>
      <w:r>
        <w:t xml:space="preserve">Presidencia de la República Checa: </w:t>
      </w:r>
      <w:r>
        <w:rPr>
          <w:b/>
        </w:rPr>
        <w:t>9.2</w:t>
      </w:r>
      <w:r>
        <w:t>.</w:t>
      </w:r>
    </w:p>
    <w:p>
      <w:pPr>
        <w:pStyle w:val="ListBullet"/>
      </w:pPr>
      <w:r>
        <w:t xml:space="preserve">Presidencia de los Estados Unidos: </w:t>
      </w:r>
      <w:r>
        <w:rPr>
          <w:b/>
        </w:rPr>
        <w:t>8.1</w:t>
      </w:r>
      <w:r>
        <w:t xml:space="preserve">, </w:t>
      </w:r>
      <w:r>
        <w:rPr>
          <w:b/>
        </w:rPr>
        <w:t>9.2</w:t>
      </w:r>
      <w:r>
        <w:t>.</w:t>
      </w:r>
    </w:p>
    <w:p>
      <w:pPr>
        <w:pStyle w:val="ListBullet"/>
      </w:pPr>
      <w:r>
        <w:t xml:space="preserve">Sejm de Polonia: </w:t>
      </w:r>
      <w:r>
        <w:rPr>
          <w:b/>
        </w:rPr>
        <w:t>9.2</w:t>
      </w:r>
      <w:r>
        <w:t>.</w:t>
      </w:r>
    </w:p>
    <w:p>
      <w:pPr>
        <w:pStyle w:val="ListBullet"/>
      </w:pPr>
      <w:r>
        <w:t xml:space="preserve">Senado: </w:t>
      </w:r>
      <w:r>
        <w:rPr>
          <w:b/>
        </w:rPr>
        <w:t>8.6</w:t>
      </w:r>
      <w:r>
        <w:t xml:space="preserve">, </w:t>
      </w:r>
      <w:r>
        <w:rPr>
          <w:b/>
        </w:rPr>
        <w:t>C.2</w:t>
      </w:r>
      <w:r>
        <w:t>.</w:t>
      </w:r>
    </w:p>
    <w:p>
      <w:pPr>
        <w:pStyle w:val="ListBullet"/>
      </w:pPr>
      <w:r>
        <w:t xml:space="preserve">Sudáfrica, Comisión de la Verdad y la Reconciliación: </w:t>
      </w:r>
      <w:r>
        <w:rPr>
          <w:b/>
        </w:rPr>
        <w:t>2.2</w:t>
      </w:r>
      <w:r>
        <w:t>.</w:t>
      </w:r>
    </w:p>
    <w:p>
      <w:pPr>
        <w:pStyle w:val="ListBullet"/>
      </w:pPr>
      <w:r>
        <w:t xml:space="preserve">Tribunal de Cuentas: </w:t>
      </w:r>
      <w:r>
        <w:rPr>
          <w:b/>
        </w:rPr>
        <w:t>6.4</w:t>
      </w:r>
      <w:r>
        <w:t xml:space="preserve">, </w:t>
      </w:r>
      <w:r>
        <w:rPr>
          <w:b/>
        </w:rPr>
        <w:t>7.2</w:t>
      </w:r>
      <w:r>
        <w:t xml:space="preserve">, </w:t>
      </w:r>
      <w:r>
        <w:rPr>
          <w:b/>
        </w:rPr>
        <w:t>7.5</w:t>
      </w:r>
      <w:r>
        <w:t xml:space="preserve">, </w:t>
      </w:r>
      <w:r>
        <w:rPr>
          <w:b/>
        </w:rPr>
        <w:t>8.7</w:t>
      </w:r>
      <w:r>
        <w:t xml:space="preserve">, </w:t>
      </w:r>
      <w:r>
        <w:rPr>
          <w:b/>
        </w:rPr>
        <w:t>9.1</w:t>
      </w:r>
      <w:r>
        <w:t xml:space="preserve">, </w:t>
      </w:r>
      <w:r>
        <w:rPr>
          <w:b/>
        </w:rPr>
        <w:t>11.3</w:t>
      </w:r>
      <w:r>
        <w:t xml:space="preserve">, </w:t>
      </w:r>
      <w:r>
        <w:rPr>
          <w:b/>
        </w:rPr>
        <w:t>A.2</w:t>
      </w:r>
      <w:r>
        <w:t xml:space="preserve">, </w:t>
      </w:r>
      <w:r>
        <w:rPr>
          <w:b/>
        </w:rPr>
        <w:t>A.3</w:t>
      </w:r>
      <w:r>
        <w:t xml:space="preserve">, </w:t>
      </w:r>
      <w:r>
        <w:rPr>
          <w:b/>
        </w:rPr>
        <w:t>A.8</w:t>
      </w:r>
      <w:r>
        <w:t xml:space="preserve">, </w:t>
      </w:r>
      <w:r>
        <w:rPr>
          <w:b/>
        </w:rPr>
        <w:t>C.2</w:t>
      </w:r>
      <w:r>
        <w:t>.</w:t>
      </w:r>
    </w:p>
    <w:p>
      <w:pPr>
        <w:pStyle w:val="ListBullet"/>
      </w:pPr>
      <w:r>
        <w:t xml:space="preserve">UNESCO: </w:t>
      </w:r>
      <w:r>
        <w:rPr>
          <w:b/>
        </w:rPr>
        <w:t>0.1</w:t>
      </w:r>
      <w:r>
        <w:t xml:space="preserve">, </w:t>
      </w:r>
      <w:r>
        <w:rPr>
          <w:b/>
        </w:rPr>
        <w:t>1.5</w:t>
      </w:r>
      <w:r>
        <w:t xml:space="preserve">, </w:t>
      </w:r>
      <w:r>
        <w:rPr>
          <w:b/>
        </w:rPr>
        <w:t>F.7</w:t>
      </w:r>
      <w:r>
        <w:t>.</w:t>
      </w:r>
    </w:p>
    <w:p>
      <w:r>
        <w:rPr>
          <w:b/>
        </w:rPr>
        <w:t>Los textos sagrados y de las tradiciones</w:t>
      </w:r>
      <w:r>
        <w:t xml:space="preserve"> (66 fuentes)</w:t>
      </w:r>
    </w:p>
    <w:p>
      <w:pPr>
        <w:pStyle w:val="ListBullet"/>
      </w:pPr>
      <w:r>
        <w:t xml:space="preserve">Aṅguttara Nikāya: </w:t>
      </w:r>
      <w:r>
        <w:rPr>
          <w:b/>
        </w:rPr>
        <w:t>J.3</w:t>
      </w:r>
      <w:r>
        <w:t>.</w:t>
      </w:r>
    </w:p>
    <w:p>
      <w:pPr>
        <w:pStyle w:val="ListBullet"/>
      </w:pPr>
      <w:r>
        <w:t xml:space="preserve">Bhagavad Gita: </w:t>
      </w:r>
      <w:r>
        <w:rPr>
          <w:b/>
        </w:rPr>
        <w:t>1.9</w:t>
      </w:r>
      <w:r>
        <w:t xml:space="preserve">, </w:t>
      </w:r>
      <w:r>
        <w:rPr>
          <w:b/>
        </w:rPr>
        <w:t>3.6</w:t>
      </w:r>
      <w:r>
        <w:t xml:space="preserve">, </w:t>
      </w:r>
      <w:r>
        <w:rPr>
          <w:b/>
        </w:rPr>
        <w:t>4.2</w:t>
      </w:r>
      <w:r>
        <w:t xml:space="preserve">, </w:t>
      </w:r>
      <w:r>
        <w:rPr>
          <w:b/>
        </w:rPr>
        <w:t>4.3</w:t>
      </w:r>
      <w:r>
        <w:t xml:space="preserve">, </w:t>
      </w:r>
      <w:r>
        <w:rPr>
          <w:b/>
        </w:rPr>
        <w:t>4.4</w:t>
      </w:r>
      <w:r>
        <w:t xml:space="preserve">, </w:t>
      </w:r>
      <w:r>
        <w:rPr>
          <w:b/>
        </w:rPr>
        <w:t>10.3</w:t>
      </w:r>
      <w:r>
        <w:t xml:space="preserve">, </w:t>
      </w:r>
      <w:r>
        <w:rPr>
          <w:b/>
        </w:rPr>
        <w:t>I.4</w:t>
      </w:r>
      <w:r>
        <w:t xml:space="preserve">, </w:t>
      </w:r>
      <w:r>
        <w:rPr>
          <w:b/>
        </w:rPr>
        <w:t>J.3</w:t>
      </w:r>
      <w:r>
        <w:t>.</w:t>
      </w:r>
    </w:p>
    <w:p>
      <w:pPr>
        <w:pStyle w:val="ListBullet"/>
      </w:pPr>
      <w:r>
        <w:t xml:space="preserve">Catecismo de la Iglesia católica: </w:t>
      </w:r>
      <w:r>
        <w:rPr>
          <w:b/>
        </w:rPr>
        <w:t>0.3</w:t>
      </w:r>
      <w:r>
        <w:t>.</w:t>
      </w:r>
    </w:p>
    <w:p>
      <w:pPr>
        <w:pStyle w:val="ListBullet"/>
      </w:pPr>
      <w:r>
        <w:t xml:space="preserve">Cilindro de Ciro: </w:t>
      </w:r>
      <w:r>
        <w:rPr>
          <w:b/>
        </w:rPr>
        <w:t>6.2</w:t>
      </w:r>
      <w:r>
        <w:t>.</w:t>
      </w:r>
    </w:p>
    <w:p>
      <w:pPr>
        <w:pStyle w:val="ListBullet"/>
      </w:pPr>
      <w:r>
        <w:t xml:space="preserve">Código de Hammurabi: </w:t>
      </w:r>
      <w:r>
        <w:rPr>
          <w:b/>
        </w:rPr>
        <w:t>3.2</w:t>
      </w:r>
      <w:r>
        <w:t xml:space="preserve">, </w:t>
      </w:r>
      <w:r>
        <w:rPr>
          <w:b/>
        </w:rPr>
        <w:t>3.3</w:t>
      </w:r>
      <w:r>
        <w:t xml:space="preserve">, </w:t>
      </w:r>
      <w:r>
        <w:rPr>
          <w:b/>
        </w:rPr>
        <w:t>F.4</w:t>
      </w:r>
      <w:r>
        <w:t>.</w:t>
      </w:r>
    </w:p>
    <w:p>
      <w:pPr>
        <w:pStyle w:val="ListBullet"/>
      </w:pPr>
      <w:r>
        <w:t xml:space="preserve">Código de Justiniano: </w:t>
      </w:r>
      <w:r>
        <w:rPr>
          <w:b/>
        </w:rPr>
        <w:t>1.7</w:t>
      </w:r>
      <w:r>
        <w:t xml:space="preserve">, </w:t>
      </w:r>
      <w:r>
        <w:rPr>
          <w:b/>
        </w:rPr>
        <w:t>H.10</w:t>
      </w:r>
      <w:r>
        <w:t>.</w:t>
      </w:r>
    </w:p>
    <w:p>
      <w:pPr>
        <w:pStyle w:val="ListBullet"/>
      </w:pPr>
      <w:r>
        <w:t xml:space="preserve">Código de Ur-Namma: </w:t>
      </w:r>
      <w:r>
        <w:rPr>
          <w:b/>
        </w:rPr>
        <w:t>3.2</w:t>
      </w:r>
      <w:r>
        <w:t xml:space="preserve">, </w:t>
      </w:r>
      <w:r>
        <w:rPr>
          <w:b/>
        </w:rPr>
        <w:t>F.4</w:t>
      </w:r>
      <w:r>
        <w:t>.</w:t>
      </w:r>
    </w:p>
    <w:p>
      <w:pPr>
        <w:pStyle w:val="ListBullet"/>
      </w:pPr>
      <w:r>
        <w:t xml:space="preserve">Comentario de Zuo: </w:t>
      </w:r>
      <w:r>
        <w:rPr>
          <w:b/>
        </w:rPr>
        <w:t>3.2</w:t>
      </w:r>
      <w:r>
        <w:t xml:space="preserve">, </w:t>
      </w:r>
      <w:r>
        <w:rPr>
          <w:b/>
        </w:rPr>
        <w:t>F.3</w:t>
      </w:r>
      <w:r>
        <w:t>.</w:t>
      </w:r>
    </w:p>
    <w:p>
      <w:pPr>
        <w:pStyle w:val="ListBullet"/>
      </w:pPr>
      <w:r>
        <w:t xml:space="preserve">Concilio de Nicea, cánones: </w:t>
      </w:r>
      <w:r>
        <w:rPr>
          <w:b/>
        </w:rPr>
        <w:t>3.3</w:t>
      </w:r>
      <w:r>
        <w:t>.</w:t>
      </w:r>
    </w:p>
    <w:p>
      <w:pPr>
        <w:pStyle w:val="ListBullet"/>
      </w:pPr>
      <w:r>
        <w:t xml:space="preserve">Confucio, Analectas: </w:t>
      </w:r>
      <w:r>
        <w:rPr>
          <w:b/>
        </w:rPr>
        <w:t>0.5</w:t>
      </w:r>
      <w:r>
        <w:t xml:space="preserve">, </w:t>
      </w:r>
      <w:r>
        <w:rPr>
          <w:b/>
        </w:rPr>
        <w:t>1.5</w:t>
      </w:r>
      <w:r>
        <w:t xml:space="preserve">, </w:t>
      </w:r>
      <w:r>
        <w:rPr>
          <w:b/>
        </w:rPr>
        <w:t>2.3</w:t>
      </w:r>
      <w:r>
        <w:t xml:space="preserve">, </w:t>
      </w:r>
      <w:r>
        <w:rPr>
          <w:b/>
        </w:rPr>
        <w:t>2.5</w:t>
      </w:r>
      <w:r>
        <w:t xml:space="preserve">, </w:t>
      </w:r>
      <w:r>
        <w:rPr>
          <w:b/>
        </w:rPr>
        <w:t>3.2</w:t>
      </w:r>
      <w:r>
        <w:t xml:space="preserve">, </w:t>
      </w:r>
      <w:r>
        <w:rPr>
          <w:b/>
        </w:rPr>
        <w:t>7.5</w:t>
      </w:r>
      <w:r>
        <w:t xml:space="preserve">, </w:t>
      </w:r>
      <w:r>
        <w:rPr>
          <w:b/>
        </w:rPr>
        <w:t>11.3</w:t>
      </w:r>
      <w:r>
        <w:t xml:space="preserve">, </w:t>
      </w:r>
      <w:r>
        <w:rPr>
          <w:b/>
        </w:rPr>
        <w:t>F.3</w:t>
      </w:r>
      <w:r>
        <w:t xml:space="preserve">, </w:t>
      </w:r>
      <w:r>
        <w:rPr>
          <w:b/>
        </w:rPr>
        <w:t>I.3</w:t>
      </w:r>
      <w:r>
        <w:t xml:space="preserve">, </w:t>
      </w:r>
      <w:r>
        <w:rPr>
          <w:b/>
        </w:rPr>
        <w:t>J.3</w:t>
      </w:r>
      <w:r>
        <w:t>.</w:t>
      </w:r>
    </w:p>
    <w:p>
      <w:pPr>
        <w:pStyle w:val="ListBullet"/>
      </w:pPr>
      <w:r>
        <w:t xml:space="preserve">Daodejing: </w:t>
      </w:r>
      <w:r>
        <w:rPr>
          <w:b/>
        </w:rPr>
        <w:t>1.9</w:t>
      </w:r>
      <w:r>
        <w:t xml:space="preserve">, </w:t>
      </w:r>
      <w:r>
        <w:rPr>
          <w:b/>
        </w:rPr>
        <w:t>2.3</w:t>
      </w:r>
      <w:r>
        <w:t xml:space="preserve">, </w:t>
      </w:r>
      <w:r>
        <w:rPr>
          <w:b/>
        </w:rPr>
        <w:t>3.2</w:t>
      </w:r>
      <w:r>
        <w:t xml:space="preserve">, </w:t>
      </w:r>
      <w:r>
        <w:rPr>
          <w:b/>
        </w:rPr>
        <w:t>3.6</w:t>
      </w:r>
      <w:r>
        <w:t xml:space="preserve">, </w:t>
      </w:r>
      <w:r>
        <w:rPr>
          <w:b/>
        </w:rPr>
        <w:t>10.3</w:t>
      </w:r>
      <w:r>
        <w:t xml:space="preserve">, </w:t>
      </w:r>
      <w:r>
        <w:rPr>
          <w:b/>
        </w:rPr>
        <w:t>F.3</w:t>
      </w:r>
      <w:r>
        <w:t xml:space="preserve">, </w:t>
      </w:r>
      <w:r>
        <w:rPr>
          <w:b/>
        </w:rPr>
        <w:t>J.1</w:t>
      </w:r>
      <w:r>
        <w:t>.</w:t>
      </w:r>
    </w:p>
    <w:p>
      <w:pPr>
        <w:pStyle w:val="ListBullet"/>
      </w:pPr>
      <w:r>
        <w:t xml:space="preserve">Decretales de Gregorio IX: </w:t>
      </w:r>
      <w:r>
        <w:rPr>
          <w:b/>
        </w:rPr>
        <w:t>H.10</w:t>
      </w:r>
      <w:r>
        <w:t>.</w:t>
      </w:r>
    </w:p>
    <w:p>
      <w:pPr>
        <w:pStyle w:val="ListBullet"/>
      </w:pPr>
      <w:r>
        <w:t xml:space="preserve">Decreto de Graciano: </w:t>
      </w:r>
      <w:r>
        <w:rPr>
          <w:b/>
        </w:rPr>
        <w:t>H.10</w:t>
      </w:r>
      <w:r>
        <w:t>.</w:t>
      </w:r>
    </w:p>
    <w:p>
      <w:pPr>
        <w:pStyle w:val="ListBullet"/>
      </w:pPr>
      <w:r>
        <w:t xml:space="preserve">Dhammapada: </w:t>
      </w:r>
      <w:r>
        <w:rPr>
          <w:b/>
        </w:rPr>
        <w:t>1.4</w:t>
      </w:r>
      <w:r>
        <w:t xml:space="preserve">, </w:t>
      </w:r>
      <w:r>
        <w:rPr>
          <w:b/>
        </w:rPr>
        <w:t>2.3</w:t>
      </w:r>
      <w:r>
        <w:t xml:space="preserve">, </w:t>
      </w:r>
      <w:r>
        <w:rPr>
          <w:b/>
        </w:rPr>
        <w:t>4.2</w:t>
      </w:r>
      <w:r>
        <w:t xml:space="preserve">, </w:t>
      </w:r>
      <w:r>
        <w:rPr>
          <w:b/>
        </w:rPr>
        <w:t>4.4</w:t>
      </w:r>
      <w:r>
        <w:t xml:space="preserve">, </w:t>
      </w:r>
      <w:r>
        <w:rPr>
          <w:b/>
        </w:rPr>
        <w:t>F.5</w:t>
      </w:r>
      <w:r>
        <w:t xml:space="preserve">, </w:t>
      </w:r>
      <w:r>
        <w:rPr>
          <w:b/>
        </w:rPr>
        <w:t>I.4</w:t>
      </w:r>
      <w:r>
        <w:t>.</w:t>
      </w:r>
    </w:p>
    <w:p>
      <w:pPr>
        <w:pStyle w:val="ListBullet"/>
      </w:pPr>
      <w:r>
        <w:t xml:space="preserve">Dictatus Papae: </w:t>
      </w:r>
      <w:r>
        <w:rPr>
          <w:b/>
        </w:rPr>
        <w:t>6.2</w:t>
      </w:r>
      <w:r>
        <w:t>.</w:t>
      </w:r>
    </w:p>
    <w:p>
      <w:pPr>
        <w:pStyle w:val="ListBullet"/>
      </w:pPr>
      <w:r>
        <w:t xml:space="preserve">Digesto de Justiniano: </w:t>
      </w:r>
      <w:r>
        <w:rPr>
          <w:b/>
        </w:rPr>
        <w:t>1.5</w:t>
      </w:r>
      <w:r>
        <w:t xml:space="preserve">, </w:t>
      </w:r>
      <w:r>
        <w:rPr>
          <w:b/>
        </w:rPr>
        <w:t>8.5</w:t>
      </w:r>
      <w:r>
        <w:t xml:space="preserve">, </w:t>
      </w:r>
      <w:r>
        <w:rPr>
          <w:b/>
        </w:rPr>
        <w:t>G.6</w:t>
      </w:r>
      <w:r>
        <w:t xml:space="preserve">, </w:t>
      </w:r>
      <w:r>
        <w:rPr>
          <w:b/>
        </w:rPr>
        <w:t>H.10</w:t>
      </w:r>
      <w:r>
        <w:t>.</w:t>
      </w:r>
    </w:p>
    <w:p>
      <w:pPr>
        <w:pStyle w:val="ListBullet"/>
      </w:pPr>
      <w:r>
        <w:t xml:space="preserve">Digha Nikaya: </w:t>
      </w:r>
      <w:r>
        <w:rPr>
          <w:b/>
        </w:rPr>
        <w:t>1.3</w:t>
      </w:r>
      <w:r>
        <w:t xml:space="preserve">, </w:t>
      </w:r>
      <w:r>
        <w:rPr>
          <w:b/>
        </w:rPr>
        <w:t>F.5</w:t>
      </w:r>
      <w:r>
        <w:t>.</w:t>
      </w:r>
    </w:p>
    <w:p>
      <w:pPr>
        <w:pStyle w:val="ListBullet"/>
      </w:pPr>
      <w:r>
        <w:t xml:space="preserve">Edictos de Ashoka: </w:t>
      </w:r>
      <w:r>
        <w:rPr>
          <w:b/>
        </w:rPr>
        <w:t>6.2</w:t>
      </w:r>
      <w:r>
        <w:t xml:space="preserve">, </w:t>
      </w:r>
      <w:r>
        <w:rPr>
          <w:b/>
        </w:rPr>
        <w:t>F.5</w:t>
      </w:r>
      <w:r>
        <w:t>.</w:t>
      </w:r>
    </w:p>
    <w:p>
      <w:pPr>
        <w:pStyle w:val="ListBullet"/>
      </w:pPr>
      <w:r>
        <w:t xml:space="preserve">El Avesta: </w:t>
      </w:r>
      <w:r>
        <w:rPr>
          <w:b/>
        </w:rPr>
        <w:t>1.9</w:t>
      </w:r>
      <w:r>
        <w:t xml:space="preserve">, </w:t>
      </w:r>
      <w:r>
        <w:rPr>
          <w:b/>
        </w:rPr>
        <w:t>3.2</w:t>
      </w:r>
      <w:r>
        <w:t xml:space="preserve">, </w:t>
      </w:r>
      <w:r>
        <w:rPr>
          <w:b/>
        </w:rPr>
        <w:t>4.2</w:t>
      </w:r>
      <w:r>
        <w:t xml:space="preserve">, </w:t>
      </w:r>
      <w:r>
        <w:rPr>
          <w:b/>
        </w:rPr>
        <w:t>4.4</w:t>
      </w:r>
      <w:r>
        <w:t xml:space="preserve">, </w:t>
      </w:r>
      <w:r>
        <w:rPr>
          <w:b/>
        </w:rPr>
        <w:t>F.2</w:t>
      </w:r>
      <w:r>
        <w:t xml:space="preserve">, </w:t>
      </w:r>
      <w:r>
        <w:rPr>
          <w:b/>
        </w:rPr>
        <w:t>J.3</w:t>
      </w:r>
      <w:r>
        <w:t>.</w:t>
      </w:r>
    </w:p>
    <w:p>
      <w:pPr>
        <w:pStyle w:val="ListBullet"/>
      </w:pPr>
      <w:r>
        <w:t xml:space="preserve">El campesino elocuente: </w:t>
      </w:r>
      <w:r>
        <w:rPr>
          <w:b/>
        </w:rPr>
        <w:t>F.4</w:t>
      </w:r>
      <w:r>
        <w:t>.</w:t>
      </w:r>
    </w:p>
    <w:p>
      <w:pPr>
        <w:pStyle w:val="ListBullet"/>
      </w:pPr>
      <w:r>
        <w:t xml:space="preserve">El Corán, traducción de Julio Cortés: </w:t>
      </w:r>
      <w:r>
        <w:rPr>
          <w:b/>
        </w:rPr>
        <w:t>0.5</w:t>
      </w:r>
      <w:r>
        <w:t xml:space="preserve">, </w:t>
      </w:r>
      <w:r>
        <w:rPr>
          <w:b/>
        </w:rPr>
        <w:t>1.4</w:t>
      </w:r>
      <w:r>
        <w:t xml:space="preserve">, </w:t>
      </w:r>
      <w:r>
        <w:rPr>
          <w:b/>
        </w:rPr>
        <w:t>2.3</w:t>
      </w:r>
      <w:r>
        <w:t xml:space="preserve">, </w:t>
      </w:r>
      <w:r>
        <w:rPr>
          <w:b/>
        </w:rPr>
        <w:t>2.4</w:t>
      </w:r>
      <w:r>
        <w:t xml:space="preserve">, </w:t>
      </w:r>
      <w:r>
        <w:rPr>
          <w:b/>
        </w:rPr>
        <w:t>3.2</w:t>
      </w:r>
      <w:r>
        <w:t xml:space="preserve">, </w:t>
      </w:r>
      <w:r>
        <w:rPr>
          <w:b/>
        </w:rPr>
        <w:t>3.3</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6.2</w:t>
      </w:r>
      <w:r>
        <w:t xml:space="preserve">, </w:t>
      </w:r>
      <w:r>
        <w:rPr>
          <w:b/>
        </w:rPr>
        <w:t>10.1</w:t>
      </w:r>
      <w:r>
        <w:t xml:space="preserve">, </w:t>
      </w:r>
      <w:r>
        <w:rPr>
          <w:b/>
        </w:rPr>
        <w:t>11.3</w:t>
      </w:r>
      <w:r>
        <w:t xml:space="preserve">, </w:t>
      </w:r>
      <w:r>
        <w:rPr>
          <w:b/>
        </w:rPr>
        <w:t>F.2</w:t>
      </w:r>
      <w:r>
        <w:t xml:space="preserve">, </w:t>
      </w:r>
      <w:r>
        <w:rPr>
          <w:b/>
        </w:rPr>
        <w:t>I.2</w:t>
      </w:r>
      <w:r>
        <w:t xml:space="preserve">, </w:t>
      </w:r>
      <w:r>
        <w:rPr>
          <w:b/>
        </w:rPr>
        <w:t>J.3</w:t>
      </w:r>
      <w:r>
        <w:t>.</w:t>
      </w:r>
    </w:p>
    <w:p>
      <w:pPr>
        <w:pStyle w:val="ListBullet"/>
      </w:pPr>
      <w:r>
        <w:t xml:space="preserve">El Talmud: </w:t>
      </w:r>
      <w:r>
        <w:rPr>
          <w:b/>
        </w:rPr>
        <w:t>0.5</w:t>
      </w:r>
      <w:r>
        <w:t xml:space="preserve">, </w:t>
      </w:r>
      <w:r>
        <w:rPr>
          <w:b/>
        </w:rPr>
        <w:t>2.3</w:t>
      </w:r>
      <w:r>
        <w:t xml:space="preserve">, </w:t>
      </w:r>
      <w:r>
        <w:rPr>
          <w:b/>
        </w:rPr>
        <w:t>3.2</w:t>
      </w:r>
      <w:r>
        <w:t xml:space="preserve">, </w:t>
      </w:r>
      <w:r>
        <w:rPr>
          <w:b/>
        </w:rPr>
        <w:t>F.2</w:t>
      </w:r>
      <w:r>
        <w:t>.</w:t>
      </w:r>
    </w:p>
    <w:p>
      <w:pPr>
        <w:pStyle w:val="ListBullet"/>
      </w:pPr>
      <w:r>
        <w:t xml:space="preserve">Enseñanza para Merikare: </w:t>
      </w:r>
      <w:r>
        <w:rPr>
          <w:b/>
        </w:rPr>
        <w:t>F.4</w:t>
      </w:r>
      <w:r>
        <w:t>.</w:t>
      </w:r>
    </w:p>
    <w:p>
      <w:pPr>
        <w:pStyle w:val="ListBullet"/>
      </w:pPr>
      <w:r>
        <w:t xml:space="preserve">Enuma Elish: </w:t>
      </w:r>
      <w:r>
        <w:rPr>
          <w:b/>
        </w:rPr>
        <w:t>1.9</w:t>
      </w:r>
      <w:r>
        <w:t xml:space="preserve">, </w:t>
      </w:r>
      <w:r>
        <w:rPr>
          <w:b/>
        </w:rPr>
        <w:t>2.3</w:t>
      </w:r>
      <w:r>
        <w:t xml:space="preserve">, </w:t>
      </w:r>
      <w:r>
        <w:rPr>
          <w:b/>
        </w:rPr>
        <w:t>4.2</w:t>
      </w:r>
      <w:r>
        <w:t>.</w:t>
      </w:r>
    </w:p>
    <w:p>
      <w:pPr>
        <w:pStyle w:val="ListBullet"/>
      </w:pPr>
      <w:r>
        <w:t xml:space="preserve">Estrategias de los Reinos Combatientes: </w:t>
      </w:r>
      <w:r>
        <w:rPr>
          <w:b/>
        </w:rPr>
        <w:t>F.3</w:t>
      </w:r>
      <w:r>
        <w:t>.</w:t>
      </w:r>
    </w:p>
    <w:p>
      <w:pPr>
        <w:pStyle w:val="ListBullet"/>
      </w:pPr>
      <w:r>
        <w:t xml:space="preserve">Gran Ley de la Paz (haudenosaunee): </w:t>
      </w:r>
      <w:r>
        <w:rPr>
          <w:b/>
        </w:rPr>
        <w:t>3.2</w:t>
      </w:r>
      <w:r>
        <w:t xml:space="preserve">, </w:t>
      </w:r>
      <w:r>
        <w:rPr>
          <w:b/>
        </w:rPr>
        <w:t>F.6</w:t>
      </w:r>
      <w:r>
        <w:t xml:space="preserve">, </w:t>
      </w:r>
      <w:r>
        <w:rPr>
          <w:b/>
        </w:rPr>
        <w:t>F.7</w:t>
      </w:r>
      <w:r>
        <w:t>.</w:t>
      </w:r>
    </w:p>
    <w:p>
      <w:pPr>
        <w:pStyle w:val="ListBullet"/>
      </w:pPr>
      <w:r>
        <w:t xml:space="preserve">Guru Granth Sahib: </w:t>
      </w:r>
      <w:r>
        <w:rPr>
          <w:b/>
        </w:rPr>
        <w:t>F.5</w:t>
      </w:r>
      <w:r>
        <w:t>.</w:t>
      </w:r>
    </w:p>
    <w:p>
      <w:pPr>
        <w:pStyle w:val="ListBullet"/>
      </w:pPr>
      <w:r>
        <w:t xml:space="preserve">Han Feizi: </w:t>
      </w:r>
      <w:r>
        <w:rPr>
          <w:b/>
        </w:rPr>
        <w:t>F.3</w:t>
      </w:r>
      <w:r>
        <w:t>.</w:t>
      </w:r>
    </w:p>
    <w:p>
      <w:pPr>
        <w:pStyle w:val="ListBullet"/>
      </w:pPr>
      <w:r>
        <w:t xml:space="preserve">Instituciones de Justiniano: </w:t>
      </w:r>
      <w:r>
        <w:rPr>
          <w:b/>
        </w:rPr>
        <w:t>H.10</w:t>
      </w:r>
      <w:r>
        <w:t>.</w:t>
      </w:r>
    </w:p>
    <w:p>
      <w:pPr>
        <w:pStyle w:val="ListBullet"/>
      </w:pPr>
      <w:r>
        <w:t xml:space="preserve">Instrucciones de Shuruppak: </w:t>
      </w:r>
      <w:r>
        <w:rPr>
          <w:b/>
        </w:rPr>
        <w:t>F.4</w:t>
      </w:r>
      <w:r>
        <w:t>.</w:t>
      </w:r>
    </w:p>
    <w:p>
      <w:pPr>
        <w:pStyle w:val="ListBullet"/>
      </w:pPr>
      <w:r>
        <w:t xml:space="preserve">Jataka: </w:t>
      </w:r>
      <w:r>
        <w:rPr>
          <w:b/>
        </w:rPr>
        <w:t>F.5</w:t>
      </w:r>
      <w:r>
        <w:t>.</w:t>
      </w:r>
    </w:p>
    <w:p>
      <w:pPr>
        <w:pStyle w:val="ListBullet"/>
      </w:pPr>
      <w:r>
        <w:t xml:space="preserve">Katha Upanishad: </w:t>
      </w:r>
      <w:r>
        <w:rPr>
          <w:b/>
        </w:rPr>
        <w:t>4.2</w:t>
      </w:r>
      <w:r>
        <w:t>.</w:t>
      </w:r>
    </w:p>
    <w:p>
      <w:pPr>
        <w:pStyle w:val="ListBullet"/>
      </w:pPr>
      <w:r>
        <w:t xml:space="preserve">Kebra Nagast: </w:t>
      </w:r>
      <w:r>
        <w:rPr>
          <w:b/>
        </w:rPr>
        <w:t>3.3</w:t>
      </w:r>
      <w:r>
        <w:t xml:space="preserve">, </w:t>
      </w:r>
      <w:r>
        <w:rPr>
          <w:b/>
        </w:rPr>
        <w:t>F.6</w:t>
      </w:r>
      <w:r>
        <w:t>.</w:t>
      </w:r>
    </w:p>
    <w:p>
      <w:pPr>
        <w:pStyle w:val="ListBullet"/>
      </w:pPr>
      <w:r>
        <w:t xml:space="preserve">La Biblia: </w:t>
      </w:r>
      <w:r>
        <w:rPr>
          <w:b/>
        </w:rPr>
        <w:t>0.3</w:t>
      </w:r>
      <w:r>
        <w:t xml:space="preserve">, </w:t>
      </w:r>
      <w:r>
        <w:rPr>
          <w:b/>
        </w:rPr>
        <w:t>0.5</w:t>
      </w:r>
      <w:r>
        <w:t xml:space="preserve">, </w:t>
      </w:r>
      <w:r>
        <w:rPr>
          <w:b/>
        </w:rPr>
        <w:t>1.1</w:t>
      </w:r>
      <w:r>
        <w:t xml:space="preserve">, </w:t>
      </w:r>
      <w:r>
        <w:rPr>
          <w:b/>
        </w:rPr>
        <w:t>1.2</w:t>
      </w:r>
      <w:r>
        <w:t xml:space="preserve">, </w:t>
      </w:r>
      <w:r>
        <w:rPr>
          <w:b/>
        </w:rPr>
        <w:t>1.3</w:t>
      </w:r>
      <w:r>
        <w:t xml:space="preserve">, </w:t>
      </w:r>
      <w:r>
        <w:rPr>
          <w:b/>
        </w:rPr>
        <w:t>1.9</w:t>
      </w:r>
      <w:r>
        <w:t xml:space="preserve">, </w:t>
      </w:r>
      <w:r>
        <w:rPr>
          <w:b/>
        </w:rPr>
        <w:t>2.3</w:t>
      </w:r>
      <w:r>
        <w:t xml:space="preserve">, </w:t>
      </w:r>
      <w:r>
        <w:rPr>
          <w:b/>
        </w:rPr>
        <w:t>2.4</w:t>
      </w:r>
      <w:r>
        <w:t xml:space="preserve">, </w:t>
      </w:r>
      <w:r>
        <w:rPr>
          <w:b/>
        </w:rPr>
        <w:t>2.5</w:t>
      </w:r>
      <w:r>
        <w:t xml:space="preserve">, </w:t>
      </w:r>
      <w:r>
        <w:rPr>
          <w:b/>
        </w:rPr>
        <w:t>3.0</w:t>
      </w:r>
      <w:r>
        <w:t xml:space="preserve">, </w:t>
      </w:r>
      <w:r>
        <w:rPr>
          <w:b/>
        </w:rPr>
        <w:t>3.1</w:t>
      </w:r>
      <w:r>
        <w:t xml:space="preserve">, </w:t>
      </w:r>
      <w:r>
        <w:rPr>
          <w:b/>
        </w:rPr>
        <w:t>3.2</w:t>
      </w:r>
      <w:r>
        <w:t xml:space="preserve">, </w:t>
      </w:r>
      <w:r>
        <w:rPr>
          <w:b/>
        </w:rPr>
        <w:t>3.3</w:t>
      </w:r>
      <w:r>
        <w:t xml:space="preserve">, </w:t>
      </w:r>
      <w:r>
        <w:rPr>
          <w:b/>
        </w:rPr>
        <w:t>3.4</w:t>
      </w:r>
      <w:r>
        <w:t xml:space="preserve">, </w:t>
      </w:r>
      <w:r>
        <w:rPr>
          <w:b/>
        </w:rPr>
        <w:t>3.5</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5.2</w:t>
      </w:r>
      <w:r>
        <w:t xml:space="preserve">, </w:t>
      </w:r>
      <w:r>
        <w:rPr>
          <w:b/>
        </w:rPr>
        <w:t>5.4</w:t>
      </w:r>
      <w:r>
        <w:t xml:space="preserve">, </w:t>
      </w:r>
      <w:r>
        <w:rPr>
          <w:b/>
        </w:rPr>
        <w:t>6.2</w:t>
      </w:r>
      <w:r>
        <w:t xml:space="preserve">, </w:t>
      </w:r>
      <w:r>
        <w:rPr>
          <w:b/>
        </w:rPr>
        <w:t>7.5</w:t>
      </w:r>
      <w:r>
        <w:t xml:space="preserve">, </w:t>
      </w:r>
      <w:r>
        <w:rPr>
          <w:b/>
        </w:rPr>
        <w:t>8.11</w:t>
      </w:r>
      <w:r>
        <w:t xml:space="preserve">, </w:t>
      </w:r>
      <w:r>
        <w:rPr>
          <w:b/>
        </w:rPr>
        <w:t>9.1</w:t>
      </w:r>
      <w:r>
        <w:t xml:space="preserve">, </w:t>
      </w:r>
      <w:r>
        <w:rPr>
          <w:b/>
        </w:rPr>
        <w:t>10.1</w:t>
      </w:r>
      <w:r>
        <w:t xml:space="preserve">, </w:t>
      </w:r>
      <w:r>
        <w:rPr>
          <w:b/>
        </w:rPr>
        <w:t>10.3</w:t>
      </w:r>
      <w:r>
        <w:t xml:space="preserve">, </w:t>
      </w:r>
      <w:r>
        <w:rPr>
          <w:b/>
        </w:rPr>
        <w:t>10.7</w:t>
      </w:r>
      <w:r>
        <w:t xml:space="preserve">, </w:t>
      </w:r>
      <w:r>
        <w:rPr>
          <w:b/>
        </w:rPr>
        <w:t>11.1</w:t>
      </w:r>
      <w:r>
        <w:t xml:space="preserve">, </w:t>
      </w:r>
      <w:r>
        <w:rPr>
          <w:b/>
        </w:rPr>
        <w:t>11.3</w:t>
      </w:r>
      <w:r>
        <w:t xml:space="preserve">, </w:t>
      </w:r>
      <w:r>
        <w:rPr>
          <w:b/>
        </w:rPr>
        <w:t>11.6</w:t>
      </w:r>
      <w:r>
        <w:t xml:space="preserve">, </w:t>
      </w:r>
      <w:r>
        <w:rPr>
          <w:b/>
        </w:rPr>
        <w:t>F.1</w:t>
      </w:r>
      <w:r>
        <w:t xml:space="preserve">, </w:t>
      </w:r>
      <w:r>
        <w:rPr>
          <w:b/>
        </w:rPr>
        <w:t>G.7</w:t>
      </w:r>
      <w:r>
        <w:t xml:space="preserve">, </w:t>
      </w:r>
      <w:r>
        <w:rPr>
          <w:b/>
        </w:rPr>
        <w:t>H.5</w:t>
      </w:r>
      <w:r>
        <w:t xml:space="preserve">, </w:t>
      </w:r>
      <w:r>
        <w:rPr>
          <w:b/>
        </w:rPr>
        <w:t>I.1</w:t>
      </w:r>
      <w:r>
        <w:t xml:space="preserve">, </w:t>
      </w:r>
      <w:r>
        <w:rPr>
          <w:b/>
        </w:rPr>
        <w:t>J.1</w:t>
      </w:r>
      <w:r>
        <w:t xml:space="preserve">, </w:t>
      </w:r>
      <w:r>
        <w:rPr>
          <w:b/>
        </w:rPr>
        <w:t>J.3</w:t>
      </w:r>
      <w:r>
        <w:t>.</w:t>
      </w:r>
    </w:p>
    <w:p>
      <w:pPr>
        <w:pStyle w:val="ListBullet"/>
      </w:pPr>
      <w:r>
        <w:t xml:space="preserve">La Mishná: </w:t>
      </w:r>
      <w:r>
        <w:rPr>
          <w:b/>
        </w:rPr>
        <w:t>0.5</w:t>
      </w:r>
      <w:r>
        <w:t xml:space="preserve">, </w:t>
      </w:r>
      <w:r>
        <w:rPr>
          <w:b/>
        </w:rPr>
        <w:t>3.1</w:t>
      </w:r>
      <w:r>
        <w:t xml:space="preserve">, </w:t>
      </w:r>
      <w:r>
        <w:rPr>
          <w:b/>
        </w:rPr>
        <w:t>3.2</w:t>
      </w:r>
      <w:r>
        <w:t xml:space="preserve">, </w:t>
      </w:r>
      <w:r>
        <w:rPr>
          <w:b/>
        </w:rPr>
        <w:t>F.2</w:t>
      </w:r>
      <w:r>
        <w:t>.</w:t>
      </w:r>
    </w:p>
    <w:p>
      <w:pPr>
        <w:pStyle w:val="ListBullet"/>
      </w:pPr>
      <w:r>
        <w:t xml:space="preserve">Lamento de Jajeperreseneb: </w:t>
      </w:r>
      <w:r>
        <w:rPr>
          <w:b/>
        </w:rPr>
        <w:t>7.5</w:t>
      </w:r>
      <w:r>
        <w:t>.</w:t>
      </w:r>
    </w:p>
    <w:p>
      <w:pPr>
        <w:pStyle w:val="ListBullet"/>
      </w:pPr>
      <w:r>
        <w:t xml:space="preserve">Leyes de Manu: </w:t>
      </w:r>
      <w:r>
        <w:rPr>
          <w:b/>
        </w:rPr>
        <w:t>1.5</w:t>
      </w:r>
      <w:r>
        <w:t xml:space="preserve">, </w:t>
      </w:r>
      <w:r>
        <w:rPr>
          <w:b/>
        </w:rPr>
        <w:t>2.3</w:t>
      </w:r>
      <w:r>
        <w:t xml:space="preserve">, </w:t>
      </w:r>
      <w:r>
        <w:rPr>
          <w:b/>
        </w:rPr>
        <w:t>3.2</w:t>
      </w:r>
      <w:r>
        <w:t xml:space="preserve">, </w:t>
      </w:r>
      <w:r>
        <w:rPr>
          <w:b/>
        </w:rPr>
        <w:t>3.3</w:t>
      </w:r>
      <w:r>
        <w:t xml:space="preserve">, </w:t>
      </w:r>
      <w:r>
        <w:rPr>
          <w:b/>
        </w:rPr>
        <w:t>3.4</w:t>
      </w:r>
      <w:r>
        <w:t xml:space="preserve">, </w:t>
      </w:r>
      <w:r>
        <w:rPr>
          <w:b/>
        </w:rPr>
        <w:t>F.5</w:t>
      </w:r>
      <w:r>
        <w:t>.</w:t>
      </w:r>
    </w:p>
    <w:p>
      <w:pPr>
        <w:pStyle w:val="ListBullet"/>
      </w:pPr>
      <w:r>
        <w:t xml:space="preserve">Liber Sextus de Bonifacio VIII: </w:t>
      </w:r>
      <w:r>
        <w:rPr>
          <w:b/>
        </w:rPr>
        <w:t>H.10</w:t>
      </w:r>
      <w:r>
        <w:t>.</w:t>
      </w:r>
    </w:p>
    <w:p>
      <w:pPr>
        <w:pStyle w:val="ListBullet"/>
      </w:pPr>
      <w:r>
        <w:t xml:space="preserve">Libro de los Jubileos: </w:t>
      </w:r>
      <w:r>
        <w:rPr>
          <w:b/>
        </w:rPr>
        <w:t>2.3</w:t>
      </w:r>
      <w:r>
        <w:t xml:space="preserve">, </w:t>
      </w:r>
      <w:r>
        <w:rPr>
          <w:b/>
        </w:rPr>
        <w:t>4.3</w:t>
      </w:r>
      <w:r>
        <w:t>.</w:t>
      </w:r>
    </w:p>
    <w:p>
      <w:pPr>
        <w:pStyle w:val="ListBullet"/>
      </w:pPr>
      <w:r>
        <w:t xml:space="preserve">Los manuscritos del mar Muerto (Regla de la Comunidad, 1QS): </w:t>
      </w:r>
      <w:r>
        <w:rPr>
          <w:b/>
        </w:rPr>
        <w:t>0.1</w:t>
      </w:r>
      <w:r>
        <w:t xml:space="preserve">, </w:t>
      </w:r>
      <w:r>
        <w:rPr>
          <w:b/>
        </w:rPr>
        <w:t>7.5</w:t>
      </w:r>
      <w:r>
        <w:t>.</w:t>
      </w:r>
    </w:p>
    <w:p>
      <w:pPr>
        <w:pStyle w:val="ListBullet"/>
      </w:pPr>
      <w:r>
        <w:t xml:space="preserve">Mahabharata: </w:t>
      </w:r>
      <w:r>
        <w:rPr>
          <w:b/>
        </w:rPr>
        <w:t>0.5</w:t>
      </w:r>
      <w:r>
        <w:t xml:space="preserve">, </w:t>
      </w:r>
      <w:r>
        <w:rPr>
          <w:b/>
        </w:rPr>
        <w:t>3.2</w:t>
      </w:r>
      <w:r>
        <w:t xml:space="preserve">, </w:t>
      </w:r>
      <w:r>
        <w:rPr>
          <w:b/>
        </w:rPr>
        <w:t>3.5</w:t>
      </w:r>
      <w:r>
        <w:t xml:space="preserve">, </w:t>
      </w:r>
      <w:r>
        <w:rPr>
          <w:b/>
        </w:rPr>
        <w:t>F.5</w:t>
      </w:r>
      <w:r>
        <w:t>.</w:t>
      </w:r>
    </w:p>
    <w:p>
      <w:pPr>
        <w:pStyle w:val="ListBullet"/>
      </w:pPr>
      <w:r>
        <w:t xml:space="preserve">Majjhima Nikaya: </w:t>
      </w:r>
      <w:r>
        <w:rPr>
          <w:b/>
        </w:rPr>
        <w:t>F.5</w:t>
      </w:r>
      <w:r>
        <w:t>.</w:t>
      </w:r>
    </w:p>
    <w:p>
      <w:pPr>
        <w:pStyle w:val="ListBullet"/>
      </w:pPr>
      <w:r>
        <w:t xml:space="preserve">Máximas de Ptahhotep: </w:t>
      </w:r>
      <w:r>
        <w:rPr>
          <w:b/>
        </w:rPr>
        <w:t>1.9</w:t>
      </w:r>
      <w:r>
        <w:t xml:space="preserve">, </w:t>
      </w:r>
      <w:r>
        <w:rPr>
          <w:b/>
        </w:rPr>
        <w:t>2.3</w:t>
      </w:r>
      <w:r>
        <w:t xml:space="preserve">, </w:t>
      </w:r>
      <w:r>
        <w:rPr>
          <w:b/>
        </w:rPr>
        <w:t>3.2</w:t>
      </w:r>
      <w:r>
        <w:t xml:space="preserve">, </w:t>
      </w:r>
      <w:r>
        <w:rPr>
          <w:b/>
        </w:rPr>
        <w:t>F.4</w:t>
      </w:r>
      <w:r>
        <w:t>.</w:t>
      </w:r>
    </w:p>
    <w:p>
      <w:pPr>
        <w:pStyle w:val="ListBullet"/>
      </w:pPr>
      <w:r>
        <w:t xml:space="preserve">Mencio: </w:t>
      </w:r>
      <w:r>
        <w:rPr>
          <w:b/>
        </w:rPr>
        <w:t>1.4</w:t>
      </w:r>
      <w:r>
        <w:t xml:space="preserve">, </w:t>
      </w:r>
      <w:r>
        <w:rPr>
          <w:b/>
        </w:rPr>
        <w:t>1.9</w:t>
      </w:r>
      <w:r>
        <w:t xml:space="preserve">, </w:t>
      </w:r>
      <w:r>
        <w:rPr>
          <w:b/>
        </w:rPr>
        <w:t>2.3</w:t>
      </w:r>
      <w:r>
        <w:t xml:space="preserve">, </w:t>
      </w:r>
      <w:r>
        <w:rPr>
          <w:b/>
        </w:rPr>
        <w:t>3.2</w:t>
      </w:r>
      <w:r>
        <w:t xml:space="preserve">, </w:t>
      </w:r>
      <w:r>
        <w:rPr>
          <w:b/>
        </w:rPr>
        <w:t>10.3</w:t>
      </w:r>
      <w:r>
        <w:t xml:space="preserve">, </w:t>
      </w:r>
      <w:r>
        <w:rPr>
          <w:b/>
        </w:rPr>
        <w:t>F.3</w:t>
      </w:r>
      <w:r>
        <w:t xml:space="preserve">, </w:t>
      </w:r>
      <w:r>
        <w:rPr>
          <w:b/>
        </w:rPr>
        <w:t>J.3</w:t>
      </w:r>
      <w:r>
        <w:t>.</w:t>
      </w:r>
    </w:p>
    <w:p>
      <w:pPr>
        <w:pStyle w:val="ListBullet"/>
      </w:pPr>
      <w:r>
        <w:t xml:space="preserve">Mozi: </w:t>
      </w:r>
      <w:r>
        <w:rPr>
          <w:b/>
        </w:rPr>
        <w:t>F.3</w:t>
      </w:r>
      <w:r>
        <w:t>.</w:t>
      </w:r>
    </w:p>
    <w:p>
      <w:pPr>
        <w:pStyle w:val="ListBullet"/>
      </w:pPr>
      <w:r>
        <w:t xml:space="preserve">Mundaka Upanishad: </w:t>
      </w:r>
      <w:r>
        <w:rPr>
          <w:b/>
        </w:rPr>
        <w:t>4.4</w:t>
      </w:r>
      <w:r>
        <w:t>.</w:t>
      </w:r>
    </w:p>
    <w:p>
      <w:pPr>
        <w:pStyle w:val="ListBullet"/>
      </w:pPr>
      <w:r>
        <w:t xml:space="preserve">Nidanakatha: </w:t>
      </w:r>
      <w:r>
        <w:rPr>
          <w:b/>
        </w:rPr>
        <w:t>6.2</w:t>
      </w:r>
      <w:r>
        <w:t>.</w:t>
      </w:r>
    </w:p>
    <w:p>
      <w:pPr>
        <w:pStyle w:val="ListBullet"/>
      </w:pPr>
      <w:r>
        <w:t xml:space="preserve">Reformas de Urukagina: </w:t>
      </w:r>
      <w:r>
        <w:rPr>
          <w:b/>
        </w:rPr>
        <w:t>3.3</w:t>
      </w:r>
      <w:r>
        <w:t>.</w:t>
      </w:r>
    </w:p>
    <w:p>
      <w:pPr>
        <w:pStyle w:val="ListBullet"/>
      </w:pPr>
      <w:r>
        <w:t xml:space="preserve">Res Gestae divi Augusti: </w:t>
      </w:r>
      <w:r>
        <w:rPr>
          <w:b/>
        </w:rPr>
        <w:t>6.2</w:t>
      </w:r>
      <w:r>
        <w:t>.</w:t>
      </w:r>
    </w:p>
    <w:p>
      <w:pPr>
        <w:pStyle w:val="ListBullet"/>
      </w:pPr>
      <w:r>
        <w:t xml:space="preserve">Rig Veda: </w:t>
      </w:r>
      <w:r>
        <w:rPr>
          <w:b/>
        </w:rPr>
        <w:t>2.3</w:t>
      </w:r>
      <w:r>
        <w:t xml:space="preserve">, </w:t>
      </w:r>
      <w:r>
        <w:rPr>
          <w:b/>
        </w:rPr>
        <w:t>4.2</w:t>
      </w:r>
      <w:r>
        <w:t>.</w:t>
      </w:r>
    </w:p>
    <w:p>
      <w:pPr>
        <w:pStyle w:val="ListBullet"/>
      </w:pPr>
      <w:r>
        <w:t xml:space="preserve">Sahih al-Bujari: </w:t>
      </w:r>
      <w:r>
        <w:rPr>
          <w:b/>
        </w:rPr>
        <w:t>0.5</w:t>
      </w:r>
      <w:r>
        <w:t xml:space="preserve">, </w:t>
      </w:r>
      <w:r>
        <w:rPr>
          <w:b/>
        </w:rPr>
        <w:t>1.9</w:t>
      </w:r>
      <w:r>
        <w:t xml:space="preserve">, </w:t>
      </w:r>
      <w:r>
        <w:rPr>
          <w:b/>
        </w:rPr>
        <w:t>2.3</w:t>
      </w:r>
      <w:r>
        <w:t xml:space="preserve">, </w:t>
      </w:r>
      <w:r>
        <w:rPr>
          <w:b/>
        </w:rPr>
        <w:t>3.1</w:t>
      </w:r>
      <w:r>
        <w:t xml:space="preserve">, </w:t>
      </w:r>
      <w:r>
        <w:rPr>
          <w:b/>
        </w:rPr>
        <w:t>F.2</w:t>
      </w:r>
      <w:r>
        <w:t>.</w:t>
      </w:r>
    </w:p>
    <w:p>
      <w:pPr>
        <w:pStyle w:val="ListBullet"/>
      </w:pPr>
      <w:r>
        <w:t xml:space="preserve">Sahih Muslim: </w:t>
      </w:r>
      <w:r>
        <w:rPr>
          <w:b/>
        </w:rPr>
        <w:t>F.2</w:t>
      </w:r>
      <w:r>
        <w:t>.</w:t>
      </w:r>
    </w:p>
    <w:p>
      <w:pPr>
        <w:pStyle w:val="ListBullet"/>
      </w:pPr>
      <w:r>
        <w:t xml:space="preserve">Samyutta Nikaya: </w:t>
      </w:r>
      <w:r>
        <w:rPr>
          <w:b/>
        </w:rPr>
        <w:t>3.1</w:t>
      </w:r>
      <w:r>
        <w:t>.</w:t>
      </w:r>
    </w:p>
    <w:p>
      <w:pPr>
        <w:pStyle w:val="ListBullet"/>
      </w:pPr>
      <w:r>
        <w:t xml:space="preserve">Saṃyutta Nikāya: </w:t>
      </w:r>
      <w:r>
        <w:rPr>
          <w:b/>
        </w:rPr>
        <w:t>J.3</w:t>
      </w:r>
      <w:r>
        <w:t>.</w:t>
      </w:r>
    </w:p>
    <w:p>
      <w:pPr>
        <w:pStyle w:val="ListBullet"/>
      </w:pPr>
      <w:r>
        <w:t xml:space="preserve">Shû King (Libro de los Documentos): </w:t>
      </w:r>
      <w:r>
        <w:rPr>
          <w:b/>
        </w:rPr>
        <w:t>1.9</w:t>
      </w:r>
      <w:r>
        <w:t>.</w:t>
      </w:r>
    </w:p>
    <w:p>
      <w:pPr>
        <w:pStyle w:val="ListBullet"/>
      </w:pPr>
      <w:r>
        <w:t xml:space="preserve">Sima Qian, Shiji: </w:t>
      </w:r>
      <w:r>
        <w:rPr>
          <w:b/>
        </w:rPr>
        <w:t>3.4</w:t>
      </w:r>
      <w:r>
        <w:t xml:space="preserve">, </w:t>
      </w:r>
      <w:r>
        <w:rPr>
          <w:b/>
        </w:rPr>
        <w:t>3.5</w:t>
      </w:r>
      <w:r>
        <w:t xml:space="preserve">, </w:t>
      </w:r>
      <w:r>
        <w:rPr>
          <w:b/>
        </w:rPr>
        <w:t>F.3</w:t>
      </w:r>
      <w:r>
        <w:t>.</w:t>
      </w:r>
    </w:p>
    <w:p>
      <w:pPr>
        <w:pStyle w:val="ListBullet"/>
      </w:pPr>
      <w:r>
        <w:t xml:space="preserve">Sutta Nipata: </w:t>
      </w:r>
      <w:r>
        <w:rPr>
          <w:b/>
        </w:rPr>
        <w:t>4.1</w:t>
      </w:r>
      <w:r>
        <w:t xml:space="preserve">, </w:t>
      </w:r>
      <w:r>
        <w:rPr>
          <w:b/>
        </w:rPr>
        <w:t>4.3</w:t>
      </w:r>
      <w:r>
        <w:t xml:space="preserve">, </w:t>
      </w:r>
      <w:r>
        <w:rPr>
          <w:b/>
        </w:rPr>
        <w:t>F.5</w:t>
      </w:r>
      <w:r>
        <w:t>.</w:t>
      </w:r>
    </w:p>
    <w:p>
      <w:pPr>
        <w:pStyle w:val="ListBullet"/>
      </w:pPr>
      <w:r>
        <w:t xml:space="preserve">Tabla Esmeralda: </w:t>
      </w:r>
      <w:r>
        <w:rPr>
          <w:b/>
        </w:rPr>
        <w:t>I.7</w:t>
      </w:r>
      <w:r>
        <w:t>.</w:t>
      </w:r>
    </w:p>
    <w:p>
      <w:pPr>
        <w:pStyle w:val="ListBullet"/>
      </w:pPr>
      <w:r>
        <w:t xml:space="preserve">Tattvartha Sutra: </w:t>
      </w:r>
      <w:r>
        <w:rPr>
          <w:b/>
        </w:rPr>
        <w:t>F.5</w:t>
      </w:r>
      <w:r>
        <w:t>.</w:t>
      </w:r>
    </w:p>
    <w:p>
      <w:pPr>
        <w:pStyle w:val="ListBullet"/>
      </w:pPr>
      <w:r>
        <w:t xml:space="preserve">Textos de las Pirámides: </w:t>
      </w:r>
      <w:r>
        <w:rPr>
          <w:b/>
        </w:rPr>
        <w:t>2.3</w:t>
      </w:r>
      <w:r>
        <w:t xml:space="preserve">, </w:t>
      </w:r>
      <w:r>
        <w:rPr>
          <w:b/>
        </w:rPr>
        <w:t>4.2</w:t>
      </w:r>
      <w:r>
        <w:t>.</w:t>
      </w:r>
    </w:p>
    <w:p>
      <w:pPr>
        <w:pStyle w:val="ListBullet"/>
      </w:pPr>
      <w:r>
        <w:t xml:space="preserve">Vasishtha Dharmasutra: </w:t>
      </w:r>
      <w:r>
        <w:rPr>
          <w:b/>
        </w:rPr>
        <w:t>3.3</w:t>
      </w:r>
      <w:r>
        <w:t xml:space="preserve">, </w:t>
      </w:r>
      <w:r>
        <w:rPr>
          <w:b/>
        </w:rPr>
        <w:t>F.5</w:t>
      </w:r>
      <w:r>
        <w:t>.</w:t>
      </w:r>
    </w:p>
    <w:p>
      <w:pPr>
        <w:pStyle w:val="ListBullet"/>
      </w:pPr>
      <w:r>
        <w:t xml:space="preserve">Vinaya: </w:t>
      </w:r>
      <w:r>
        <w:rPr>
          <w:b/>
        </w:rPr>
        <w:t>3.6</w:t>
      </w:r>
      <w:r>
        <w:t xml:space="preserve">, </w:t>
      </w:r>
      <w:r>
        <w:rPr>
          <w:b/>
        </w:rPr>
        <w:t>F.7</w:t>
      </w:r>
      <w:r>
        <w:t>.</w:t>
      </w:r>
    </w:p>
    <w:p>
      <w:pPr>
        <w:pStyle w:val="ListBullet"/>
      </w:pPr>
      <w:r>
        <w:t xml:space="preserve">Völuspá (Codex Regius): </w:t>
      </w:r>
      <w:r>
        <w:rPr>
          <w:b/>
        </w:rPr>
        <w:t>4.2</w:t>
      </w:r>
      <w:r>
        <w:t>.</w:t>
      </w:r>
    </w:p>
    <w:p>
      <w:pPr>
        <w:pStyle w:val="ListBullet"/>
      </w:pPr>
      <w:r>
        <w:t xml:space="preserve">Xunzi: </w:t>
      </w:r>
      <w:r>
        <w:rPr>
          <w:b/>
        </w:rPr>
        <w:t>2.5</w:t>
      </w:r>
      <w:r>
        <w:t xml:space="preserve">, </w:t>
      </w:r>
      <w:r>
        <w:rPr>
          <w:b/>
        </w:rPr>
        <w:t>3.2</w:t>
      </w:r>
      <w:r>
        <w:t xml:space="preserve">, </w:t>
      </w:r>
      <w:r>
        <w:rPr>
          <w:b/>
        </w:rPr>
        <w:t>F.3</w:t>
      </w:r>
      <w:r>
        <w:t>.</w:t>
      </w:r>
    </w:p>
    <w:p>
      <w:pPr>
        <w:pStyle w:val="ListBullet"/>
      </w:pPr>
      <w:r>
        <w:t xml:space="preserve">Zhongyong (La Doctrina del Medio): </w:t>
      </w:r>
      <w:r>
        <w:rPr>
          <w:b/>
        </w:rPr>
        <w:t>J.3</w:t>
      </w:r>
      <w:r>
        <w:t>.</w:t>
      </w:r>
    </w:p>
    <w:p>
      <w:pPr>
        <w:pStyle w:val="ListBullet"/>
      </w:pPr>
      <w:r>
        <w:t xml:space="preserve">Zhuangzi: </w:t>
      </w:r>
      <w:r>
        <w:rPr>
          <w:b/>
        </w:rPr>
        <w:t>F.3</w:t>
      </w:r>
      <w:r>
        <w:t>.</w:t>
      </w:r>
    </w:p>
    <w:p>
      <w:r>
        <w:rPr>
          <w:b/>
        </w:rPr>
        <w:t>Los autores</w:t>
      </w:r>
      <w:r>
        <w:t xml:space="preserve"> (123 fuentes)</w:t>
      </w:r>
    </w:p>
    <w:p>
      <w:pPr>
        <w:pStyle w:val="ListBullet"/>
      </w:pPr>
      <w:r>
        <w:t xml:space="preserve">Adolf Deissmann, Light from the Ancient East (Luz del antiguo Oriente), 1910: </w:t>
      </w:r>
      <w:r>
        <w:rPr>
          <w:b/>
        </w:rPr>
        <w:t>8.11</w:t>
      </w:r>
      <w:r>
        <w:t>.</w:t>
      </w:r>
    </w:p>
    <w:p>
      <w:pPr>
        <w:pStyle w:val="ListBullet"/>
      </w:pPr>
      <w:r>
        <w:t xml:space="preserve">Agustín de Hipona: </w:t>
      </w:r>
      <w:r>
        <w:rPr>
          <w:b/>
        </w:rPr>
        <w:t>2.3</w:t>
      </w:r>
      <w:r>
        <w:t xml:space="preserve">, </w:t>
      </w:r>
      <w:r>
        <w:rPr>
          <w:b/>
        </w:rPr>
        <w:t>11.2</w:t>
      </w:r>
      <w:r>
        <w:t>.</w:t>
      </w:r>
    </w:p>
    <w:p>
      <w:pPr>
        <w:pStyle w:val="ListBullet"/>
      </w:pPr>
      <w:r>
        <w:t xml:space="preserve">Alonso de Zorita, Breve y sumaria relación: </w:t>
      </w:r>
      <w:r>
        <w:rPr>
          <w:b/>
        </w:rPr>
        <w:t>F.7</w:t>
      </w:r>
      <w:r>
        <w:t>.</w:t>
      </w:r>
    </w:p>
    <w:p>
      <w:pPr>
        <w:pStyle w:val="ListBullet"/>
      </w:pPr>
      <w:r>
        <w:t xml:space="preserve">Alva Ixtlilxóchitl: </w:t>
      </w:r>
      <w:r>
        <w:rPr>
          <w:b/>
        </w:rPr>
        <w:t>F.7</w:t>
      </w:r>
      <w:r>
        <w:t>.</w:t>
      </w:r>
    </w:p>
    <w:p>
      <w:pPr>
        <w:pStyle w:val="ListBullet"/>
      </w:pPr>
      <w:r>
        <w:t xml:space="preserve">Ari Þorgilsson, Íslendingabók: </w:t>
      </w:r>
      <w:r>
        <w:rPr>
          <w:b/>
        </w:rPr>
        <w:t>F.7</w:t>
      </w:r>
      <w:r>
        <w:t>.</w:t>
      </w:r>
    </w:p>
    <w:p>
      <w:pPr>
        <w:pStyle w:val="ListBullet"/>
      </w:pPr>
      <w:r>
        <w:t xml:space="preserve">Aristóteles: </w:t>
      </w:r>
      <w:r>
        <w:rPr>
          <w:b/>
        </w:rPr>
        <w:t>0.5</w:t>
      </w:r>
      <w:r>
        <w:t xml:space="preserve">, </w:t>
      </w:r>
      <w:r>
        <w:rPr>
          <w:b/>
        </w:rPr>
        <w:t>1.4</w:t>
      </w:r>
      <w:r>
        <w:t xml:space="preserve">, </w:t>
      </w:r>
      <w:r>
        <w:rPr>
          <w:b/>
        </w:rPr>
        <w:t>2.3</w:t>
      </w:r>
      <w:r>
        <w:t xml:space="preserve">, </w:t>
      </w:r>
      <w:r>
        <w:rPr>
          <w:b/>
        </w:rPr>
        <w:t>3.2</w:t>
      </w:r>
      <w:r>
        <w:t xml:space="preserve">, </w:t>
      </w:r>
      <w:r>
        <w:rPr>
          <w:b/>
        </w:rPr>
        <w:t>3.3</w:t>
      </w:r>
      <w:r>
        <w:t xml:space="preserve">, </w:t>
      </w:r>
      <w:r>
        <w:rPr>
          <w:b/>
        </w:rPr>
        <w:t>4.3</w:t>
      </w:r>
      <w:r>
        <w:t xml:space="preserve">, </w:t>
      </w:r>
      <w:r>
        <w:rPr>
          <w:b/>
        </w:rPr>
        <w:t>4.4</w:t>
      </w:r>
      <w:r>
        <w:t xml:space="preserve">, </w:t>
      </w:r>
      <w:r>
        <w:rPr>
          <w:b/>
        </w:rPr>
        <w:t>5.5</w:t>
      </w:r>
      <w:r>
        <w:t xml:space="preserve">, </w:t>
      </w:r>
      <w:r>
        <w:rPr>
          <w:b/>
        </w:rPr>
        <w:t>7.5</w:t>
      </w:r>
      <w:r>
        <w:t xml:space="preserve">, </w:t>
      </w:r>
      <w:r>
        <w:rPr>
          <w:b/>
        </w:rPr>
        <w:t>F.4</w:t>
      </w:r>
      <w:r>
        <w:t>.</w:t>
      </w:r>
    </w:p>
    <w:p>
      <w:pPr>
        <w:pStyle w:val="ListBullet"/>
      </w:pPr>
      <w:r>
        <w:t xml:space="preserve">Bel y Costas: </w:t>
      </w:r>
      <w:r>
        <w:rPr>
          <w:b/>
        </w:rPr>
        <w:t>8.7</w:t>
      </w:r>
      <w:r>
        <w:t>.</w:t>
      </w:r>
    </w:p>
    <w:p>
      <w:pPr>
        <w:pStyle w:val="ListBullet"/>
      </w:pPr>
      <w:r>
        <w:t xml:space="preserve">Beneš y Kumhof (FMI): </w:t>
      </w:r>
      <w:r>
        <w:rPr>
          <w:b/>
        </w:rPr>
        <w:t>8.1</w:t>
      </w:r>
      <w:r>
        <w:t>.</w:t>
      </w:r>
    </w:p>
    <w:p>
      <w:pPr>
        <w:pStyle w:val="ListBullet"/>
      </w:pPr>
      <w:r>
        <w:t xml:space="preserve">Bentham: </w:t>
      </w:r>
      <w:r>
        <w:rPr>
          <w:b/>
        </w:rPr>
        <w:t>G.6</w:t>
      </w:r>
      <w:r>
        <w:t>.</w:t>
      </w:r>
    </w:p>
    <w:p>
      <w:pPr>
        <w:pStyle w:val="ListBullet"/>
      </w:pPr>
      <w:r>
        <w:t xml:space="preserve">Bernanke: </w:t>
      </w:r>
      <w:r>
        <w:rPr>
          <w:b/>
        </w:rPr>
        <w:t>8.1</w:t>
      </w:r>
      <w:r>
        <w:t>.</w:t>
      </w:r>
    </w:p>
    <w:p>
      <w:pPr>
        <w:pStyle w:val="ListBullet"/>
      </w:pPr>
      <w:r>
        <w:t xml:space="preserve">Bodino: </w:t>
      </w:r>
      <w:r>
        <w:rPr>
          <w:b/>
        </w:rPr>
        <w:t>6.3</w:t>
      </w:r>
      <w:r>
        <w:t>.</w:t>
      </w:r>
    </w:p>
    <w:p>
      <w:pPr>
        <w:pStyle w:val="ListBullet"/>
      </w:pPr>
      <w:r>
        <w:t xml:space="preserve">Breasted (historia y documentos del antiguo Egipto): </w:t>
      </w:r>
      <w:r>
        <w:rPr>
          <w:b/>
        </w:rPr>
        <w:t>4.2</w:t>
      </w:r>
      <w:r>
        <w:t xml:space="preserve">, </w:t>
      </w:r>
      <w:r>
        <w:rPr>
          <w:b/>
        </w:rPr>
        <w:t>6.2</w:t>
      </w:r>
      <w:r>
        <w:t>.</w:t>
      </w:r>
    </w:p>
    <w:p>
      <w:pPr>
        <w:pStyle w:val="ListBullet"/>
      </w:pPr>
      <w:r>
        <w:t xml:space="preserve">Bryant, Liberty, Order and Law under Native Irish Rule: </w:t>
      </w:r>
      <w:r>
        <w:rPr>
          <w:b/>
        </w:rPr>
        <w:t>F.7</w:t>
      </w:r>
      <w:r>
        <w:t>.</w:t>
      </w:r>
    </w:p>
    <w:p>
      <w:pPr>
        <w:pStyle w:val="ListBullet"/>
      </w:pPr>
      <w:r>
        <w:t xml:space="preserve">Buric y otros, Frontiers in Immunology 8 (2017): </w:t>
      </w:r>
      <w:r>
        <w:rPr>
          <w:b/>
        </w:rPr>
        <w:t>4.2</w:t>
      </w:r>
      <w:r>
        <w:t>.</w:t>
      </w:r>
    </w:p>
    <w:p>
      <w:pPr>
        <w:pStyle w:val="ListBullet"/>
      </w:pPr>
      <w:r>
        <w:t xml:space="preserve">Casalis, Los basutos: </w:t>
      </w:r>
      <w:r>
        <w:rPr>
          <w:b/>
        </w:rPr>
        <w:t>F.6</w:t>
      </w:r>
      <w:r>
        <w:t>.</w:t>
      </w:r>
    </w:p>
    <w:p>
      <w:pPr>
        <w:pStyle w:val="ListBullet"/>
      </w:pPr>
      <w:r>
        <w:t xml:space="preserve">Cicerón: </w:t>
      </w:r>
      <w:r>
        <w:rPr>
          <w:b/>
        </w:rPr>
        <w:t>1.5</w:t>
      </w:r>
      <w:r>
        <w:t xml:space="preserve">, </w:t>
      </w:r>
      <w:r>
        <w:rPr>
          <w:b/>
        </w:rPr>
        <w:t>3.1</w:t>
      </w:r>
      <w:r>
        <w:t xml:space="preserve">, </w:t>
      </w:r>
      <w:r>
        <w:rPr>
          <w:b/>
        </w:rPr>
        <w:t>3.2</w:t>
      </w:r>
      <w:r>
        <w:t xml:space="preserve">, </w:t>
      </w:r>
      <w:r>
        <w:rPr>
          <w:b/>
        </w:rPr>
        <w:t>F.4</w:t>
      </w:r>
      <w:r>
        <w:t xml:space="preserve">, </w:t>
      </w:r>
      <w:r>
        <w:rPr>
          <w:b/>
        </w:rPr>
        <w:t>G.6</w:t>
      </w:r>
      <w:r>
        <w:t xml:space="preserve">, </w:t>
      </w:r>
      <w:r>
        <w:rPr>
          <w:b/>
        </w:rPr>
        <w:t>H.10</w:t>
      </w:r>
      <w:r>
        <w:t>.</w:t>
      </w:r>
    </w:p>
    <w:p>
      <w:pPr>
        <w:pStyle w:val="ListBullet"/>
      </w:pPr>
      <w:r>
        <w:t xml:space="preserve">Claridge, A History of the Gold Coast and Ashanti: </w:t>
      </w:r>
      <w:r>
        <w:rPr>
          <w:b/>
        </w:rPr>
        <w:t>7.5</w:t>
      </w:r>
      <w:r>
        <w:t>.</w:t>
      </w:r>
    </w:p>
    <w:p>
      <w:pPr>
        <w:pStyle w:val="ListBullet"/>
      </w:pPr>
      <w:r>
        <w:t xml:space="preserve">Clavijero, Historia antigua de México: </w:t>
      </w:r>
      <w:r>
        <w:rPr>
          <w:b/>
        </w:rPr>
        <w:t>F.7</w:t>
      </w:r>
      <w:r>
        <w:t>.</w:t>
      </w:r>
    </w:p>
    <w:p>
      <w:pPr>
        <w:pStyle w:val="ListBullet"/>
      </w:pPr>
      <w:r>
        <w:t xml:space="preserve">Cohen y otros, Psychosomatic Medicine 78 (2016), resumen: </w:t>
      </w:r>
      <w:r>
        <w:rPr>
          <w:b/>
        </w:rPr>
        <w:t>4.2</w:t>
      </w:r>
      <w:r>
        <w:t>.</w:t>
      </w:r>
    </w:p>
    <w:p>
      <w:pPr>
        <w:pStyle w:val="ListBullet"/>
      </w:pPr>
      <w:r>
        <w:t xml:space="preserve">Comín: </w:t>
      </w:r>
      <w:r>
        <w:rPr>
          <w:b/>
        </w:rPr>
        <w:t>9.1</w:t>
      </w:r>
      <w:r>
        <w:t>.</w:t>
      </w:r>
    </w:p>
    <w:p>
      <w:pPr>
        <w:pStyle w:val="ListBullet"/>
      </w:pPr>
      <w:r>
        <w:t xml:space="preserve">Condorcet: </w:t>
      </w:r>
      <w:r>
        <w:rPr>
          <w:b/>
        </w:rPr>
        <w:t>6.1</w:t>
      </w:r>
      <w:r>
        <w:t>.</w:t>
      </w:r>
    </w:p>
    <w:p>
      <w:pPr>
        <w:pStyle w:val="ListBullet"/>
      </w:pPr>
      <w:r>
        <w:t xml:space="preserve">Copérnico: </w:t>
      </w:r>
      <w:r>
        <w:rPr>
          <w:b/>
        </w:rPr>
        <w:t>8.2</w:t>
      </w:r>
      <w:r>
        <w:t>.</w:t>
      </w:r>
    </w:p>
    <w:p>
      <w:pPr>
        <w:pStyle w:val="ListBullet"/>
      </w:pPr>
      <w:r>
        <w:t xml:space="preserve">Cordero Quinzacara y Aldunate Lizana: </w:t>
      </w:r>
      <w:r>
        <w:rPr>
          <w:b/>
        </w:rPr>
        <w:t>6.3</w:t>
      </w:r>
      <w:r>
        <w:t>.</w:t>
      </w:r>
    </w:p>
    <w:p>
      <w:pPr>
        <w:pStyle w:val="ListBullet"/>
      </w:pPr>
      <w:r>
        <w:t xml:space="preserve">Diógenes Laercio: </w:t>
      </w:r>
      <w:r>
        <w:rPr>
          <w:b/>
        </w:rPr>
        <w:t>H.10</w:t>
      </w:r>
      <w:r>
        <w:t>.</w:t>
      </w:r>
    </w:p>
    <w:p>
      <w:pPr>
        <w:pStyle w:val="ListBullet"/>
      </w:pPr>
      <w:r>
        <w:t xml:space="preserve">El Federalista: </w:t>
      </w:r>
      <w:r>
        <w:rPr>
          <w:b/>
        </w:rPr>
        <w:t>6.5</w:t>
      </w:r>
      <w:r>
        <w:t>.</w:t>
      </w:r>
    </w:p>
    <w:p>
      <w:pPr>
        <w:pStyle w:val="ListBullet"/>
      </w:pPr>
      <w:r>
        <w:t xml:space="preserve">Erman, Die Literatur der Aegypter: </w:t>
      </w:r>
      <w:r>
        <w:rPr>
          <w:b/>
        </w:rPr>
        <w:t>7.5</w:t>
      </w:r>
      <w:r>
        <w:t>.</w:t>
      </w:r>
    </w:p>
    <w:p>
      <w:pPr>
        <w:pStyle w:val="ListBullet"/>
      </w:pPr>
      <w:r>
        <w:t xml:space="preserve">Espinosa: </w:t>
      </w:r>
      <w:r>
        <w:rPr>
          <w:b/>
        </w:rPr>
        <w:t>11.3</w:t>
      </w:r>
      <w:r>
        <w:t>.</w:t>
      </w:r>
    </w:p>
    <w:p>
      <w:pPr>
        <w:pStyle w:val="ListBullet"/>
      </w:pPr>
      <w:r>
        <w:t xml:space="preserve">Estudios sobre corresponsabilidad fiscal autonómica: </w:t>
      </w:r>
      <w:r>
        <w:rPr>
          <w:b/>
        </w:rPr>
        <w:t>A.9</w:t>
      </w:r>
      <w:r>
        <w:t>.</w:t>
      </w:r>
    </w:p>
    <w:p>
      <w:pPr>
        <w:pStyle w:val="ListBullet"/>
      </w:pPr>
      <w:r>
        <w:t xml:space="preserve">Fedro: </w:t>
      </w:r>
      <w:r>
        <w:rPr>
          <w:b/>
        </w:rPr>
        <w:t>2.5</w:t>
      </w:r>
      <w:r>
        <w:t>.</w:t>
      </w:r>
    </w:p>
    <w:p>
      <w:pPr>
        <w:pStyle w:val="ListBullet"/>
      </w:pPr>
      <w:r>
        <w:t xml:space="preserve">Forrester y May (eds.), The Fall of Soeharto: </w:t>
      </w:r>
      <w:r>
        <w:rPr>
          <w:b/>
        </w:rPr>
        <w:t>9.2</w:t>
      </w:r>
      <w:r>
        <w:t>.</w:t>
      </w:r>
    </w:p>
    <w:p>
      <w:pPr>
        <w:pStyle w:val="ListBullet"/>
      </w:pPr>
      <w:r>
        <w:t xml:space="preserve">Francis Bacon: </w:t>
      </w:r>
      <w:r>
        <w:rPr>
          <w:b/>
        </w:rPr>
        <w:t>H.10</w:t>
      </w:r>
      <w:r>
        <w:t>.</w:t>
      </w:r>
    </w:p>
    <w:p>
      <w:pPr>
        <w:pStyle w:val="ListBullet"/>
      </w:pPr>
      <w:r>
        <w:t xml:space="preserve">Francisco de Vitoria: </w:t>
      </w:r>
      <w:r>
        <w:rPr>
          <w:b/>
        </w:rPr>
        <w:t>1.4</w:t>
      </w:r>
      <w:r>
        <w:t>.</w:t>
      </w:r>
    </w:p>
    <w:p>
      <w:pPr>
        <w:pStyle w:val="ListBullet"/>
      </w:pPr>
      <w:r>
        <w:t xml:space="preserve">Franz Boas: </w:t>
      </w:r>
      <w:r>
        <w:rPr>
          <w:b/>
        </w:rPr>
        <w:t>F.7</w:t>
      </w:r>
      <w:r>
        <w:t>.</w:t>
      </w:r>
    </w:p>
    <w:p>
      <w:pPr>
        <w:pStyle w:val="ListBullet"/>
      </w:pPr>
      <w:r>
        <w:t xml:space="preserve">Franz Oppenheimer: </w:t>
      </w:r>
      <w:r>
        <w:rPr>
          <w:b/>
        </w:rPr>
        <w:t>6.4</w:t>
      </w:r>
      <w:r>
        <w:t>.</w:t>
      </w:r>
    </w:p>
    <w:p>
      <w:pPr>
        <w:pStyle w:val="ListBullet"/>
      </w:pPr>
      <w:r>
        <w:t xml:space="preserve">Gaceta Sanitaria (2016): </w:t>
      </w:r>
      <w:r>
        <w:rPr>
          <w:b/>
        </w:rPr>
        <w:t>A.9</w:t>
      </w:r>
      <w:r>
        <w:t>.</w:t>
      </w:r>
    </w:p>
    <w:p>
      <w:pPr>
        <w:pStyle w:val="ListBullet"/>
      </w:pPr>
      <w:r>
        <w:t xml:space="preserve">Gaetano Mosca: </w:t>
      </w:r>
      <w:r>
        <w:rPr>
          <w:b/>
        </w:rPr>
        <w:t>6.4</w:t>
      </w:r>
      <w:r>
        <w:t>.</w:t>
      </w:r>
    </w:p>
    <w:p>
      <w:pPr>
        <w:pStyle w:val="ListBullet"/>
      </w:pPr>
      <w:r>
        <w:t xml:space="preserve">Garcilaso de la Vega, Comentarios reales: </w:t>
      </w:r>
      <w:r>
        <w:rPr>
          <w:b/>
        </w:rPr>
        <w:t>2.3</w:t>
      </w:r>
      <w:r>
        <w:t xml:space="preserve">, </w:t>
      </w:r>
      <w:r>
        <w:rPr>
          <w:b/>
        </w:rPr>
        <w:t>3.2</w:t>
      </w:r>
      <w:r>
        <w:t xml:space="preserve">, </w:t>
      </w:r>
      <w:r>
        <w:rPr>
          <w:b/>
        </w:rPr>
        <w:t>7.5</w:t>
      </w:r>
      <w:r>
        <w:t xml:space="preserve">, </w:t>
      </w:r>
      <w:r>
        <w:rPr>
          <w:b/>
        </w:rPr>
        <w:t>F.6</w:t>
      </w:r>
      <w:r>
        <w:t xml:space="preserve">, </w:t>
      </w:r>
      <w:r>
        <w:rPr>
          <w:b/>
        </w:rPr>
        <w:t>F.7</w:t>
      </w:r>
      <w:r>
        <w:t>.</w:t>
      </w:r>
    </w:p>
    <w:p>
      <w:pPr>
        <w:pStyle w:val="ListBullet"/>
      </w:pPr>
      <w:r>
        <w:t xml:space="preserve">Gjerset, History of Iceland: </w:t>
      </w:r>
      <w:r>
        <w:rPr>
          <w:b/>
        </w:rPr>
        <w:t>F.7</w:t>
      </w:r>
      <w:r>
        <w:t>.</w:t>
      </w:r>
    </w:p>
    <w:p>
      <w:pPr>
        <w:pStyle w:val="ListBullet"/>
      </w:pPr>
      <w:r>
        <w:t xml:space="preserve">Gómez Garrido: </w:t>
      </w:r>
      <w:r>
        <w:rPr>
          <w:b/>
        </w:rPr>
        <w:t>7.3</w:t>
      </w:r>
      <w:r>
        <w:t>.</w:t>
      </w:r>
    </w:p>
    <w:p>
      <w:pPr>
        <w:pStyle w:val="ListBullet"/>
      </w:pPr>
      <w:r>
        <w:t xml:space="preserve">Greenspan: </w:t>
      </w:r>
      <w:r>
        <w:rPr>
          <w:b/>
        </w:rPr>
        <w:t>8.2</w:t>
      </w:r>
      <w:r>
        <w:t>.</w:t>
      </w:r>
    </w:p>
    <w:p>
      <w:pPr>
        <w:pStyle w:val="ListBullet"/>
      </w:pPr>
      <w:r>
        <w:t xml:space="preserve">Gundel, The predicament of the Oday: </w:t>
      </w:r>
      <w:r>
        <w:rPr>
          <w:b/>
        </w:rPr>
        <w:t>F.7</w:t>
      </w:r>
      <w:r>
        <w:t>.</w:t>
      </w:r>
    </w:p>
    <w:p>
      <w:pPr>
        <w:pStyle w:val="ListBullet"/>
      </w:pPr>
      <w:r>
        <w:t xml:space="preserve">H. L. A. Hart: </w:t>
      </w:r>
      <w:r>
        <w:rPr>
          <w:b/>
        </w:rPr>
        <w:t>11.2</w:t>
      </w:r>
      <w:r>
        <w:t>.</w:t>
      </w:r>
    </w:p>
    <w:p>
      <w:pPr>
        <w:pStyle w:val="ListBullet"/>
      </w:pPr>
      <w:r>
        <w:t xml:space="preserve">Heráclito: </w:t>
      </w:r>
      <w:r>
        <w:rPr>
          <w:b/>
        </w:rPr>
        <w:t>1.4</w:t>
      </w:r>
      <w:r>
        <w:t>.</w:t>
      </w:r>
    </w:p>
    <w:p>
      <w:pPr>
        <w:pStyle w:val="ListBullet"/>
      </w:pPr>
      <w:r>
        <w:t xml:space="preserve">Hernán Cortés, Segunda carta de relación: </w:t>
      </w:r>
      <w:r>
        <w:rPr>
          <w:b/>
        </w:rPr>
        <w:t>F.6</w:t>
      </w:r>
      <w:r>
        <w:t>.</w:t>
      </w:r>
    </w:p>
    <w:p>
      <w:pPr>
        <w:pStyle w:val="ListBullet"/>
      </w:pPr>
      <w:r>
        <w:t xml:space="preserve">Hesíodo, Trabajos y días: </w:t>
      </w:r>
      <w:r>
        <w:rPr>
          <w:b/>
        </w:rPr>
        <w:t>2.3</w:t>
      </w:r>
      <w:r>
        <w:t xml:space="preserve">, </w:t>
      </w:r>
      <w:r>
        <w:rPr>
          <w:b/>
        </w:rPr>
        <w:t>3.1</w:t>
      </w:r>
      <w:r>
        <w:t xml:space="preserve">, </w:t>
      </w:r>
      <w:r>
        <w:rPr>
          <w:b/>
        </w:rPr>
        <w:t>F.4</w:t>
      </w:r>
      <w:r>
        <w:t>.</w:t>
      </w:r>
    </w:p>
    <w:p>
      <w:pPr>
        <w:pStyle w:val="ListBullet"/>
      </w:pPr>
      <w:r>
        <w:t xml:space="preserve">Higgins, Songlines and Land Claims: </w:t>
      </w:r>
      <w:r>
        <w:rPr>
          <w:b/>
        </w:rPr>
        <w:t>F.7</w:t>
      </w:r>
      <w:r>
        <w:t>.</w:t>
      </w:r>
    </w:p>
    <w:p>
      <w:pPr>
        <w:pStyle w:val="ListBullet"/>
      </w:pPr>
      <w:r>
        <w:t xml:space="preserve">Hipólito de Roma, Sobre Cristo y el Anticristo: </w:t>
      </w:r>
      <w:r>
        <w:rPr>
          <w:b/>
        </w:rPr>
        <w:t>8.11</w:t>
      </w:r>
      <w:r>
        <w:t>.</w:t>
      </w:r>
    </w:p>
    <w:p>
      <w:pPr>
        <w:pStyle w:val="ListBullet"/>
      </w:pPr>
      <w:r>
        <w:t xml:space="preserve">Hobbes: </w:t>
      </w:r>
      <w:r>
        <w:rPr>
          <w:b/>
        </w:rPr>
        <w:t>1.7</w:t>
      </w:r>
      <w:r>
        <w:t xml:space="preserve">, </w:t>
      </w:r>
      <w:r>
        <w:rPr>
          <w:b/>
        </w:rPr>
        <w:t>6.1</w:t>
      </w:r>
      <w:r>
        <w:t xml:space="preserve">, </w:t>
      </w:r>
      <w:r>
        <w:rPr>
          <w:b/>
        </w:rPr>
        <w:t>9.1</w:t>
      </w:r>
      <w:r>
        <w:t>.</w:t>
      </w:r>
    </w:p>
    <w:p>
      <w:pPr>
        <w:pStyle w:val="ListBullet"/>
      </w:pPr>
      <w:r>
        <w:t xml:space="preserve">Horacio: </w:t>
      </w:r>
      <w:r>
        <w:rPr>
          <w:b/>
        </w:rPr>
        <w:t>J.3</w:t>
      </w:r>
      <w:r>
        <w:t>.</w:t>
      </w:r>
    </w:p>
    <w:p>
      <w:pPr>
        <w:pStyle w:val="ListBullet"/>
      </w:pPr>
      <w:r>
        <w:t xml:space="preserve">Hume: </w:t>
      </w:r>
      <w:r>
        <w:rPr>
          <w:b/>
        </w:rPr>
        <w:t>6.1</w:t>
      </w:r>
      <w:r>
        <w:t>.</w:t>
      </w:r>
    </w:p>
    <w:p>
      <w:pPr>
        <w:pStyle w:val="ListBullet"/>
      </w:pPr>
      <w:r>
        <w:t xml:space="preserve">Ibn Jaldún: </w:t>
      </w:r>
      <w:r>
        <w:rPr>
          <w:b/>
        </w:rPr>
        <w:t>6.4</w:t>
      </w:r>
      <w:r>
        <w:t>.</w:t>
      </w:r>
    </w:p>
    <w:p>
      <w:pPr>
        <w:pStyle w:val="ListBullet"/>
      </w:pPr>
      <w:r>
        <w:t xml:space="preserve">Ireneo de Lyon, Contra las herejías: </w:t>
      </w:r>
      <w:r>
        <w:rPr>
          <w:b/>
        </w:rPr>
        <w:t>1.9</w:t>
      </w:r>
      <w:r>
        <w:t xml:space="preserve">, </w:t>
      </w:r>
      <w:r>
        <w:rPr>
          <w:b/>
        </w:rPr>
        <w:t>2.3</w:t>
      </w:r>
      <w:r>
        <w:t>.</w:t>
      </w:r>
    </w:p>
    <w:p>
      <w:pPr>
        <w:pStyle w:val="ListBullet"/>
      </w:pPr>
      <w:r>
        <w:t xml:space="preserve">Isaiah Berlin: </w:t>
      </w:r>
      <w:r>
        <w:rPr>
          <w:b/>
        </w:rPr>
        <w:t>6.1</w:t>
      </w:r>
      <w:r>
        <w:t>.</w:t>
      </w:r>
    </w:p>
    <w:p>
      <w:pPr>
        <w:pStyle w:val="ListBullet"/>
      </w:pPr>
      <w:r>
        <w:t xml:space="preserve">Isidoro de Sevilla, Etimologías: </w:t>
      </w:r>
      <w:r>
        <w:rPr>
          <w:b/>
        </w:rPr>
        <w:t>1.5</w:t>
      </w:r>
      <w:r>
        <w:t xml:space="preserve">, </w:t>
      </w:r>
      <w:r>
        <w:rPr>
          <w:b/>
        </w:rPr>
        <w:t>1.7</w:t>
      </w:r>
      <w:r>
        <w:t>.</w:t>
      </w:r>
    </w:p>
    <w:p>
      <w:pPr>
        <w:pStyle w:val="ListBullet"/>
      </w:pPr>
      <w:r>
        <w:t xml:space="preserve">Jacobo VI de Escocia: </w:t>
      </w:r>
      <w:r>
        <w:rPr>
          <w:b/>
        </w:rPr>
        <w:t>6.2</w:t>
      </w:r>
      <w:r>
        <w:t>.</w:t>
      </w:r>
    </w:p>
    <w:p>
      <w:pPr>
        <w:pStyle w:val="ListBullet"/>
      </w:pPr>
      <w:r>
        <w:t xml:space="preserve">John Searle: </w:t>
      </w:r>
      <w:r>
        <w:rPr>
          <w:b/>
        </w:rPr>
        <w:t>5.3</w:t>
      </w:r>
      <w:r>
        <w:t>.</w:t>
      </w:r>
    </w:p>
    <w:p>
      <w:pPr>
        <w:pStyle w:val="ListBullet"/>
      </w:pPr>
      <w:r>
        <w:t xml:space="preserve">John Stuart Mill: </w:t>
      </w:r>
      <w:r>
        <w:rPr>
          <w:b/>
        </w:rPr>
        <w:t>2.3</w:t>
      </w:r>
      <w:r>
        <w:t xml:space="preserve">, </w:t>
      </w:r>
      <w:r>
        <w:rPr>
          <w:b/>
        </w:rPr>
        <w:t>11.2</w:t>
      </w:r>
      <w:r>
        <w:t>.</w:t>
      </w:r>
    </w:p>
    <w:p>
      <w:pPr>
        <w:pStyle w:val="ListBullet"/>
      </w:pPr>
      <w:r>
        <w:t xml:space="preserve">Johnson, Historia de los yorubas: </w:t>
      </w:r>
      <w:r>
        <w:rPr>
          <w:b/>
        </w:rPr>
        <w:t>F.6</w:t>
      </w:r>
      <w:r>
        <w:t>.</w:t>
      </w:r>
    </w:p>
    <w:p>
      <w:pPr>
        <w:pStyle w:val="ListBullet"/>
      </w:pPr>
      <w:r>
        <w:t xml:space="preserve">Juan de Mariana: </w:t>
      </w:r>
      <w:r>
        <w:rPr>
          <w:b/>
        </w:rPr>
        <w:t>8.2</w:t>
      </w:r>
      <w:r>
        <w:t>.</w:t>
      </w:r>
    </w:p>
    <w:p>
      <w:pPr>
        <w:pStyle w:val="ListBullet"/>
      </w:pPr>
      <w:r>
        <w:t xml:space="preserve">Julio César: </w:t>
      </w:r>
      <w:r>
        <w:rPr>
          <w:b/>
        </w:rPr>
        <w:t>1.5</w:t>
      </w:r>
      <w:r>
        <w:t xml:space="preserve">, </w:t>
      </w:r>
      <w:r>
        <w:rPr>
          <w:b/>
        </w:rPr>
        <w:t>3.5</w:t>
      </w:r>
      <w:r>
        <w:t>.</w:t>
      </w:r>
    </w:p>
    <w:p>
      <w:pPr>
        <w:pStyle w:val="ListBullet"/>
      </w:pPr>
      <w:r>
        <w:t xml:space="preserve">Julio Ponce: </w:t>
      </w:r>
      <w:r>
        <w:rPr>
          <w:b/>
        </w:rPr>
        <w:t>A.9</w:t>
      </w:r>
      <w:r>
        <w:t>.</w:t>
      </w:r>
    </w:p>
    <w:p>
      <w:pPr>
        <w:pStyle w:val="ListBullet"/>
      </w:pPr>
      <w:r>
        <w:t xml:space="preserve">Juvaini: </w:t>
      </w:r>
      <w:r>
        <w:rPr>
          <w:b/>
        </w:rPr>
        <w:t>F.7</w:t>
      </w:r>
      <w:r>
        <w:t>.</w:t>
      </w:r>
    </w:p>
    <w:p>
      <w:pPr>
        <w:pStyle w:val="ListBullet"/>
      </w:pPr>
      <w:r>
        <w:t xml:space="preserve">Kaliman y otros, Psychoneuroendocrinology 40 (2014): </w:t>
      </w:r>
      <w:r>
        <w:rPr>
          <w:b/>
        </w:rPr>
        <w:t>4.2</w:t>
      </w:r>
      <w:r>
        <w:t>.</w:t>
      </w:r>
    </w:p>
    <w:p>
      <w:pPr>
        <w:pStyle w:val="ListBullet"/>
      </w:pPr>
      <w:r>
        <w:t xml:space="preserve">Kant: </w:t>
      </w:r>
      <w:r>
        <w:rPr>
          <w:b/>
        </w:rPr>
        <w:t>2.4</w:t>
      </w:r>
      <w:r>
        <w:t xml:space="preserve">, </w:t>
      </w:r>
      <w:r>
        <w:rPr>
          <w:b/>
        </w:rPr>
        <w:t>6.1</w:t>
      </w:r>
      <w:r>
        <w:t>.</w:t>
      </w:r>
    </w:p>
    <w:p>
      <w:pPr>
        <w:pStyle w:val="ListBullet"/>
      </w:pPr>
      <w:r>
        <w:t xml:space="preserve">Keynes: </w:t>
      </w:r>
      <w:r>
        <w:rPr>
          <w:b/>
        </w:rPr>
        <w:t>8.2</w:t>
      </w:r>
      <w:r>
        <w:t>.</w:t>
      </w:r>
    </w:p>
    <w:p>
      <w:pPr>
        <w:pStyle w:val="ListBullet"/>
      </w:pPr>
      <w:r>
        <w:t xml:space="preserve">Kimball, la obshchina rusa: </w:t>
      </w:r>
      <w:r>
        <w:rPr>
          <w:b/>
        </w:rPr>
        <w:t>F.7</w:t>
      </w:r>
      <w:r>
        <w:t>.</w:t>
      </w:r>
    </w:p>
    <w:p>
      <w:pPr>
        <w:pStyle w:val="ListBullet"/>
      </w:pPr>
      <w:r>
        <w:t xml:space="preserve">La Boétie: </w:t>
      </w:r>
      <w:r>
        <w:rPr>
          <w:b/>
        </w:rPr>
        <w:t>4.1</w:t>
      </w:r>
      <w:r>
        <w:t xml:space="preserve">, </w:t>
      </w:r>
      <w:r>
        <w:rPr>
          <w:b/>
        </w:rPr>
        <w:t>5.4</w:t>
      </w:r>
      <w:r>
        <w:t>.</w:t>
      </w:r>
    </w:p>
    <w:p>
      <w:pPr>
        <w:pStyle w:val="ListBullet"/>
      </w:pPr>
      <w:r>
        <w:t xml:space="preserve">Lafuente Balle: </w:t>
      </w:r>
      <w:r>
        <w:rPr>
          <w:b/>
        </w:rPr>
        <w:t>A.9</w:t>
      </w:r>
      <w:r>
        <w:t>.</w:t>
      </w:r>
    </w:p>
    <w:p>
      <w:pPr>
        <w:pStyle w:val="ListBullet"/>
      </w:pPr>
      <w:r>
        <w:t xml:space="preserve">Locke: </w:t>
      </w:r>
      <w:r>
        <w:rPr>
          <w:b/>
        </w:rPr>
        <w:t>6.1</w:t>
      </w:r>
      <w:r>
        <w:t xml:space="preserve">, </w:t>
      </w:r>
      <w:r>
        <w:rPr>
          <w:b/>
        </w:rPr>
        <w:t>6.3</w:t>
      </w:r>
      <w:r>
        <w:t xml:space="preserve">, </w:t>
      </w:r>
      <w:r>
        <w:rPr>
          <w:b/>
        </w:rPr>
        <w:t>6.5</w:t>
      </w:r>
      <w:r>
        <w:t xml:space="preserve">, </w:t>
      </w:r>
      <w:r>
        <w:rPr>
          <w:b/>
        </w:rPr>
        <w:t>8.2</w:t>
      </w:r>
      <w:r>
        <w:t>.</w:t>
      </w:r>
    </w:p>
    <w:p>
      <w:pPr>
        <w:pStyle w:val="ListBullet"/>
      </w:pPr>
      <w:r>
        <w:t xml:space="preserve">López Austin: </w:t>
      </w:r>
      <w:r>
        <w:t>capítulo 9</w:t>
      </w:r>
      <w:r>
        <w:t>.</w:t>
      </w:r>
    </w:p>
    <w:p>
      <w:pPr>
        <w:pStyle w:val="ListBullet"/>
      </w:pPr>
      <w:r>
        <w:t xml:space="preserve">Lord Acton: </w:t>
      </w:r>
      <w:r>
        <w:rPr>
          <w:b/>
        </w:rPr>
        <w:t>8.9</w:t>
      </w:r>
      <w:r>
        <w:t>.</w:t>
      </w:r>
    </w:p>
    <w:p>
      <w:pPr>
        <w:pStyle w:val="ListBullet"/>
      </w:pPr>
      <w:r>
        <w:t xml:space="preserve">Lucrecio: </w:t>
      </w:r>
      <w:r>
        <w:rPr>
          <w:b/>
        </w:rPr>
        <w:t>H.10</w:t>
      </w:r>
      <w:r>
        <w:t>.</w:t>
      </w:r>
    </w:p>
    <w:p>
      <w:pPr>
        <w:pStyle w:val="ListBullet"/>
      </w:pPr>
      <w:r>
        <w:t xml:space="preserve">Luther Standing Bear: </w:t>
      </w:r>
      <w:r>
        <w:rPr>
          <w:b/>
        </w:rPr>
        <w:t>F.7</w:t>
      </w:r>
      <w:r>
        <w:t>.</w:t>
      </w:r>
    </w:p>
    <w:p>
      <w:pPr>
        <w:pStyle w:val="ListBullet"/>
      </w:pPr>
      <w:r>
        <w:t xml:space="preserve">Malebranche: </w:t>
      </w:r>
      <w:r>
        <w:rPr>
          <w:b/>
        </w:rPr>
        <w:t>6.1</w:t>
      </w:r>
      <w:r>
        <w:t>.</w:t>
      </w:r>
    </w:p>
    <w:p>
      <w:pPr>
        <w:pStyle w:val="ListBullet"/>
      </w:pPr>
      <w:r>
        <w:t xml:space="preserve">Malo, Antigüedades hawaianas: </w:t>
      </w:r>
      <w:r>
        <w:rPr>
          <w:b/>
        </w:rPr>
        <w:t>2.3</w:t>
      </w:r>
      <w:r>
        <w:t xml:space="preserve">, </w:t>
      </w:r>
      <w:r>
        <w:rPr>
          <w:b/>
        </w:rPr>
        <w:t>3.2</w:t>
      </w:r>
      <w:r>
        <w:t xml:space="preserve">, </w:t>
      </w:r>
      <w:r>
        <w:rPr>
          <w:b/>
        </w:rPr>
        <w:t>F.6</w:t>
      </w:r>
      <w:r>
        <w:t>.</w:t>
      </w:r>
    </w:p>
    <w:p>
      <w:pPr>
        <w:pStyle w:val="ListBullet"/>
      </w:pPr>
      <w:r>
        <w:t xml:space="preserve">Marco Aurelio: </w:t>
      </w:r>
      <w:r>
        <w:rPr>
          <w:b/>
        </w:rPr>
        <w:t>6.2</w:t>
      </w:r>
      <w:r>
        <w:t>.</w:t>
      </w:r>
    </w:p>
    <w:p>
      <w:pPr>
        <w:pStyle w:val="ListBullet"/>
      </w:pPr>
      <w:r>
        <w:t xml:space="preserve">Marín Arce: </w:t>
      </w:r>
      <w:r>
        <w:rPr>
          <w:b/>
        </w:rPr>
        <w:t>8.7</w:t>
      </w:r>
      <w:r>
        <w:t>.</w:t>
      </w:r>
    </w:p>
    <w:p>
      <w:pPr>
        <w:pStyle w:val="ListBullet"/>
      </w:pPr>
      <w:r>
        <w:t xml:space="preserve">Martín de Azpilcueta: </w:t>
      </w:r>
      <w:r>
        <w:rPr>
          <w:b/>
        </w:rPr>
        <w:t>8.2</w:t>
      </w:r>
      <w:r>
        <w:t>.</w:t>
      </w:r>
    </w:p>
    <w:p>
      <w:pPr>
        <w:pStyle w:val="ListBullet"/>
      </w:pPr>
      <w:r>
        <w:t xml:space="preserve">Martín-Retortillo Baquer: </w:t>
      </w:r>
      <w:r>
        <w:rPr>
          <w:b/>
        </w:rPr>
        <w:t>A.9</w:t>
      </w:r>
      <w:r>
        <w:t>.</w:t>
      </w:r>
    </w:p>
    <w:p>
      <w:pPr>
        <w:pStyle w:val="ListBullet"/>
      </w:pPr>
      <w:r>
        <w:t xml:space="preserve">Mastroianni y Gilbert: </w:t>
      </w:r>
      <w:r>
        <w:rPr>
          <w:b/>
        </w:rPr>
        <w:t>8.9</w:t>
      </w:r>
      <w:r>
        <w:t>.</w:t>
      </w:r>
    </w:p>
    <w:p>
      <w:pPr>
        <w:pStyle w:val="ListBullet"/>
      </w:pPr>
      <w:r>
        <w:t xml:space="preserve">Max Weber: </w:t>
      </w:r>
      <w:r>
        <w:rPr>
          <w:b/>
        </w:rPr>
        <w:t>6.3</w:t>
      </w:r>
      <w:r>
        <w:t xml:space="preserve">, </w:t>
      </w:r>
      <w:r>
        <w:rPr>
          <w:b/>
        </w:rPr>
        <w:t>6.4</w:t>
      </w:r>
      <w:r>
        <w:t>.</w:t>
      </w:r>
    </w:p>
    <w:p>
      <w:pPr>
        <w:pStyle w:val="ListBullet"/>
      </w:pPr>
      <w:r>
        <w:t xml:space="preserve">Meister Eckhart: </w:t>
      </w:r>
      <w:r>
        <w:rPr>
          <w:b/>
        </w:rPr>
        <w:t>I.1</w:t>
      </w:r>
      <w:r>
        <w:t>.</w:t>
      </w:r>
    </w:p>
    <w:p>
      <w:pPr>
        <w:pStyle w:val="ListBullet"/>
      </w:pPr>
      <w:r>
        <w:t xml:space="preserve">Mikel Buesa, «ETA: medio siglo de terrorismo. Un recuento estadístico» (2022): </w:t>
      </w:r>
      <w:r>
        <w:rPr>
          <w:b/>
        </w:rPr>
        <w:t>6.1</w:t>
      </w:r>
      <w:r>
        <w:t>.</w:t>
      </w:r>
    </w:p>
    <w:p>
      <w:pPr>
        <w:pStyle w:val="ListBullet"/>
      </w:pPr>
      <w:r>
        <w:t xml:space="preserve">Montaigne: </w:t>
      </w:r>
      <w:r>
        <w:rPr>
          <w:b/>
        </w:rPr>
        <w:t>5.3</w:t>
      </w:r>
      <w:r>
        <w:t>.</w:t>
      </w:r>
    </w:p>
    <w:p>
      <w:pPr>
        <w:pStyle w:val="ListBullet"/>
      </w:pPr>
      <w:r>
        <w:t xml:space="preserve">Montesquieu: </w:t>
      </w:r>
      <w:r>
        <w:rPr>
          <w:b/>
        </w:rPr>
        <w:t>6.1</w:t>
      </w:r>
      <w:r>
        <w:t xml:space="preserve">, </w:t>
      </w:r>
      <w:r>
        <w:rPr>
          <w:b/>
        </w:rPr>
        <w:t>6.5</w:t>
      </w:r>
      <w:r>
        <w:t>.</w:t>
      </w:r>
    </w:p>
    <w:p>
      <w:pPr>
        <w:pStyle w:val="ListBullet"/>
      </w:pPr>
      <w:r>
        <w:t xml:space="preserve">Murphy, «Measuring open access orders»: </w:t>
      </w:r>
      <w:r>
        <w:rPr>
          <w:b/>
        </w:rPr>
        <w:t>6.4</w:t>
      </w:r>
      <w:r>
        <w:t>.</w:t>
      </w:r>
    </w:p>
    <w:p>
      <w:pPr>
        <w:pStyle w:val="ListBullet"/>
      </w:pPr>
      <w:r>
        <w:t xml:space="preserve">Murra, Reciprocity and Redistribution in Andean Civilizations: </w:t>
      </w:r>
      <w:r>
        <w:rPr>
          <w:b/>
        </w:rPr>
        <w:t>F.7</w:t>
      </w:r>
      <w:r>
        <w:t>.</w:t>
      </w:r>
    </w:p>
    <w:p>
      <w:pPr>
        <w:pStyle w:val="ListBullet"/>
      </w:pPr>
      <w:r>
        <w:t xml:space="preserve">Musonio Rufo: </w:t>
      </w:r>
      <w:r>
        <w:rPr>
          <w:b/>
        </w:rPr>
        <w:t>F.4</w:t>
      </w:r>
      <w:r>
        <w:t>.</w:t>
      </w:r>
    </w:p>
    <w:p>
      <w:pPr>
        <w:pStyle w:val="ListBullet"/>
      </w:pPr>
      <w:r>
        <w:t xml:space="preserve">Nicolás Oresme: </w:t>
      </w:r>
      <w:r>
        <w:rPr>
          <w:b/>
        </w:rPr>
        <w:t>8.2</w:t>
      </w:r>
      <w:r>
        <w:t>.</w:t>
      </w:r>
    </w:p>
    <w:p>
      <w:pPr>
        <w:pStyle w:val="ListBullet"/>
      </w:pPr>
      <w:r>
        <w:t xml:space="preserve">Norris (y Harney), songlines: </w:t>
      </w:r>
      <w:r>
        <w:rPr>
          <w:b/>
        </w:rPr>
        <w:t>F.7</w:t>
      </w:r>
      <w:r>
        <w:t>.</w:t>
      </w:r>
    </w:p>
    <w:p>
      <w:pPr>
        <w:pStyle w:val="ListBullet"/>
      </w:pPr>
      <w:r>
        <w:t xml:space="preserve">North, Wallis y Weingast: </w:t>
      </w:r>
      <w:r>
        <w:rPr>
          <w:b/>
        </w:rPr>
        <w:t>6.4</w:t>
      </w:r>
      <w:r>
        <w:t>.</w:t>
      </w:r>
    </w:p>
    <w:p>
      <w:pPr>
        <w:pStyle w:val="ListBullet"/>
      </w:pPr>
      <w:r>
        <w:t xml:space="preserve">Oliver Araújo: </w:t>
      </w:r>
      <w:r>
        <w:rPr>
          <w:b/>
        </w:rPr>
        <w:t>11.3</w:t>
      </w:r>
      <w:r>
        <w:t>.</w:t>
      </w:r>
    </w:p>
    <w:p>
      <w:pPr>
        <w:pStyle w:val="ListBullet"/>
      </w:pPr>
      <w:r>
        <w:t xml:space="preserve">Oosten y otros, Inuit Laws: </w:t>
      </w:r>
      <w:r>
        <w:rPr>
          <w:b/>
        </w:rPr>
        <w:t>F.7</w:t>
      </w:r>
      <w:r>
        <w:t>.</w:t>
      </w:r>
    </w:p>
    <w:p>
      <w:pPr>
        <w:pStyle w:val="ListBullet"/>
      </w:pPr>
      <w:r>
        <w:t xml:space="preserve">Pascal: </w:t>
      </w:r>
      <w:r>
        <w:rPr>
          <w:b/>
        </w:rPr>
        <w:t>5.3</w:t>
      </w:r>
      <w:r>
        <w:t>.</w:t>
      </w:r>
    </w:p>
    <w:p>
      <w:pPr>
        <w:pStyle w:val="ListBullet"/>
      </w:pPr>
      <w:r>
        <w:t xml:space="preserve">Pita Broncano: </w:t>
      </w:r>
      <w:r>
        <w:rPr>
          <w:b/>
        </w:rPr>
        <w:t>6.1</w:t>
      </w:r>
      <w:r>
        <w:t>.</w:t>
      </w:r>
    </w:p>
    <w:p>
      <w:pPr>
        <w:pStyle w:val="ListBullet"/>
      </w:pPr>
      <w:r>
        <w:t xml:space="preserve">Platón: </w:t>
      </w:r>
      <w:r>
        <w:rPr>
          <w:b/>
        </w:rPr>
        <w:t>1.4</w:t>
      </w:r>
      <w:r>
        <w:t xml:space="preserve">, </w:t>
      </w:r>
      <w:r>
        <w:rPr>
          <w:b/>
        </w:rPr>
        <w:t>1.9</w:t>
      </w:r>
      <w:r>
        <w:t xml:space="preserve">, </w:t>
      </w:r>
      <w:r>
        <w:rPr>
          <w:b/>
        </w:rPr>
        <w:t>2.3</w:t>
      </w:r>
      <w:r>
        <w:t xml:space="preserve">, </w:t>
      </w:r>
      <w:r>
        <w:rPr>
          <w:b/>
        </w:rPr>
        <w:t>2.5</w:t>
      </w:r>
      <w:r>
        <w:t xml:space="preserve">, </w:t>
      </w:r>
      <w:r>
        <w:rPr>
          <w:b/>
        </w:rPr>
        <w:t>3.2</w:t>
      </w:r>
      <w:r>
        <w:t xml:space="preserve">, </w:t>
      </w:r>
      <w:r>
        <w:rPr>
          <w:b/>
        </w:rPr>
        <w:t>10.3</w:t>
      </w:r>
      <w:r>
        <w:t xml:space="preserve">, </w:t>
      </w:r>
      <w:r>
        <w:rPr>
          <w:b/>
        </w:rPr>
        <w:t>11.6</w:t>
      </w:r>
      <w:r>
        <w:t xml:space="preserve">, </w:t>
      </w:r>
      <w:r>
        <w:rPr>
          <w:b/>
        </w:rPr>
        <w:t>F.4</w:t>
      </w:r>
      <w:r>
        <w:t xml:space="preserve">, </w:t>
      </w:r>
      <w:r>
        <w:rPr>
          <w:b/>
        </w:rPr>
        <w:t>J.3</w:t>
      </w:r>
      <w:r>
        <w:t>.</w:t>
      </w:r>
    </w:p>
    <w:p>
      <w:pPr>
        <w:pStyle w:val="ListBullet"/>
      </w:pPr>
      <w:r>
        <w:t xml:space="preserve">Rattray, Ashanti Law and Constitution: </w:t>
      </w:r>
      <w:r>
        <w:rPr>
          <w:b/>
        </w:rPr>
        <w:t>3.2</w:t>
      </w:r>
      <w:r>
        <w:t xml:space="preserve">, </w:t>
      </w:r>
      <w:r>
        <w:rPr>
          <w:b/>
        </w:rPr>
        <w:t>3.3</w:t>
      </w:r>
      <w:r>
        <w:t xml:space="preserve">, </w:t>
      </w:r>
      <w:r>
        <w:rPr>
          <w:b/>
        </w:rPr>
        <w:t>7.5</w:t>
      </w:r>
      <w:r>
        <w:t xml:space="preserve">, </w:t>
      </w:r>
      <w:r>
        <w:rPr>
          <w:b/>
        </w:rPr>
        <w:t>F.6</w:t>
      </w:r>
      <w:r>
        <w:t>.</w:t>
      </w:r>
    </w:p>
    <w:p>
      <w:pPr>
        <w:pStyle w:val="ListBullet"/>
      </w:pPr>
      <w:r>
        <w:t xml:space="preserve">Revista de Derecho Político (UNED): </w:t>
      </w:r>
      <w:r>
        <w:rPr>
          <w:b/>
        </w:rPr>
        <w:t>A.3</w:t>
      </w:r>
      <w:r>
        <w:t xml:space="preserve">, </w:t>
      </w:r>
      <w:r>
        <w:rPr>
          <w:b/>
        </w:rPr>
        <w:t>A.6</w:t>
      </w:r>
      <w:r>
        <w:t xml:space="preserve">, </w:t>
      </w:r>
      <w:r>
        <w:rPr>
          <w:b/>
        </w:rPr>
        <w:t>A.11</w:t>
      </w:r>
      <w:r>
        <w:t>.</w:t>
      </w:r>
    </w:p>
    <w:p>
      <w:pPr>
        <w:pStyle w:val="ListBullet"/>
      </w:pPr>
      <w:r>
        <w:t xml:space="preserve">Robert D. Putnam: </w:t>
      </w:r>
      <w:r>
        <w:rPr>
          <w:b/>
        </w:rPr>
        <w:t>5.3</w:t>
      </w:r>
      <w:r>
        <w:t>.</w:t>
      </w:r>
    </w:p>
    <w:p>
      <w:pPr>
        <w:pStyle w:val="ListBullet"/>
      </w:pPr>
      <w:r>
        <w:t xml:space="preserve">Robert Michels: </w:t>
      </w:r>
      <w:r>
        <w:rPr>
          <w:b/>
        </w:rPr>
        <w:t>6.4</w:t>
      </w:r>
      <w:r>
        <w:t>.</w:t>
      </w:r>
    </w:p>
    <w:p>
      <w:pPr>
        <w:pStyle w:val="ListBullet"/>
      </w:pPr>
      <w:r>
        <w:t xml:space="preserve">Robespierre: </w:t>
      </w:r>
      <w:r>
        <w:rPr>
          <w:b/>
        </w:rPr>
        <w:t>6.1</w:t>
      </w:r>
      <w:r>
        <w:t>.</w:t>
      </w:r>
    </w:p>
    <w:p>
      <w:pPr>
        <w:pStyle w:val="ListBullet"/>
      </w:pPr>
      <w:r>
        <w:t xml:space="preserve">Rousseau: </w:t>
      </w:r>
      <w:r>
        <w:rPr>
          <w:b/>
        </w:rPr>
        <w:t>5.4</w:t>
      </w:r>
      <w:r>
        <w:t xml:space="preserve">, </w:t>
      </w:r>
      <w:r>
        <w:rPr>
          <w:b/>
        </w:rPr>
        <w:t>6.1</w:t>
      </w:r>
      <w:r>
        <w:t xml:space="preserve">, </w:t>
      </w:r>
      <w:r>
        <w:rPr>
          <w:b/>
        </w:rPr>
        <w:t>8.5</w:t>
      </w:r>
      <w:r>
        <w:t>.</w:t>
      </w:r>
    </w:p>
    <w:p>
      <w:pPr>
        <w:pStyle w:val="ListBullet"/>
      </w:pPr>
      <w:r>
        <w:t xml:space="preserve">Sahagún, Historia general de las cosas de Nueva España: </w:t>
      </w:r>
      <w:r>
        <w:rPr>
          <w:b/>
        </w:rPr>
        <w:t>2.3</w:t>
      </w:r>
      <w:r>
        <w:t xml:space="preserve">, </w:t>
      </w:r>
      <w:r>
        <w:rPr>
          <w:b/>
        </w:rPr>
        <w:t>F.6</w:t>
      </w:r>
      <w:r>
        <w:t>.</w:t>
      </w:r>
    </w:p>
    <w:p>
      <w:pPr>
        <w:pStyle w:val="ListBullet"/>
      </w:pPr>
      <w:r>
        <w:t xml:space="preserve">Saint-Just: </w:t>
      </w:r>
      <w:r>
        <w:rPr>
          <w:b/>
        </w:rPr>
        <w:t>6.1</w:t>
      </w:r>
      <w:r>
        <w:t>.</w:t>
      </w:r>
    </w:p>
    <w:p>
      <w:pPr>
        <w:pStyle w:val="ListBullet"/>
      </w:pPr>
      <w:r>
        <w:t xml:space="preserve">San Juan de la Cruz: </w:t>
      </w:r>
      <w:r>
        <w:rPr>
          <w:b/>
        </w:rPr>
        <w:t>I.1</w:t>
      </w:r>
      <w:r>
        <w:t>.</w:t>
      </w:r>
    </w:p>
    <w:p>
      <w:pPr>
        <w:pStyle w:val="ListBullet"/>
      </w:pPr>
      <w:r>
        <w:t xml:space="preserve">Scheppele: </w:t>
      </w:r>
      <w:r>
        <w:rPr>
          <w:b/>
        </w:rPr>
        <w:t>7.2</w:t>
      </w:r>
      <w:r>
        <w:t>.</w:t>
      </w:r>
    </w:p>
    <w:p>
      <w:pPr>
        <w:pStyle w:val="ListBullet"/>
      </w:pPr>
      <w:r>
        <w:t xml:space="preserve">Séneca: </w:t>
      </w:r>
      <w:r>
        <w:rPr>
          <w:b/>
        </w:rPr>
        <w:t>3.2</w:t>
      </w:r>
      <w:r>
        <w:t xml:space="preserve">, </w:t>
      </w:r>
      <w:r>
        <w:rPr>
          <w:b/>
        </w:rPr>
        <w:t>7.5</w:t>
      </w:r>
      <w:r>
        <w:t xml:space="preserve">, </w:t>
      </w:r>
      <w:r>
        <w:rPr>
          <w:b/>
        </w:rPr>
        <w:t>F.4</w:t>
      </w:r>
      <w:r>
        <w:t xml:space="preserve">, </w:t>
      </w:r>
      <w:r>
        <w:rPr>
          <w:b/>
        </w:rPr>
        <w:t>H.10</w:t>
      </w:r>
      <w:r>
        <w:t>.</w:t>
      </w:r>
    </w:p>
    <w:p>
      <w:pPr>
        <w:pStyle w:val="ListBullet"/>
      </w:pPr>
      <w:r>
        <w:t xml:space="preserve">Sherif y otros, The Robbers Cave Experiment: </w:t>
      </w:r>
      <w:r>
        <w:rPr>
          <w:b/>
        </w:rPr>
        <w:t>4.1</w:t>
      </w:r>
      <w:r>
        <w:t>.</w:t>
      </w:r>
    </w:p>
    <w:p>
      <w:pPr>
        <w:pStyle w:val="ListBullet"/>
      </w:pPr>
      <w:r>
        <w:t xml:space="preserve">Smith, Smith y Stocks: </w:t>
      </w:r>
      <w:r>
        <w:rPr>
          <w:b/>
        </w:rPr>
        <w:t>8.9</w:t>
      </w:r>
      <w:r>
        <w:t>.</w:t>
      </w:r>
    </w:p>
    <w:p>
      <w:pPr>
        <w:pStyle w:val="ListBullet"/>
      </w:pPr>
      <w:r>
        <w:t xml:space="preserve">Sófocles: </w:t>
      </w:r>
      <w:r>
        <w:rPr>
          <w:b/>
        </w:rPr>
        <w:t>1.4</w:t>
      </w:r>
      <w:r>
        <w:t xml:space="preserve">, </w:t>
      </w:r>
      <w:r>
        <w:rPr>
          <w:b/>
        </w:rPr>
        <w:t>6.2</w:t>
      </w:r>
      <w:r>
        <w:t>.</w:t>
      </w:r>
    </w:p>
    <w:p>
      <w:pPr>
        <w:pStyle w:val="ListBullet"/>
      </w:pPr>
      <w:r>
        <w:t xml:space="preserve">Stigler: </w:t>
      </w:r>
      <w:r>
        <w:rPr>
          <w:b/>
        </w:rPr>
        <w:t>11.2</w:t>
      </w:r>
      <w:r>
        <w:t>.</w:t>
      </w:r>
    </w:p>
    <w:p>
      <w:pPr>
        <w:pStyle w:val="ListBullet"/>
      </w:pPr>
      <w:r>
        <w:t xml:space="preserve">Straehle: </w:t>
      </w:r>
      <w:r>
        <w:rPr>
          <w:b/>
        </w:rPr>
        <w:t>6.1</w:t>
      </w:r>
      <w:r>
        <w:t>.</w:t>
      </w:r>
    </w:p>
    <w:p>
      <w:pPr>
        <w:pStyle w:val="ListBullet"/>
      </w:pPr>
      <w:r>
        <w:t xml:space="preserve">Suetonio, Vidas de los Césares: </w:t>
      </w:r>
      <w:r>
        <w:rPr>
          <w:b/>
        </w:rPr>
        <w:t>3.5</w:t>
      </w:r>
      <w:r>
        <w:t xml:space="preserve">, </w:t>
      </w:r>
      <w:r>
        <w:rPr>
          <w:b/>
        </w:rPr>
        <w:t>6.2</w:t>
      </w:r>
      <w:r>
        <w:t>.</w:t>
      </w:r>
    </w:p>
    <w:p>
      <w:pPr>
        <w:pStyle w:val="ListBullet"/>
      </w:pPr>
      <w:r>
        <w:t xml:space="preserve">Tácito, Anales: </w:t>
      </w:r>
      <w:r>
        <w:rPr>
          <w:b/>
        </w:rPr>
        <w:t>3.2</w:t>
      </w:r>
      <w:r>
        <w:t xml:space="preserve">, </w:t>
      </w:r>
      <w:r>
        <w:rPr>
          <w:b/>
        </w:rPr>
        <w:t>3.4</w:t>
      </w:r>
      <w:r>
        <w:t xml:space="preserve">, </w:t>
      </w:r>
      <w:r>
        <w:rPr>
          <w:b/>
        </w:rPr>
        <w:t>F.4</w:t>
      </w:r>
      <w:r>
        <w:t>.</w:t>
      </w:r>
    </w:p>
    <w:p>
      <w:pPr>
        <w:pStyle w:val="ListBullet"/>
      </w:pPr>
      <w:r>
        <w:t xml:space="preserve">Tomás de Aquino, Suma teológica: </w:t>
      </w:r>
      <w:r>
        <w:rPr>
          <w:b/>
        </w:rPr>
        <w:t>0.4</w:t>
      </w:r>
      <w:r>
        <w:t xml:space="preserve">, </w:t>
      </w:r>
      <w:r>
        <w:rPr>
          <w:b/>
        </w:rPr>
        <w:t>1.1</w:t>
      </w:r>
      <w:r>
        <w:t xml:space="preserve">, </w:t>
      </w:r>
      <w:r>
        <w:rPr>
          <w:b/>
        </w:rPr>
        <w:t>1.2</w:t>
      </w:r>
      <w:r>
        <w:t xml:space="preserve">, </w:t>
      </w:r>
      <w:r>
        <w:rPr>
          <w:b/>
        </w:rPr>
        <w:t>1.4</w:t>
      </w:r>
      <w:r>
        <w:t xml:space="preserve">, </w:t>
      </w:r>
      <w:r>
        <w:rPr>
          <w:b/>
        </w:rPr>
        <w:t>1.5</w:t>
      </w:r>
      <w:r>
        <w:t xml:space="preserve">, </w:t>
      </w:r>
      <w:r>
        <w:rPr>
          <w:b/>
        </w:rPr>
        <w:t>1.6</w:t>
      </w:r>
      <w:r>
        <w:t xml:space="preserve">, </w:t>
      </w:r>
      <w:r>
        <w:rPr>
          <w:b/>
        </w:rPr>
        <w:t>2.1</w:t>
      </w:r>
      <w:r>
        <w:t xml:space="preserve">, </w:t>
      </w:r>
      <w:r>
        <w:rPr>
          <w:b/>
        </w:rPr>
        <w:t>11.2</w:t>
      </w:r>
      <w:r>
        <w:t>.</w:t>
      </w:r>
    </w:p>
    <w:p>
      <w:pPr>
        <w:pStyle w:val="ListBullet"/>
      </w:pPr>
      <w:r>
        <w:t xml:space="preserve">Tomás de Mercado: </w:t>
      </w:r>
      <w:r>
        <w:rPr>
          <w:b/>
        </w:rPr>
        <w:t>3.3</w:t>
      </w:r>
      <w:r>
        <w:t>.</w:t>
      </w:r>
    </w:p>
    <w:p>
      <w:pPr>
        <w:pStyle w:val="ListBullet"/>
      </w:pPr>
      <w:r>
        <w:t xml:space="preserve">Torquemada, Monarquía indiana: </w:t>
      </w:r>
      <w:r>
        <w:t>capítulo 9</w:t>
      </w:r>
      <w:r>
        <w:t>.</w:t>
      </w:r>
    </w:p>
    <w:p>
      <w:pPr>
        <w:pStyle w:val="ListBullet"/>
      </w:pPr>
      <w:r>
        <w:t xml:space="preserve">Victorino de Pettau, Comentario al Apocalipsis: </w:t>
      </w:r>
      <w:r>
        <w:rPr>
          <w:b/>
        </w:rPr>
        <w:t>8.11</w:t>
      </w:r>
      <w:r>
        <w:t>.</w:t>
      </w:r>
    </w:p>
    <w:p>
      <w:pPr>
        <w:pStyle w:val="ListBullet"/>
      </w:pPr>
      <w:r>
        <w:t xml:space="preserve">Vilfredo Pareto: </w:t>
      </w:r>
      <w:r>
        <w:rPr>
          <w:b/>
        </w:rPr>
        <w:t>6.4</w:t>
      </w:r>
      <w:r>
        <w:t>.</w:t>
      </w:r>
    </w:p>
    <w:p>
      <w:pPr>
        <w:pStyle w:val="ListBullet"/>
      </w:pPr>
      <w:r>
        <w:t xml:space="preserve">Vírgala: </w:t>
      </w:r>
      <w:r>
        <w:rPr>
          <w:b/>
        </w:rPr>
        <w:t>A.2</w:t>
      </w:r>
      <w:r>
        <w:t>.</w:t>
      </w:r>
    </w:p>
    <w:p>
      <w:pPr>
        <w:pStyle w:val="ListBullet"/>
      </w:pPr>
      <w:r>
        <w:t xml:space="preserve">Weidmann: </w:t>
      </w:r>
      <w:r>
        <w:rPr>
          <w:b/>
        </w:rPr>
        <w:t>8.2</w:t>
      </w:r>
      <w:r>
        <w:t>.</w:t>
      </w:r>
    </w:p>
    <w:p>
      <w:pPr>
        <w:pStyle w:val="ListBullet"/>
      </w:pPr>
      <w:r>
        <w:t xml:space="preserve">Werner: </w:t>
      </w:r>
      <w:r>
        <w:rPr>
          <w:b/>
        </w:rPr>
        <w:t>8.1</w:t>
      </w:r>
      <w:r>
        <w:t>.</w:t>
      </w:r>
    </w:p>
    <w:p>
      <w:pPr>
        <w:pStyle w:val="ListBullet"/>
      </w:pPr>
      <w:r>
        <w:t xml:space="preserve">White y Schuler: </w:t>
      </w:r>
      <w:r>
        <w:rPr>
          <w:b/>
        </w:rPr>
        <w:t>8.2</w:t>
      </w:r>
      <w:r>
        <w:t>.</w:t>
      </w:r>
    </w:p>
    <w:p>
      <w:r>
        <w:rPr>
          <w:b/>
        </w:rPr>
        <w:t>Los diccionarios y las obras de consulta</w:t>
      </w:r>
      <w:r>
        <w:t xml:space="preserve"> (15 fuentes)</w:t>
      </w:r>
    </w:p>
    <w:p>
      <w:pPr>
        <w:pStyle w:val="ListBullet"/>
      </w:pPr>
      <w:r>
        <w:t xml:space="preserve">Black's Law Dictionary: </w:t>
      </w:r>
      <w:r>
        <w:rPr>
          <w:b/>
        </w:rPr>
        <w:t>H.10</w:t>
      </w:r>
      <w:r>
        <w:t>.</w:t>
      </w:r>
    </w:p>
    <w:p>
      <w:pPr>
        <w:pStyle w:val="ListBullet"/>
      </w:pPr>
      <w:r>
        <w:t xml:space="preserve">Cotterell, A collection of Latin maxims and phrases (1913): </w:t>
      </w:r>
      <w:r>
        <w:rPr>
          <w:b/>
        </w:rPr>
        <w:t>H.10</w:t>
      </w:r>
      <w:r>
        <w:t>.</w:t>
      </w:r>
    </w:p>
    <w:p>
      <w:pPr>
        <w:pStyle w:val="ListBullet"/>
      </w:pPr>
      <w:r>
        <w:t xml:space="preserve">dalailama.com: </w:t>
      </w:r>
      <w:r>
        <w:rPr>
          <w:b/>
        </w:rPr>
        <w:t>6.2</w:t>
      </w:r>
      <w:r>
        <w:t>.</w:t>
      </w:r>
    </w:p>
    <w:p>
      <w:pPr>
        <w:pStyle w:val="ListBullet"/>
      </w:pPr>
      <w:r>
        <w:t xml:space="preserve">Electronic Dictionary of the Irish Language: </w:t>
      </w:r>
      <w:r>
        <w:rPr>
          <w:b/>
        </w:rPr>
        <w:t>F.7</w:t>
      </w:r>
      <w:r>
        <w:t>.</w:t>
      </w:r>
    </w:p>
    <w:p>
      <w:pPr>
        <w:pStyle w:val="ListBullet"/>
      </w:pPr>
      <w:r>
        <w:t xml:space="preserve">Encyclopaedia Britannica: </w:t>
      </w:r>
      <w:r>
        <w:rPr>
          <w:b/>
        </w:rPr>
        <w:t>3.2</w:t>
      </w:r>
      <w:r>
        <w:t xml:space="preserve">, </w:t>
      </w:r>
      <w:r>
        <w:rPr>
          <w:b/>
        </w:rPr>
        <w:t>7.5</w:t>
      </w:r>
      <w:r>
        <w:t xml:space="preserve">, </w:t>
      </w:r>
      <w:r>
        <w:rPr>
          <w:b/>
        </w:rPr>
        <w:t>9.2</w:t>
      </w:r>
      <w:r>
        <w:t xml:space="preserve">, </w:t>
      </w:r>
      <w:r>
        <w:rPr>
          <w:b/>
        </w:rPr>
        <w:t>H.10</w:t>
      </w:r>
      <w:r>
        <w:t>.</w:t>
      </w:r>
    </w:p>
    <w:p>
      <w:pPr>
        <w:pStyle w:val="ListBullet"/>
      </w:pPr>
      <w:r>
        <w:t xml:space="preserve">Ethiopian Heritage Fund: </w:t>
      </w:r>
      <w:r>
        <w:rPr>
          <w:b/>
        </w:rPr>
        <w:t>0.1</w:t>
      </w:r>
      <w:r>
        <w:t>.</w:t>
      </w:r>
    </w:p>
    <w:p>
      <w:pPr>
        <w:pStyle w:val="ListBullet"/>
      </w:pPr>
      <w:r>
        <w:t xml:space="preserve">Halkerston, A collection of Latin maxims &amp; rules (1823): </w:t>
      </w:r>
      <w:r>
        <w:rPr>
          <w:b/>
        </w:rPr>
        <w:t>H.10</w:t>
      </w:r>
      <w:r>
        <w:t>.</w:t>
      </w:r>
    </w:p>
    <w:p>
      <w:pPr>
        <w:pStyle w:val="ListBullet"/>
      </w:pPr>
      <w:r>
        <w:t xml:space="preserve">Lewis y Short, A Latin Dictionary: </w:t>
      </w:r>
      <w:r>
        <w:rPr>
          <w:b/>
        </w:rPr>
        <w:t>5.3</w:t>
      </w:r>
      <w:r>
        <w:t xml:space="preserve">, </w:t>
      </w:r>
      <w:r>
        <w:rPr>
          <w:b/>
        </w:rPr>
        <w:t>6.2</w:t>
      </w:r>
      <w:r>
        <w:t>.</w:t>
      </w:r>
    </w:p>
    <w:p>
      <w:pPr>
        <w:pStyle w:val="ListBullet"/>
      </w:pPr>
      <w:r>
        <w:t xml:space="preserve">Liddell y Scott, Greek-English Lexicon: </w:t>
      </w:r>
      <w:r>
        <w:rPr>
          <w:b/>
        </w:rPr>
        <w:t>3.2</w:t>
      </w:r>
      <w:r>
        <w:t>.</w:t>
      </w:r>
    </w:p>
    <w:p>
      <w:pPr>
        <w:pStyle w:val="ListBullet"/>
      </w:pPr>
      <w:r>
        <w:t xml:space="preserve">Monier-Williams, A Sanskrit-English Dictionary: </w:t>
      </w:r>
      <w:r>
        <w:t>anexo F</w:t>
      </w:r>
      <w:r>
        <w:t xml:space="preserve">, </w:t>
      </w:r>
      <w:r>
        <w:rPr>
          <w:b/>
        </w:rPr>
        <w:t>F.8</w:t>
      </w:r>
      <w:r>
        <w:t>.</w:t>
      </w:r>
    </w:p>
    <w:p>
      <w:pPr>
        <w:pStyle w:val="ListBullet"/>
      </w:pPr>
      <w:r>
        <w:t xml:space="preserve">Nebrija, Vocabulario español-latino: </w:t>
      </w:r>
      <w:r>
        <w:rPr>
          <w:b/>
        </w:rPr>
        <w:t>D.13</w:t>
      </w:r>
      <w:r>
        <w:t>.</w:t>
      </w:r>
    </w:p>
    <w:p>
      <w:pPr>
        <w:pStyle w:val="ListBullet"/>
      </w:pPr>
      <w:r>
        <w:t xml:space="preserve">Real Academia Española, Diccionario de la lengua española (y ediciones antiguas): </w:t>
      </w:r>
      <w:r>
        <w:rPr>
          <w:b/>
        </w:rPr>
        <w:t>0.2</w:t>
      </w:r>
      <w:r>
        <w:t xml:space="preserve">, </w:t>
      </w:r>
      <w:r>
        <w:rPr>
          <w:b/>
        </w:rPr>
        <w:t>5.1</w:t>
      </w:r>
      <w:r>
        <w:t xml:space="preserve">, </w:t>
      </w:r>
      <w:r>
        <w:rPr>
          <w:b/>
        </w:rPr>
        <w:t>6.1</w:t>
      </w:r>
      <w:r>
        <w:t xml:space="preserve">, </w:t>
      </w:r>
      <w:r>
        <w:rPr>
          <w:b/>
        </w:rPr>
        <w:t>8.1</w:t>
      </w:r>
      <w:r>
        <w:t xml:space="preserve">, </w:t>
      </w:r>
      <w:r>
        <w:rPr>
          <w:b/>
        </w:rPr>
        <w:t>8.3</w:t>
      </w:r>
      <w:r>
        <w:t xml:space="preserve">, </w:t>
      </w:r>
      <w:r>
        <w:rPr>
          <w:b/>
        </w:rPr>
        <w:t>D.13</w:t>
      </w:r>
      <w:r>
        <w:t>.</w:t>
      </w:r>
    </w:p>
    <w:p>
      <w:pPr>
        <w:pStyle w:val="ListBullet"/>
      </w:pPr>
      <w:r>
        <w:t xml:space="preserve">Real Academia Española, Diccionario panhispánico del español jurídico: </w:t>
      </w:r>
      <w:r>
        <w:rPr>
          <w:b/>
        </w:rPr>
        <w:t>6.3</w:t>
      </w:r>
      <w:r>
        <w:t xml:space="preserve">, </w:t>
      </w:r>
      <w:r>
        <w:rPr>
          <w:b/>
        </w:rPr>
        <w:t>8.5</w:t>
      </w:r>
      <w:r>
        <w:t xml:space="preserve">, </w:t>
      </w:r>
      <w:r>
        <w:rPr>
          <w:b/>
        </w:rPr>
        <w:t>D.9</w:t>
      </w:r>
      <w:r>
        <w:t xml:space="preserve">, </w:t>
      </w:r>
      <w:r>
        <w:rPr>
          <w:b/>
        </w:rPr>
        <w:t>D.13</w:t>
      </w:r>
      <w:r>
        <w:t xml:space="preserve">, </w:t>
      </w:r>
      <w:r>
        <w:rPr>
          <w:b/>
        </w:rPr>
        <w:t>H.10</w:t>
      </w:r>
      <w:r>
        <w:t>.</w:t>
      </w:r>
    </w:p>
    <w:p>
      <w:pPr>
        <w:pStyle w:val="ListBullet"/>
      </w:pPr>
      <w:r>
        <w:t xml:space="preserve">South African History Online: </w:t>
      </w:r>
      <w:r>
        <w:rPr>
          <w:b/>
        </w:rPr>
        <w:t>9.2</w:t>
      </w:r>
      <w:r>
        <w:t>.</w:t>
      </w:r>
    </w:p>
    <w:p>
      <w:pPr>
        <w:pStyle w:val="ListBullet"/>
      </w:pPr>
      <w:r>
        <w:t xml:space="preserve">Webster's Revised Unabridged Dictionary (1913): </w:t>
      </w:r>
      <w:r>
        <w:rPr>
          <w:b/>
        </w:rPr>
        <w:t>5.1</w:t>
      </w:r>
      <w:r>
        <w:t xml:space="preserve">, </w:t>
      </w:r>
      <w:r>
        <w:rPr>
          <w:b/>
        </w:rPr>
        <w:t>8.3</w:t>
      </w:r>
      <w:r>
        <w:t>.</w:t>
      </w:r>
    </w:p>
    <w:p>
      <w:r>
        <w:rPr>
          <w:b/>
        </w:rPr>
        <w:t>La prensa, los estudios privados y otras fuentes</w:t>
      </w:r>
      <w:r>
        <w:t xml:space="preserve"> (38 fuentes)</w:t>
      </w:r>
    </w:p>
    <w:p>
      <w:pPr>
        <w:pStyle w:val="ListBullet"/>
      </w:pPr>
      <w:r>
        <w:t xml:space="preserve">ABC: </w:t>
      </w:r>
      <w:r>
        <w:rPr>
          <w:b/>
        </w:rPr>
        <w:t>7.7</w:t>
      </w:r>
      <w:r>
        <w:t xml:space="preserve">, </w:t>
      </w:r>
      <w:r>
        <w:rPr>
          <w:b/>
        </w:rPr>
        <w:t>A.2</w:t>
      </w:r>
      <w:r>
        <w:t>.</w:t>
      </w:r>
    </w:p>
    <w:p>
      <w:pPr>
        <w:pStyle w:val="ListBullet"/>
      </w:pPr>
      <w:r>
        <w:t xml:space="preserve">AEDAF: </w:t>
      </w:r>
      <w:r>
        <w:rPr>
          <w:b/>
        </w:rPr>
        <w:t>A.8</w:t>
      </w:r>
      <w:r>
        <w:t xml:space="preserve">, </w:t>
      </w:r>
      <w:r>
        <w:rPr>
          <w:b/>
        </w:rPr>
        <w:t>A.9</w:t>
      </w:r>
      <w:r>
        <w:t>.</w:t>
      </w:r>
    </w:p>
    <w:p>
      <w:pPr>
        <w:pStyle w:val="ListBullet"/>
      </w:pPr>
      <w:r>
        <w:t xml:space="preserve">Artículo14: </w:t>
      </w:r>
      <w:r>
        <w:rPr>
          <w:b/>
        </w:rPr>
        <w:t>A.4</w:t>
      </w:r>
      <w:r>
        <w:t>.</w:t>
      </w:r>
    </w:p>
    <w:p>
      <w:pPr>
        <w:pStyle w:val="ListBullet"/>
      </w:pPr>
      <w:r>
        <w:t xml:space="preserve">Asociación de Letrados por un Turno de Oficio Digno (ALTODO): </w:t>
      </w:r>
      <w:r>
        <w:rPr>
          <w:b/>
        </w:rPr>
        <w:t>A.7</w:t>
      </w:r>
      <w:r>
        <w:t>.</w:t>
      </w:r>
    </w:p>
    <w:p>
      <w:pPr>
        <w:pStyle w:val="ListBullet"/>
      </w:pPr>
      <w:r>
        <w:t xml:space="preserve">Asociación Estatal de Directoras y Gerentes de Servicios Sociales: </w:t>
      </w:r>
      <w:r>
        <w:rPr>
          <w:b/>
        </w:rPr>
        <w:t>8.5</w:t>
      </w:r>
      <w:r>
        <w:t xml:space="preserve">, </w:t>
      </w:r>
      <w:r>
        <w:rPr>
          <w:b/>
        </w:rPr>
        <w:t>11.6</w:t>
      </w:r>
      <w:r>
        <w:t>.</w:t>
      </w:r>
    </w:p>
    <w:p>
      <w:pPr>
        <w:pStyle w:val="ListBullet"/>
      </w:pPr>
      <w:r>
        <w:t xml:space="preserve">ASUFIN: </w:t>
      </w:r>
      <w:r>
        <w:rPr>
          <w:b/>
        </w:rPr>
        <w:t>B.5</w:t>
      </w:r>
      <w:r>
        <w:t>.</w:t>
      </w:r>
    </w:p>
    <w:p>
      <w:pPr>
        <w:pStyle w:val="ListBullet"/>
      </w:pPr>
      <w:r>
        <w:t xml:space="preserve">ATA, asociación de trabajadores autónomos: </w:t>
      </w:r>
      <w:r>
        <w:rPr>
          <w:b/>
        </w:rPr>
        <w:t>8.4</w:t>
      </w:r>
      <w:r>
        <w:t>.</w:t>
      </w:r>
    </w:p>
    <w:p>
      <w:pPr>
        <w:pStyle w:val="ListBullet"/>
      </w:pPr>
      <w:r>
        <w:t xml:space="preserve">Banco Santander: </w:t>
      </w:r>
      <w:r>
        <w:rPr>
          <w:b/>
        </w:rPr>
        <w:t>B.5</w:t>
      </w:r>
      <w:r>
        <w:t>.</w:t>
      </w:r>
    </w:p>
    <w:p>
      <w:pPr>
        <w:pStyle w:val="ListBullet"/>
      </w:pPr>
      <w:r>
        <w:t xml:space="preserve">CEOE: </w:t>
      </w:r>
      <w:r>
        <w:rPr>
          <w:b/>
        </w:rPr>
        <w:t>11.3</w:t>
      </w:r>
      <w:r>
        <w:t>.</w:t>
      </w:r>
    </w:p>
    <w:p>
      <w:pPr>
        <w:pStyle w:val="ListBullet"/>
      </w:pPr>
      <w:r>
        <w:t xml:space="preserve">CEPES: </w:t>
      </w:r>
      <w:r>
        <w:rPr>
          <w:b/>
        </w:rPr>
        <w:t>A.8</w:t>
      </w:r>
      <w:r>
        <w:t>.</w:t>
      </w:r>
    </w:p>
    <w:p>
      <w:pPr>
        <w:pStyle w:val="ListBullet"/>
      </w:pPr>
      <w:r>
        <w:t xml:space="preserve">Citizen Lab: </w:t>
      </w:r>
      <w:r>
        <w:rPr>
          <w:b/>
        </w:rPr>
        <w:t>A.2</w:t>
      </w:r>
      <w:r>
        <w:t>.</w:t>
      </w:r>
    </w:p>
    <w:p>
      <w:pPr>
        <w:pStyle w:val="ListBullet"/>
      </w:pPr>
      <w:r>
        <w:t xml:space="preserve">Columbia Magazine: </w:t>
      </w:r>
      <w:r>
        <w:rPr>
          <w:b/>
        </w:rPr>
        <w:t>9.2</w:t>
      </w:r>
      <w:r>
        <w:t>.</w:t>
      </w:r>
    </w:p>
    <w:p>
      <w:pPr>
        <w:pStyle w:val="ListBullet"/>
      </w:pPr>
      <w:r>
        <w:t xml:space="preserve">Ecologistas en Acción: </w:t>
      </w:r>
      <w:r>
        <w:rPr>
          <w:b/>
        </w:rPr>
        <w:t>8.7</w:t>
      </w:r>
      <w:r>
        <w:t>.</w:t>
      </w:r>
    </w:p>
    <w:p>
      <w:pPr>
        <w:pStyle w:val="ListBullet"/>
      </w:pPr>
      <w:r>
        <w:t xml:space="preserve">El Derecho: </w:t>
      </w:r>
      <w:r>
        <w:rPr>
          <w:b/>
        </w:rPr>
        <w:t>A.1</w:t>
      </w:r>
      <w:r>
        <w:t>.</w:t>
      </w:r>
    </w:p>
    <w:p>
      <w:pPr>
        <w:pStyle w:val="ListBullet"/>
      </w:pPr>
      <w:r>
        <w:t xml:space="preserve">EsadeEcPol: </w:t>
      </w:r>
      <w:r>
        <w:rPr>
          <w:b/>
        </w:rPr>
        <w:t>8.9</w:t>
      </w:r>
      <w:r>
        <w:t>.</w:t>
      </w:r>
    </w:p>
    <w:p>
      <w:pPr>
        <w:pStyle w:val="ListBullet"/>
      </w:pPr>
      <w:r>
        <w:t xml:space="preserve">Fedea: </w:t>
      </w:r>
      <w:r>
        <w:rPr>
          <w:b/>
        </w:rPr>
        <w:t>B.4</w:t>
      </w:r>
      <w:r>
        <w:t>.</w:t>
      </w:r>
    </w:p>
    <w:p>
      <w:pPr>
        <w:pStyle w:val="ListBullet"/>
      </w:pPr>
      <w:r>
        <w:t xml:space="preserve">Fundación CIVIO: </w:t>
      </w:r>
      <w:r>
        <w:rPr>
          <w:b/>
        </w:rPr>
        <w:t>A.3</w:t>
      </w:r>
      <w:r>
        <w:t>.</w:t>
      </w:r>
    </w:p>
    <w:p>
      <w:pPr>
        <w:pStyle w:val="ListBullet"/>
      </w:pPr>
      <w:r>
        <w:t xml:space="preserve">Fundación Civismo: </w:t>
      </w:r>
      <w:r>
        <w:rPr>
          <w:b/>
        </w:rPr>
        <w:t>8.4</w:t>
      </w:r>
      <w:r>
        <w:t>.</w:t>
      </w:r>
    </w:p>
    <w:p>
      <w:pPr>
        <w:pStyle w:val="ListBullet"/>
      </w:pPr>
      <w:r>
        <w:t xml:space="preserve">Fundación Cotec: </w:t>
      </w:r>
      <w:r>
        <w:rPr>
          <w:b/>
        </w:rPr>
        <w:t>A.2</w:t>
      </w:r>
      <w:r>
        <w:t>.</w:t>
      </w:r>
    </w:p>
    <w:p>
      <w:pPr>
        <w:pStyle w:val="ListBullet"/>
      </w:pPr>
      <w:r>
        <w:t xml:space="preserve">Fundación «la Caixa», Observatorio Social: </w:t>
      </w:r>
      <w:r>
        <w:rPr>
          <w:b/>
        </w:rPr>
        <w:t>A.8</w:t>
      </w:r>
      <w:r>
        <w:t>.</w:t>
      </w:r>
    </w:p>
    <w:p>
      <w:pPr>
        <w:pStyle w:val="ListBullet"/>
      </w:pPr>
      <w:r>
        <w:t xml:space="preserve">Gestha: </w:t>
      </w:r>
      <w:r>
        <w:rPr>
          <w:b/>
        </w:rPr>
        <w:t>A.9</w:t>
      </w:r>
      <w:r>
        <w:t>.</w:t>
      </w:r>
    </w:p>
    <w:p>
      <w:pPr>
        <w:pStyle w:val="ListBullet"/>
      </w:pPr>
      <w:r>
        <w:t xml:space="preserve">Graphic Online: </w:t>
      </w:r>
      <w:r>
        <w:rPr>
          <w:b/>
        </w:rPr>
        <w:t>7.5</w:t>
      </w:r>
      <w:r>
        <w:t>.</w:t>
      </w:r>
    </w:p>
    <w:p>
      <w:pPr>
        <w:pStyle w:val="ListBullet"/>
      </w:pPr>
      <w:r>
        <w:t xml:space="preserve">HayDerecho: </w:t>
      </w:r>
      <w:r>
        <w:rPr>
          <w:b/>
        </w:rPr>
        <w:t>A.4</w:t>
      </w:r>
      <w:r>
        <w:t xml:space="preserve">, </w:t>
      </w:r>
      <w:r>
        <w:rPr>
          <w:b/>
        </w:rPr>
        <w:t>A.8</w:t>
      </w:r>
      <w:r>
        <w:t>.</w:t>
      </w:r>
    </w:p>
    <w:p>
      <w:pPr>
        <w:pStyle w:val="ListBullet"/>
      </w:pPr>
      <w:r>
        <w:t xml:space="preserve">Idealista: </w:t>
      </w:r>
      <w:r>
        <w:rPr>
          <w:b/>
        </w:rPr>
        <w:t>7.7</w:t>
      </w:r>
      <w:r>
        <w:t xml:space="preserve">, </w:t>
      </w:r>
      <w:r>
        <w:rPr>
          <w:b/>
        </w:rPr>
        <w:t>10.7</w:t>
      </w:r>
      <w:r>
        <w:t>.</w:t>
      </w:r>
    </w:p>
    <w:p>
      <w:pPr>
        <w:pStyle w:val="ListBullet"/>
      </w:pPr>
      <w:r>
        <w:t xml:space="preserve">Instituto de Estudios Económicos (IEE): </w:t>
      </w:r>
      <w:r>
        <w:rPr>
          <w:b/>
        </w:rPr>
        <w:t>9.1</w:t>
      </w:r>
      <w:r>
        <w:t xml:space="preserve">, </w:t>
      </w:r>
      <w:r>
        <w:rPr>
          <w:b/>
        </w:rPr>
        <w:t>A.8</w:t>
      </w:r>
      <w:r>
        <w:t>.</w:t>
      </w:r>
    </w:p>
    <w:p>
      <w:pPr>
        <w:pStyle w:val="ListBullet"/>
      </w:pPr>
      <w:r>
        <w:t xml:space="preserve">Instituto Juan de Mariana: </w:t>
      </w:r>
      <w:r>
        <w:rPr>
          <w:b/>
        </w:rPr>
        <w:t>8.4</w:t>
      </w:r>
      <w:r>
        <w:t xml:space="preserve">, </w:t>
      </w:r>
      <w:r>
        <w:rPr>
          <w:b/>
        </w:rPr>
        <w:t>B.4</w:t>
      </w:r>
      <w:r>
        <w:t>.</w:t>
      </w:r>
    </w:p>
    <w:p>
      <w:pPr>
        <w:pStyle w:val="ListBullet"/>
      </w:pPr>
      <w:r>
        <w:t xml:space="preserve">Jueces para la Democracia (1991): </w:t>
      </w:r>
      <w:r>
        <w:rPr>
          <w:b/>
        </w:rPr>
        <w:t>A.7</w:t>
      </w:r>
      <w:r>
        <w:t>.</w:t>
      </w:r>
    </w:p>
    <w:p>
      <w:pPr>
        <w:pStyle w:val="ListBullet"/>
      </w:pPr>
      <w:r>
        <w:t xml:space="preserve">Maldita: </w:t>
      </w:r>
      <w:r>
        <w:rPr>
          <w:b/>
        </w:rPr>
        <w:t>A.6</w:t>
      </w:r>
      <w:r>
        <w:t>.</w:t>
      </w:r>
    </w:p>
    <w:p>
      <w:pPr>
        <w:pStyle w:val="ListBullet"/>
      </w:pPr>
      <w:r>
        <w:t xml:space="preserve">MyJoyOnline: </w:t>
      </w:r>
      <w:r>
        <w:rPr>
          <w:b/>
        </w:rPr>
        <w:t>7.5</w:t>
      </w:r>
      <w:r>
        <w:t>.</w:t>
      </w:r>
    </w:p>
    <w:p>
      <w:pPr>
        <w:pStyle w:val="ListBullet"/>
      </w:pPr>
      <w:r>
        <w:t xml:space="preserve">Noticias Jurídicas, TheObjective y El Derecho: </w:t>
      </w:r>
      <w:r>
        <w:rPr>
          <w:b/>
        </w:rPr>
        <w:t>A.9</w:t>
      </w:r>
      <w:r>
        <w:t>.</w:t>
      </w:r>
    </w:p>
    <w:p>
      <w:pPr>
        <w:pStyle w:val="ListBullet"/>
      </w:pPr>
      <w:r>
        <w:t xml:space="preserve">Political Watch: </w:t>
      </w:r>
      <w:r>
        <w:rPr>
          <w:b/>
        </w:rPr>
        <w:t>A.4</w:t>
      </w:r>
      <w:r>
        <w:t>.</w:t>
      </w:r>
    </w:p>
    <w:p>
      <w:pPr>
        <w:pStyle w:val="ListBullet"/>
      </w:pPr>
      <w:r>
        <w:t xml:space="preserve">Revista de Estudios de la Administración Local y Autonómica (REALA): </w:t>
      </w:r>
      <w:r>
        <w:rPr>
          <w:b/>
        </w:rPr>
        <w:t>A.9</w:t>
      </w:r>
      <w:r>
        <w:t>.</w:t>
      </w:r>
    </w:p>
    <w:p>
      <w:pPr>
        <w:pStyle w:val="ListBullet"/>
      </w:pPr>
      <w:r>
        <w:t xml:space="preserve">Statista: </w:t>
      </w:r>
      <w:r>
        <w:rPr>
          <w:b/>
        </w:rPr>
        <w:t>A.6</w:t>
      </w:r>
      <w:r>
        <w:t>.</w:t>
      </w:r>
    </w:p>
    <w:p>
      <w:pPr>
        <w:pStyle w:val="ListBullet"/>
      </w:pPr>
      <w:r>
        <w:t xml:space="preserve">Transparencia Internacional España: </w:t>
      </w:r>
      <w:r>
        <w:rPr>
          <w:b/>
        </w:rPr>
        <w:t>6.4</w:t>
      </w:r>
      <w:r>
        <w:t>.</w:t>
      </w:r>
    </w:p>
    <w:p>
      <w:pPr>
        <w:pStyle w:val="ListBullet"/>
      </w:pPr>
      <w:r>
        <w:t xml:space="preserve">Transparent Replications: </w:t>
      </w:r>
      <w:r>
        <w:rPr>
          <w:b/>
        </w:rPr>
        <w:t>8.9</w:t>
      </w:r>
      <w:r>
        <w:t>.</w:t>
      </w:r>
    </w:p>
    <w:p>
      <w:pPr>
        <w:pStyle w:val="ListBullet"/>
      </w:pPr>
      <w:r>
        <w:t xml:space="preserve">UGT: </w:t>
      </w:r>
      <w:r>
        <w:rPr>
          <w:b/>
        </w:rPr>
        <w:t>8.8</w:t>
      </w:r>
      <w:r>
        <w:t>.</w:t>
      </w:r>
    </w:p>
    <w:p>
      <w:pPr>
        <w:pStyle w:val="ListBullet"/>
      </w:pPr>
      <w:r>
        <w:t xml:space="preserve">Un magistrado del Tribunal Supremo, con datos del Ministerio de Justicia: </w:t>
      </w:r>
      <w:r>
        <w:rPr>
          <w:b/>
        </w:rPr>
        <w:t>A.5</w:t>
      </w:r>
      <w:r>
        <w:t>.</w:t>
      </w:r>
    </w:p>
    <w:p>
      <w:pPr>
        <w:pStyle w:val="ListBullet"/>
      </w:pPr>
      <w:r>
        <w:t xml:space="preserve">WEF: </w:t>
      </w:r>
      <w:r>
        <w:rPr>
          <w:b/>
        </w:rPr>
        <w:t>A.2</w:t>
      </w:r>
      <w:r>
        <w:t>.</w:t>
      </w:r>
    </w:p>
    <w:p>
      <w:r>
        <w:t>[todas las marcas de fuente de los capítulos 0 a 11 y de los anexos A a J, reunidas con un programa en el paso 4, 7-oct-2026]</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r>
        <w:t>[00.00, secciones 14 a 26; paso 2 y su fe de erratas]</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r>
        <w:t>[clasificación de las defensas, aprobada; 11.2]</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r>
        <w:br w:type="page"/>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los flecos del cierre (Kiko, chat de 08.28, 19:4x, a «¿sí a los seis flecos tal cual? Recomendación: sí a los seis», tal cual: «SI»; orden firme de 08.28): en J.3, «En Persia se elige un polo», la traducción del Yasna 30:3 se daba como de L. H. Mills y es la de avesta.org, palabra por palabra, la misma de 4.2: dice «de avesta.org». Quién es su traductor (avesta.org la da como de Bartholomae, por Taraporewala, «basada casi por entero en Moulton»), a 06/05 FLECOS. Ninguna otra palabra cambia. Cambio del 12-oct-2026 (Kiko: el piloto de J.6 sin números, fila 542 de 08/01, 13:4x; los cinco centros, chat de 08.26, 17:2x, tal cual: «A mí me parece que valen perfectamente. Son lógicos coherentes con todo lo que hemos tratado hasta la fecha y son las conclusiones que, a las cuales hemos llegado.»; y el texto, chat de 08.27, 18:3x, tal cual: «SI CONCUERDO»; ADELANTE de 08.27; borrador B21, construido por programa): al final de J.6, sin renumerar, el bloque «El piloto, hecho sin números»: la entrada, con el matiz de Kiko (el centro es el bien, Gn 1:10; el mal, errar ese blanco, 3.2 y F.8); las flechas de las cinco palabras; en el nivel completo, la tabla de los cinco diales, letra a letra la de los centros aprobados, y lo que sostiene cada flecha, solo con lo que la obra ya tiene y su remisión, sin dato ni número nuevos, con dos dimensiones sin flecha y su motivo; y la conclusión de dato, los dos vicios a la vez. Sin «Lectura del autor». La tabla de J.8, sin tocar. Sin palabra nueva. Ninguna otra palabra cambia. Cambio del 12-oct-2026 (Kiko, chat de 08.25, pasado por 08.25 tal cual a «¿entra el B18 así en J.1, con «Tres cosas que esta imagen no dice» y J.8 remitiendo a J.1?»: «SI»; fila 590 de 08/01; parlamento de la balanza, 08/22, 12.4; borrador B18, verificado por 08.25, fila 586): en J.0, la línea de J.1 añade «y el camino de vuelta»; en J.1, una frase al final de «La idea»; detrás de los siete gestos y su línea de fuente, el bloque «El camino de vuelta», en lista y fuera del nivel completo: siete tramos, uno por gesto, cada uno en cuatro pasos (la rama seca, la pesa, lo recibido y la puerta de la ley), con su línea de fuente; «Dos cosas que esta imagen no dice» pasa a «Tres cosas», con la tercera al final del párrafo (no sitúa a nadie, 10.9); y en J.8, una línea detrás de la tabla que remite a J.1. Sin dato ni cita nuevos. Ninguna otra palabra cambia. Cambio del 12-oct-2026 (Kiko, chat de 08.21, 11:0x, pasado por 08.21 tal cual, a «¿Entran así la pesa en 0.5 y la tabla de J.8?»: «si concuerdo»; la pesa calibrada, a las 10:5x: «concuerdo» y «si concuerdo»; parlamento de la balanza, 08/22, apartados 10 y 11): en J.0, una línea más en la lista (la de J.7 acaba ahora en punto y coma); un apartado nuevo, J.8 «La balanza, pesa a pesa», detrás de J.7 y antes de «Límite honesto de la prueba» (la idea con la pesa, la lectura de cómo se lee la tabla y una tabla de diecisiete filas y cuatro columnas, sin número y sin bloque de nivel completo: lo que expone el libro, hacia dónde se aparta la aguja, el fruto que lo muestra y lo que pesa en el otro plato; cada dato, el de su apartado); y un punto al final de «Para recordar» (borrador B17; siete celdas alineadas al aplicar con las palabras de su apartado, 08/22, 11.5). Sin dato ni cita nueva. Ninguna otra palabra cambia. Cambio del 12-oct-2026 (B13, punto 7 en otra forma; decisión de 08.18 sobre la frase que Kiko aprobó en el chat de 08.18, 06:3x: «si»; la vio 10.29): en J.1, «converge en tradiciones que no se leyeron entre sí» pasa a «sin contacto documentado entre sí». Ninguna otra palabra cambia. Cambio del 9-oct-2026 (Kiko: «Sí, ponlo en J.3»; fila 31 de 04p, los polos que faltaban en los diales): en J.3, el defecto de P7 (absolver al culpable, Pr 17:15) y el de P8 (no ejecutar la sentencia a tiempo, Ecl 8:11) con su texto de la Reina-Valera 1909; P3 y P5 siguen sin texto como vicio de quien manda, y la frase de debajo de la tabla dice por qué (seis diales con los dos vicios y dos con uno); la viñeta «Faltan polos» de «Límite honesto» pasa de cuatro principios a dos. Cambio del 9-oct-2026 (Kiko: «Sí a las tres, aplícalo y sigue con A10»; fila A7 de 03b, la obra como espejo del Estado y lo global y lo particular): al final de J.5, antes de J.6, un bloque nuevo como lectura del autor: lo global y lo particular (primero el centro, después el caso con sus variables), con las imágenes de la fuente y los animales y del árbol y sus ramas (palabras de Kiko del 6-oct) y la respuesta de plantilla (10.4). «La idea» de J.5 no cambia. ESTADO: APROBADO por Kiko el 9-oct-2026 («Sí a todo el B3 y el B4, aplícalos» en el chat de la ventana que acompaña, y «SÍ A TODO, LO PARLAMENTADO EN ESTE CONSENSO» en el de la que trabaja); borrador B4, escrito por la ventana que acompaña y aplicado por la que trabaja. Cualquier cambio posterior, con su aprobación. Sale de 04p (filas 19 a 24), 04o (1 a 6), 04g (1, 2 y 5), 04h (3.3), 04m (E) y la libreta 78. Trazabilidad: al final de cada párrafo, entre corchetes. Citas: Ezequiel 34, Mateo 7 y 20 en la Reina-Valera 1909 (10 FUENTES LEIDAS/biblia_rv1909); Daodejing 38 en Legge (10 FUENTES LEIDAS/cierre_B3_B4_9oct/taoismo_legge_sacredtexts); Proverbios 11:1, Levítico 19:36 y Aristóteles, ya en el capítulo 3 y en el anexo del 4.3. Conceptos que ancla: la semilla que se recibe y la que se siembra; el árbol recto y el torcido; los siete gestos; el centro; el dial; la ficha; la evaluación por los frutos; las tres capas; el piloto. Marcas: {fuente: …} niveles 2 y 3; {original: …} nivel 3; [trazabilidad] nivel 3; {completo} solo nivel 3; {breve} solo niveles 1 y 2. Añadido el 9-oct-2026 (Kiko: «la doble polaridad, por coherencia, en el dial» y «Sí a B7 y B8, aplícalos»; borrador B8 de la carpeta 07): en J.3, el bloque «¿Solo Aristóteles?» con la doble polaridad en seis tradiciones (30 pasajes leídos en 11), sus cinco matices («coinciden», no «convergen») y una viñeta del «Límite honesto de la prueba».</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 xml:space="preserve">). </w:t>
      </w:r>
      <w:r>
        <w:t>[04o, puntos 1 y 3; 04p, apartado 4; glosario 5.6]</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xml:space="preserve">): cada persona, si quiere, se la aplica a sí misma. </w:t>
      </w:r>
      <w:r>
        <w:t>[04c, apartado 4; glosario 5.6]</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xml:space="preserve">), y vale tanto como su unión con la primera. Las dos hacen falta: sin la segunda no hay comunidad que se gobierne; sin la primera, la segunda no tiene de dónde recibir su título. </w:t>
      </w:r>
      <w:r>
        <w:t>[04g, 1.1 y 1.2; glosario 5.7]</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 xml:space="preserve">). </w:t>
      </w:r>
      <w:r>
        <w:t>[04g, 2.1 y 2.2]</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recto</w:t>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torcido</w:t>
            </w:r>
          </w:p>
        </w:tc>
        <w:tc>
          <w:tcPr>
            <w:tcW w:type="dxa" w:w="2296"/>
            <w:shd w:val="clear" w:color="auto" w:fill="F1EEE8"/>
          </w:tcPr>
          <w:p>
            <w:pPr>
              <w:spacing w:after="20" w:line="264" w:lineRule="auto"/>
            </w:pPr>
            <w:r>
              <w:rPr>
                <w:b/>
              </w:rPr>
            </w:r>
            <w:r>
              <w:rPr>
                <w:rFonts w:ascii="Segoe UI" w:hAnsi="Segoe UI" w:eastAsia="Segoe UI" w:cs="Segoe UI"/>
                <w:b/>
                <w:color w:val="1F1D1A"/>
                <w:sz w:val="18"/>
              </w:rPr>
              <w:t>Cómo se comprueba</w:t>
            </w:r>
          </w:p>
        </w:tc>
      </w:tr>
      <w:tr>
        <w:tc>
          <w:tcPr>
            <w:tcW w:type="dxa" w:w="2296"/>
          </w:tcPr>
          <w:p>
            <w:pPr>
              <w:spacing w:after="20" w:line="264" w:lineRule="auto"/>
            </w:pPr>
            <w:r/>
            <w:r>
              <w:rPr>
                <w:rFonts w:ascii="Segoe UI" w:hAnsi="Segoe UI" w:eastAsia="Segoe UI" w:cs="Segoe UI"/>
                <w:b/>
                <w:color w:val="1F1D1A"/>
                <w:sz w:val="18"/>
              </w:rPr>
              <w:t>La raíz</w:t>
            </w:r>
          </w:p>
        </w:tc>
        <w:tc>
          <w:tcPr>
            <w:tcW w:type="dxa" w:w="2296"/>
          </w:tcPr>
          <w:p>
            <w:pPr>
              <w:spacing w:after="20" w:line="264" w:lineRule="auto"/>
            </w:pPr>
            <w:r/>
            <w:r>
              <w:rPr>
                <w:rFonts w:ascii="Segoe UI" w:hAnsi="Segoe UI" w:eastAsia="Segoe UI" w:cs="Segoe UI"/>
                <w:color w:val="1F1D1A"/>
                <w:sz w:val="18"/>
              </w:rPr>
              <w:t>La ley de Dios y la ley natural: el Arca (</w:t>
            </w:r>
            <w:r>
              <w:rPr>
                <w:rFonts w:ascii="Segoe UI" w:hAnsi="Segoe UI" w:eastAsia="Segoe UI" w:cs="Segoe UI"/>
                <w:color w:val="1F1D1A"/>
                <w:sz w:val="18"/>
              </w:rPr>
              <w:t>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Una presunción en el lugar de lo recibido (</w:t>
            </w:r>
            <w:r>
              <w:rPr>
                <w:rFonts w:ascii="Segoe UI" w:hAnsi="Segoe UI" w:eastAsia="Segoe UI" w:cs="Segoe UI"/>
                <w:color w:val="1F1D1A"/>
                <w:sz w:val="18"/>
              </w:rPr>
              <w:t>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Convergencia (</w:t>
            </w:r>
            <w:r>
              <w:rPr>
                <w:rFonts w:ascii="Segoe UI" w:hAnsi="Segoe UI" w:eastAsia="Segoe UI" w:cs="Segoe UI"/>
                <w:color w:val="1F1D1A"/>
                <w:sz w:val="18"/>
              </w:rPr>
              <w:t>0.5</w:t>
            </w:r>
            <w:r>
              <w:rPr>
                <w:rFonts w:ascii="Segoe UI" w:hAnsi="Segoe UI" w:eastAsia="Segoe UI" w:cs="Segoe UI"/>
                <w:color w:val="1F1D1A"/>
                <w:sz w:val="18"/>
              </w:rPr>
              <w:t>); o el documento, y si no lo hay, presunción (</w:t>
            </w:r>
            <w:r>
              <w:rPr>
                <w:rFonts w:ascii="Segoe UI" w:hAnsi="Segoe UI" w:eastAsia="Segoe UI" w:cs="Segoe UI"/>
                <w:color w:val="1F1D1A"/>
                <w:sz w:val="18"/>
              </w:rPr>
              <w:t>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b/>
                <w:color w:val="1F1D1A"/>
                <w:sz w:val="18"/>
              </w:rPr>
              <w:t>El tronco</w:t>
            </w:r>
          </w:p>
        </w:tc>
        <w:tc>
          <w:tcPr>
            <w:tcW w:type="dxa" w:w="2296"/>
          </w:tcPr>
          <w:p>
            <w:pPr>
              <w:spacing w:after="20" w:line="264" w:lineRule="auto"/>
            </w:pPr>
            <w:r/>
            <w:r>
              <w:rPr>
                <w:rFonts w:ascii="Segoe UI" w:hAnsi="Segoe UI" w:eastAsia="Segoe UI" w:cs="Segoe UI"/>
                <w:color w:val="1F1D1A"/>
                <w:sz w:val="18"/>
              </w:rPr>
              <w:t>El orden de las leyes y los derechos que preceden al Estado (1 y 2); discernir (</w:t>
            </w:r>
            <w:r>
              <w:rPr>
                <w:rFonts w:ascii="Segoe UI" w:hAnsi="Segoe UI" w:eastAsia="Segoe UI" w:cs="Segoe UI"/>
                <w:color w:val="1F1D1A"/>
                <w:sz w:val="18"/>
              </w:rPr>
              <w:t>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Cómo se construyó el Estado (</w:t>
            </w:r>
            <w:r>
              <w:rPr>
                <w:rFonts w:ascii="Segoe UI" w:hAnsi="Segoe UI" w:eastAsia="Segoe UI" w:cs="Segoe UI"/>
                <w:color w:val="1F1D1A"/>
                <w:sz w:val="18"/>
              </w:rPr>
              <w:t>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lógica: ¿sigue de la raíz?</w:t>
            </w:r>
          </w:p>
        </w:tc>
      </w:tr>
      <w:tr>
        <w:tc>
          <w:tcPr>
            <w:tcW w:type="dxa" w:w="2296"/>
          </w:tcPr>
          <w:p>
            <w:pPr>
              <w:spacing w:after="20" w:line="264" w:lineRule="auto"/>
            </w:pPr>
            <w:r/>
            <w:r>
              <w:rPr>
                <w:rFonts w:ascii="Segoe UI" w:hAnsi="Segoe UI" w:eastAsia="Segoe UI" w:cs="Segoe UI"/>
                <w:b/>
                <w:color w:val="1F1D1A"/>
                <w:sz w:val="18"/>
              </w:rPr>
              <w:t>Las ramas</w:t>
            </w:r>
          </w:p>
        </w:tc>
        <w:tc>
          <w:tcPr>
            <w:tcW w:type="dxa" w:w="2296"/>
          </w:tcPr>
          <w:p>
            <w:pPr>
              <w:spacing w:after="20" w:line="264" w:lineRule="auto"/>
            </w:pPr>
            <w:r/>
            <w:r>
              <w:rPr>
                <w:rFonts w:ascii="Segoe UI" w:hAnsi="Segoe UI" w:eastAsia="Segoe UI" w:cs="Segoe UI"/>
                <w:color w:val="1F1D1A"/>
                <w:sz w:val="18"/>
              </w:rPr>
              <w:t xml:space="preserve">La costumbre y la ley escrita unidas al tronco: los artículos que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Los hechos del presente: los que no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los frutos</w:t>
            </w:r>
          </w:p>
        </w:tc>
      </w:tr>
      <w:tr>
        <w:tc>
          <w:tcPr>
            <w:tcW w:type="dxa" w:w="2296"/>
          </w:tcPr>
          <w:p>
            <w:pPr>
              <w:spacing w:after="20" w:line="264" w:lineRule="auto"/>
            </w:pPr>
            <w:r/>
            <w:r>
              <w:rPr>
                <w:rFonts w:ascii="Segoe UI" w:hAnsi="Segoe UI" w:eastAsia="Segoe UI" w:cs="Segoe UI"/>
                <w:b/>
                <w:color w:val="1F1D1A"/>
                <w:sz w:val="18"/>
              </w:rPr>
              <w:t>El follaje y los frutos</w:t>
            </w:r>
          </w:p>
        </w:tc>
        <w:tc>
          <w:tcPr>
            <w:tcW w:type="dxa" w:w="2296"/>
          </w:tcPr>
          <w:p>
            <w:pPr>
              <w:spacing w:after="20" w:line="264" w:lineRule="auto"/>
            </w:pPr>
            <w:r/>
            <w:r>
              <w:rPr>
                <w:rFonts w:ascii="Segoe UI" w:hAnsi="Segoe UI" w:eastAsia="Segoe UI" w:cs="Segoe UI"/>
                <w:color w:val="1F1D1A"/>
                <w:sz w:val="18"/>
              </w:rPr>
              <w:t>Lo que se ve y se vive, y lo que da</w:t>
            </w:r>
          </w:p>
        </w:tc>
        <w:tc>
          <w:tcPr>
            <w:tcW w:type="dxa" w:w="2296"/>
          </w:tcPr>
          <w:p>
            <w:pPr>
              <w:spacing w:after="20" w:line="264" w:lineRule="auto"/>
            </w:pPr>
            <w:r/>
            <w:r>
              <w:rPr>
                <w:rFonts w:ascii="Segoe UI" w:hAnsi="Segoe UI" w:eastAsia="Segoe UI" w:cs="Segoe UI"/>
                <w:color w:val="1F1D1A"/>
                <w:sz w:val="18"/>
              </w:rPr>
              <w:t>Su propio follaje y sus propios frutos (</w:t>
            </w:r>
            <w:r>
              <w:rPr>
                <w:rFonts w:ascii="Segoe UI" w:hAnsi="Segoe UI" w:eastAsia="Segoe UI" w:cs="Segoe UI"/>
                <w:color w:val="1F1D1A"/>
                <w:sz w:val="18"/>
              </w:rPr>
              <w:t>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frutos se miden; el follaje se pregunta (</w:t>
            </w:r>
            <w:r>
              <w:rPr>
                <w:rFonts w:ascii="Segoe UI" w:hAnsi="Segoe UI" w:eastAsia="Segoe UI" w:cs="Segoe UI"/>
                <w:color w:val="1F1D1A"/>
                <w:sz w:val="18"/>
              </w:rPr>
              <w:t>10</w:t>
            </w:r>
            <w:r>
              <w:rPr>
                <w:rFonts w:ascii="Segoe UI" w:hAnsi="Segoe UI" w:eastAsia="Segoe UI" w:cs="Segoe UI"/>
                <w:color w:val="1F1D1A"/>
                <w:sz w:val="18"/>
              </w:rPr>
              <w:t>)</w:t>
            </w:r>
          </w:p>
        </w:tc>
      </w:tr>
    </w:tbl>
    <w:p>
      <w:pPr>
        <w:spacing w:after="80"/>
      </w:pPr>
    </w:p>
    <w:p>
      <w:r>
        <w:t>[04g, 2.2; 04h, 3.1]</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t xml:space="preserve"> (Mt 7:15-16)</w:t>
      </w:r>
      <w:r>
        <w:t>; «todo buen árbol lleva buenos frutos; mas el árbol maleado lleva malos frutos»</w:t>
      </w:r>
      <w:r>
        <w:t xml:space="preserve"> (Mt 7:17)</w:t>
      </w:r>
      <w:r>
        <w:t>. El Daodejing dice lo mismo del hombre grande: «se queda con el fruto y no con la flor»</w:t>
      </w:r>
      <w:r>
        <w:t xml:space="preserve"> [original: «dwells with the fruit and not with the flower», en la traducción inglesa de Legge]</w:t>
      </w:r>
      <w:r>
        <w:t xml:space="preserve"> (Daodejing 38, en la traducción de James Legge, Sacred Books of the East, vol. 39)</w:t>
      </w:r>
      <w:r>
        <w:t>. Por eso los frutos se miden con datos (</w:t>
      </w:r>
      <w:r>
        <w:t>8</w:t>
      </w:r>
      <w:r>
        <w:t xml:space="preserve">) y el follaje, lo que se siente al vivir en un árbol, se pregunta y no se afirma: es la brújula, que se explica al cerrar el </w:t>
      </w:r>
      <w:r>
        <w:t>capítulo 10</w:t>
      </w:r>
      <w:r>
        <w:t xml:space="preserve">. </w:t>
      </w:r>
      <w:r>
        <w:t>[Mt 7:15-18, Reina-Valera Antigua; Daodejing 38, extracto comprobado el 8-oct; 04g, 2.2; fila 16 de 04p]</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t xml:space="preserve"> (Gn 3:5)</w:t>
      </w:r>
      <w:r>
        <w:t>, «Todo esto te daré»</w:t>
      </w:r>
      <w:r>
        <w:t xml:space="preserve"> (Mt 4:9)</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 </w:t>
      </w:r>
      <w:r>
        <w:t>[04g, 2.3; 04h, 3.2; Reina-Valera Antigua]</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t>[parlamento de la balanza (08/22), apartados 12.2 y 12.4; parlamento 08/23, apartado 10; borrador B18; sin dato nuevo]</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 xml:space="preserve">). </w:t>
      </w:r>
      <w:r>
        <w:t>[04g, 2.4; 04h, 3.1]</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xml:space="preserve">), cada uno con sus patas y su pata coja. </w:t>
      </w:r>
      <w:r>
        <w:t>[04d, matiz 7; 04o, «Matiz 7»; 04h, 3.3]</w:t>
      </w:r>
    </w:p>
    <w:p>
      <w:r>
        <w:rPr>
          <w:b/>
        </w:rPr>
        <w:t>Cómo se escribe.</w:t>
      </w:r>
      <w:r>
        <w:t xml:space="preserve"> Antes de medir, no después. Es la regla de la vara: «la vara va antes de los datos» (</w:t>
      </w:r>
      <w:r>
        <w:t>0.5</w:t>
      </w:r>
      <w:r>
        <w:t xml:space="preserve">).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 </w:t>
      </w:r>
      <w:r>
        <w:t>[04c, apartado 4, «Las capas de la presunción»; libreta 78, condición 2; 04g, 5.1]</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xml:space="preserve">), lo que afecta al ciudadano en su vida diaria frente a lo que organiza al poder. </w:t>
      </w:r>
      <w:r>
        <w:t>[04c, apartado 5; libreta 78, condición 2]</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xml:space="preserve">), lo que mueve el dial es lo que se repite. </w:t>
      </w:r>
      <w:r>
        <w:t>[anexo del 4.3; 4.4; 04n Q10: Kiko, 8-oct, «sí»; 04o: defecto a la izquierda, exceso a la derecha]</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t xml:space="preserve"> (Prov 30:8)</w:t>
      </w:r>
      <w:r>
        <w:t>, porque en la abundancia podría negar a Dios y en la pobreza, robar</w:t>
      </w:r>
      <w:r>
        <w:t xml:space="preserve"> (Prov 30:9)</w:t>
      </w:r>
      <w:r>
        <w:t>.</w:t>
      </w:r>
    </w:p>
    <w:p>
      <w:pPr>
        <w:pStyle w:val="ListBullet"/>
      </w:pPr>
      <w:r>
        <w:rPr>
          <w:b/>
        </w:rPr>
        <w:t>El islam.</w:t>
      </w:r>
      <w:r>
        <w:t xml:space="preserve"> Los fieles «cuando gastan, no lo hacen con prodigalidad ni con tacañería, -el término medio es lo justo-»</w:t>
      </w:r>
      <w:r>
        <w:t xml:space="preserve"> [original: «وَٱلَّذِينَ إِذَآ أَنفَقُوا۟ لَمْ يُسْرِفُوا۟ وَلَمْ يَقْتُرُوا۟ وَكَانَ بَيْنَ ذَٰلِكَ قَوَامًۭا»]</w:t>
      </w:r>
      <w:r>
        <w:t xml:space="preserve"> (Corán 25:67, traducción de Julio Cortés; fuente secundaria)</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t xml:space="preserve"> [original: «Religion is not his who too much fasts Or too much feasts, nor his who sleeps away An idle mind; nor his who wears to waste His strength in vigils.»; «where one is moderate In eating and in resting, and in sport; Measured in wish and act», en la traducción inglesa de Edwin Arnold]</w:t>
      </w:r>
      <w:r>
        <w:t xml:space="preserve"> (Bhagavad Gita 6:16-17)</w:t>
      </w:r>
      <w:r>
        <w:t>.</w:t>
      </w:r>
    </w:p>
    <w:p>
      <w:pPr>
        <w:pStyle w:val="ListBullet"/>
      </w:pPr>
      <w:r>
        <w:rPr>
          <w:b/>
        </w:rPr>
        <w:t>China.</w:t>
      </w:r>
      <w:r>
        <w:t xml:space="preserve"> El sabio Shun «tomó los dos extremos de ellas [las opiniones], determinó el Medio y lo empleó en su gobierno del pueblo»</w:t>
      </w:r>
      <w:r>
        <w:t xml:space="preserve"> [original: «He took hold of their two extremes, determined the Mean, and employed it in his government of the people.», en la traducción inglesa de James Legge]</w:t>
      </w:r>
      <w:r>
        <w:t xml:space="preserve"> (Zhongyong 6)</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t xml:space="preserve"> [original: «Mendicants, these two extremes should not be cultivated by one gone forth.»; «Avoiding these two extremes, the Realized One understood the middle way of practice», en la traducción inglesa de Sujato]</w:t>
      </w:r>
      <w:r>
        <w:t xml:space="preserve"> (Saṃyutta Nikāya 56.11)</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t xml:space="preserve"> [original: «let him know how to choose the mean and avoid the extremes on either side, as far as possible, not only in this life but in all that which is to come. For this is the way of happiness.», en la traducción inglesa de Jowett]</w:t>
      </w:r>
      <w:r>
        <w:t xml:space="preserve"> (Platón, República X, 619 a-b)</w:t>
      </w:r>
      <w:r>
        <w:t>.</w:t>
      </w:r>
    </w:p>
    <w:p>
      <w:pPr>
        <w:pStyle w:val="ListBullet"/>
      </w:pPr>
      <w:r>
        <w:rPr>
          <w:b/>
        </w:rPr>
        <w:t>Deuteronomio.</w:t>
      </w:r>
      <w:r>
        <w:t xml:space="preserve"> «no os apartéis á diestra ni á siniestra»</w:t>
      </w:r>
      <w:r>
        <w:t xml:space="preserve"> (Dt 5:32)</w:t>
      </w:r>
      <w:r>
        <w:t>: las dos desviaciones de lo mandado.</w:t>
      </w:r>
    </w:p>
    <w:p>
      <w:pPr>
        <w:pStyle w:val="ListBullet"/>
      </w:pPr>
      <w:r>
        <w:rPr>
          <w:b/>
        </w:rPr>
        <w:t>Zhongyong 4.</w:t>
      </w:r>
      <w:r>
        <w:t xml:space="preserve"> «Sé por qué no se anda el camino del Medio: los sabios se pasan de él y los necios no llegan a él»</w:t>
      </w:r>
      <w:r>
        <w:t xml:space="preserve"> [original: «I know how it is that the path of the Mean is not walked in: The knowing go beyond it, and the stupid do not come up to it.», en la traducción inglesa de James Legge]</w:t>
      </w:r>
      <w:r>
        <w:t xml:space="preserve"> (Zhongyong 4)</w:t>
      </w:r>
      <w:r>
        <w:t>.</w:t>
      </w:r>
    </w:p>
    <w:p>
      <w:pPr>
        <w:pStyle w:val="ListBullet"/>
      </w:pPr>
      <w:r>
        <w:rPr>
          <w:b/>
        </w:rPr>
        <w:t>Analectas XI.</w:t>
      </w:r>
      <w:r>
        <w:t xml:space="preserve"> «Pasarse es tan malo como quedarse corto»</w:t>
      </w:r>
      <w:r>
        <w:t xml:space="preserve"> [original: «To go beyond is as wrong as to fall short.», en la traducción inglesa de James Legge]</w:t>
      </w:r>
      <w:r>
        <w:t xml:space="preserve"> (Analectas XI, capítulo XV de Legge)</w:t>
      </w:r>
      <w:r>
        <w:t>.</w:t>
      </w:r>
    </w:p>
    <w:p>
      <w:pPr>
        <w:pStyle w:val="ListBullet"/>
      </w:pPr>
      <w:r>
        <w:rPr>
          <w:b/>
        </w:rPr>
        <w:t>El arpa de Buda.</w:t>
      </w:r>
      <w:r>
        <w:t xml:space="preserve"> «Cuando la energía es demasiado forzada lleva a la inquietud. Cuando la energía es demasiado floja lleva a la pereza»</w:t>
      </w:r>
      <w:r>
        <w:t xml:space="preserve"> [original: «when energy is too forceful it leads to restlessness. When energy is too slack it leads to laziness.», en la traducción inglesa de Sujato]</w:t>
      </w:r>
      <w:r>
        <w:t xml:space="preserve"> (Aṅguttara Nikāya 6.55)</w:t>
      </w:r>
      <w:r>
        <w:t>.</w:t>
      </w:r>
    </w:p>
    <w:p>
      <w:pPr>
        <w:pStyle w:val="ListBullet"/>
      </w:pPr>
      <w:r>
        <w:rPr>
          <w:b/>
        </w:rPr>
        <w:t>Horacio.</w:t>
      </w:r>
      <w:r>
        <w:t xml:space="preserve"> «Quien ama la áurea medianía»: el «áureo término medio» entre la alta mar y la costa peligrosa</w:t>
      </w:r>
      <w:r>
        <w:t xml:space="preserve"> [original: «auream quisquis mediocritatem / diligit»]</w:t>
      </w:r>
      <w:r>
        <w:t xml:space="preserve"> (Horacio, Odas II, 10)</w:t>
      </w:r>
      <w:r>
        <w:t>.</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t xml:space="preserve"> (Saṃyutta Nikāya 56.11)</w:t>
      </w:r>
      <w:r>
        <w:t>.</w:t>
      </w:r>
    </w:p>
    <w:p>
      <w:pPr>
        <w:pStyle w:val="ListBullet"/>
      </w:pPr>
      <w:r>
        <w:rPr>
          <w:b/>
        </w:rPr>
        <w:t>Hay un exceso de justicia.</w:t>
      </w:r>
      <w:r>
        <w:t xml:space="preserve"> «No seas demasiado justo, ni seas sabio con exceso»</w:t>
      </w:r>
      <w:r>
        <w:t xml:space="preserve"> (Ecl 7:16)</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t xml:space="preserve"> [original: «But by holding it without leaving room for the exigency of circumstances, it becomes like their holding their one point.», en la traducción inglesa de James Legge]</w:t>
      </w:r>
      <w:r>
        <w:t xml:space="preserve"> (Mencio 7A26; fuente secundaria)</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t xml:space="preserve"> [original: «Since I cannot get men pursuing the due medium, to whom I might communicate my instructions, I must find the ardent and the cautiously-decided.», en la traducción inglesa de James Legge]</w:t>
      </w:r>
      <w:r>
        <w:t xml:space="preserve"> (Analectas XIII, capítulo XXI de Legge; fuente secundaria)</w:t>
      </w:r>
      <w:r>
        <w:t>.</w:t>
      </w:r>
    </w:p>
    <w:p>
      <w:pPr>
        <w:pStyle w:val="ListBullet"/>
      </w:pPr>
      <w:r>
        <w:rPr>
          <w:b/>
        </w:rPr>
        <w:t>En Persia se elige un polo.</w:t>
      </w:r>
      <w:r>
        <w:t xml:space="preserve"> «Entre estos dos los sabios eligieron bien, no así los necios»</w:t>
      </w:r>
      <w:r>
        <w:t xml:space="preserve"> [original: «And between these two the wise ones chose aright, the foolish not so.», en la traducción inglesa de avesta.org]</w:t>
      </w:r>
      <w:r>
        <w:t xml:space="preserve"> (Yasna 30:3; fuente secundaria)</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t>[doble polaridad: 30 pasajes de 11 tradiciones leídos en sus archivos el 9-oct-2026; Kiko, 9-oct: «por coherencia en el dial»; borrador B8]</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xml:space="preserve">). El número mide la posición, no si algo es bueno o malo. </w:t>
      </w:r>
      <w:r>
        <w:t>[00 PLAN GENERAL de 07, decisión 5; 04g, 5.1]</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t xml:space="preserve"> (Mt 20:25-26)</w:t>
      </w:r>
      <w:r>
        <w:t>; «Como el Hijo del hombre no vino para ser servido, sino para servir»</w:t>
      </w:r>
      <w:r>
        <w:t xml:space="preserve"> (Mt 20:28)</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t xml:space="preserve"> (Ez 34:2)</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t xml:space="preserve"> (Ez 34:4)</w:t>
      </w:r>
      <w:r>
        <w:t>. Y dice el centro: «Yo buscaré la perdida, y tornaré la amontada, y ligaré la perniquebrada, y corroboraré la enferma […]. Yo las apacentaré en juicio»</w:t>
      </w:r>
      <w:r>
        <w:t xml:space="preserve"> (Ez 34:16)</w:t>
      </w:r>
      <w:r>
        <w:t xml:space="preserve">. </w:t>
      </w:r>
      <w:r>
        <w:t>[Kiko, 8-oct (04m, apartado E); 04h, 3.3; Ezequiel 34 y Mateo 20 en la Reina-Valera 1909]</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Principio (</w:t>
            </w:r>
            <w:r>
              <w:rPr>
                <w:rFonts w:ascii="Segoe UI" w:hAnsi="Segoe UI" w:eastAsia="Segoe UI" w:cs="Segoe UI"/>
                <w:b/>
                <w:color w:val="1F1D1A"/>
                <w:sz w:val="18"/>
              </w:rPr>
              <w:t>3.2</w:t>
            </w:r>
            <w:r>
              <w:rPr>
                <w:rFonts w:ascii="Segoe UI" w:hAnsi="Segoe UI" w:eastAsia="Segoe UI" w:cs="Segoe UI"/>
                <w:b/>
                <w:color w:val="1F1D1A"/>
                <w:sz w:val="18"/>
              </w:rPr>
              <w:t>)</w:t>
            </w:r>
          </w:p>
        </w:tc>
        <w:tc>
          <w:tcPr>
            <w:tcW w:type="dxa" w:w="2296"/>
            <w:shd w:val="clear" w:color="auto" w:fill="F1EEE8"/>
          </w:tcPr>
          <w:p>
            <w:pPr>
              <w:spacing w:after="20" w:line="264" w:lineRule="auto"/>
            </w:pPr>
            <w:r>
              <w:rPr>
                <w:b/>
              </w:rPr>
            </w:r>
            <w:r>
              <w:rPr>
                <w:rFonts w:ascii="Segoe UI" w:hAnsi="Segoe UI" w:eastAsia="Segoe UI" w:cs="Segoe UI"/>
                <w:b/>
                <w:color w:val="1F1D1A"/>
                <w:sz w:val="18"/>
              </w:rPr>
              <w:t>Defecto (izquierda)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Exceso (derecha)</w:t>
            </w:r>
          </w:p>
        </w:tc>
      </w:tr>
      <w:tr>
        <w:tc>
          <w:tcPr>
            <w:tcW w:type="dxa" w:w="2296"/>
          </w:tcPr>
          <w:p>
            <w:pPr>
              <w:spacing w:after="20" w:line="264" w:lineRule="auto"/>
            </w:pPr>
            <w:r/>
            <w:r>
              <w:rPr>
                <w:rFonts w:ascii="Segoe UI" w:hAnsi="Segoe UI" w:eastAsia="Segoe UI" w:cs="Segoe UI"/>
                <w:b/>
                <w:color w:val="1F1D1A"/>
                <w:sz w:val="18"/>
              </w:rPr>
              <w:t>P1. El gobernante existe para el pueblo</w:t>
            </w:r>
          </w:p>
        </w:tc>
        <w:tc>
          <w:tcPr>
            <w:tcW w:type="dxa" w:w="2296"/>
          </w:tcPr>
          <w:p>
            <w:pPr>
              <w:spacing w:after="20" w:line="264" w:lineRule="auto"/>
            </w:pPr>
            <w:r/>
            <w:r>
              <w:rPr>
                <w:rFonts w:ascii="Segoe UI" w:hAnsi="Segoe UI" w:eastAsia="Segoe UI" w:cs="Segoe UI"/>
                <w:color w:val="1F1D1A"/>
                <w:sz w:val="18"/>
              </w:rPr>
              <w:t>No cuida ni cumple (el dial maestro)</w:t>
            </w:r>
          </w:p>
        </w:tc>
        <w:tc>
          <w:tcPr>
            <w:tcW w:type="dxa" w:w="2296"/>
          </w:tcPr>
          <w:p>
            <w:pPr>
              <w:spacing w:after="20" w:line="264" w:lineRule="auto"/>
            </w:pPr>
            <w:r/>
            <w:r>
              <w:rPr>
                <w:rFonts w:ascii="Segoe UI" w:hAnsi="Segoe UI" w:eastAsia="Segoe UI" w:cs="Segoe UI"/>
                <w:color w:val="1F1D1A"/>
                <w:sz w:val="18"/>
              </w:rPr>
              <w:t>Servir: el que manda es el servidor</w:t>
            </w:r>
          </w:p>
        </w:tc>
        <w:tc>
          <w:tcPr>
            <w:tcW w:type="dxa" w:w="2296"/>
          </w:tcPr>
          <w:p>
            <w:pPr>
              <w:spacing w:after="20" w:line="264" w:lineRule="auto"/>
            </w:pPr>
            <w:r/>
            <w:r>
              <w:rPr>
                <w:rFonts w:ascii="Segoe UI" w:hAnsi="Segoe UI" w:eastAsia="Segoe UI" w:cs="Segoe UI"/>
                <w:color w:val="1F1D1A"/>
                <w:sz w:val="18"/>
              </w:rPr>
              <w:t>Se sirve: el pueblo débil para que el Estado sea fuerte; el rey tenido por deidad</w:t>
            </w:r>
          </w:p>
        </w:tc>
      </w:tr>
      <w:tr>
        <w:tc>
          <w:tcPr>
            <w:tcW w:type="dxa" w:w="2296"/>
          </w:tcPr>
          <w:p>
            <w:pPr>
              <w:spacing w:after="20" w:line="264" w:lineRule="auto"/>
            </w:pPr>
            <w:r/>
            <w:r>
              <w:rPr>
                <w:rFonts w:ascii="Segoe UI" w:hAnsi="Segoe UI" w:eastAsia="Segoe UI" w:cs="Segoe UI"/>
                <w:b/>
                <w:color w:val="1F1D1A"/>
                <w:sz w:val="18"/>
              </w:rPr>
              <w:t>P2. Impuestos moderados</w:t>
            </w:r>
          </w:p>
        </w:tc>
        <w:tc>
          <w:tcPr>
            <w:tcW w:type="dxa" w:w="2296"/>
          </w:tcPr>
          <w:p>
            <w:pPr>
              <w:spacing w:after="20" w:line="264" w:lineRule="auto"/>
            </w:pPr>
            <w:r/>
            <w:r>
              <w:rPr>
                <w:rFonts w:ascii="Segoe UI" w:hAnsi="Segoe UI" w:eastAsia="Segoe UI" w:cs="Segoe UI"/>
                <w:color w:val="1F1D1A"/>
                <w:sz w:val="18"/>
              </w:rPr>
              <w:t>El impuesto tan bajo que no sostiene lo común (Mencio lo rechaza también)</w:t>
            </w:r>
          </w:p>
        </w:tc>
        <w:tc>
          <w:tcPr>
            <w:tcW w:type="dxa" w:w="2296"/>
          </w:tcPr>
          <w:p>
            <w:pPr>
              <w:spacing w:after="20" w:line="264" w:lineRule="auto"/>
            </w:pPr>
            <w:r/>
            <w:r>
              <w:rPr>
                <w:rFonts w:ascii="Segoe UI" w:hAnsi="Segoe UI" w:eastAsia="Segoe UI" w:cs="Segoe UI"/>
                <w:color w:val="1F1D1A"/>
                <w:sz w:val="18"/>
              </w:rPr>
              <w:t>La medida justa</w:t>
            </w:r>
          </w:p>
        </w:tc>
        <w:tc>
          <w:tcPr>
            <w:tcW w:type="dxa" w:w="2296"/>
          </w:tcPr>
          <w:p>
            <w:pPr>
              <w:spacing w:after="20" w:line="264" w:lineRule="auto"/>
            </w:pPr>
            <w:r/>
            <w:r>
              <w:rPr>
                <w:rFonts w:ascii="Segoe UI" w:hAnsi="Segoe UI" w:eastAsia="Segoe UI" w:cs="Segoe UI"/>
                <w:color w:val="1F1D1A"/>
                <w:sz w:val="18"/>
              </w:rPr>
              <w:t>El pueblo pasa hambre porque los de arriba consumen demasiados impuestos</w:t>
            </w:r>
          </w:p>
        </w:tc>
      </w:tr>
      <w:tr>
        <w:tc>
          <w:tcPr>
            <w:tcW w:type="dxa" w:w="2296"/>
          </w:tcPr>
          <w:p>
            <w:pPr>
              <w:spacing w:after="20" w:line="264" w:lineRule="auto"/>
            </w:pPr>
            <w:r/>
            <w:r>
              <w:rPr>
                <w:rFonts w:ascii="Segoe UI" w:hAnsi="Segoe UI" w:eastAsia="Segoe UI" w:cs="Segoe UI"/>
                <w:b/>
                <w:color w:val="1F1D1A"/>
                <w:sz w:val="18"/>
              </w:rPr>
              <w:t>P3. No quitar al pueblo su tiempo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El reposo y el tiempo propio</w:t>
            </w:r>
          </w:p>
        </w:tc>
        <w:tc>
          <w:tcPr>
            <w:tcW w:type="dxa" w:w="2296"/>
          </w:tcPr>
          <w:p>
            <w:pPr>
              <w:spacing w:after="20" w:line="264" w:lineRule="auto"/>
            </w:pPr>
            <w:r/>
            <w:r>
              <w:rPr>
                <w:rFonts w:ascii="Segoe UI" w:hAnsi="Segoe UI" w:eastAsia="Segoe UI" w:cs="Segoe UI"/>
                <w:color w:val="1F1D1A"/>
                <w:sz w:val="18"/>
              </w:rPr>
              <w:t>Todos edifican y labran para los señores</w:t>
            </w:r>
          </w:p>
        </w:tc>
      </w:tr>
      <w:tr>
        <w:tc>
          <w:tcPr>
            <w:tcW w:type="dxa" w:w="2296"/>
          </w:tcPr>
          <w:p>
            <w:pPr>
              <w:spacing w:after="20" w:line="264" w:lineRule="auto"/>
            </w:pPr>
            <w:r/>
            <w:r>
              <w:rPr>
                <w:rFonts w:ascii="Segoe UI" w:hAnsi="Segoe UI" w:eastAsia="Segoe UI" w:cs="Segoe UI"/>
                <w:b/>
                <w:color w:val="1F1D1A"/>
                <w:sz w:val="18"/>
              </w:rPr>
              <w:t>P4. Pesas y medidas justas</w:t>
            </w:r>
          </w:p>
        </w:tc>
        <w:tc>
          <w:tcPr>
            <w:tcW w:type="dxa" w:w="2296"/>
          </w:tcPr>
          <w:p>
            <w:pPr>
              <w:spacing w:after="20" w:line="264" w:lineRule="auto"/>
            </w:pPr>
            <w:r/>
            <w:r>
              <w:rPr>
                <w:rFonts w:ascii="Segoe UI" w:hAnsi="Segoe UI" w:eastAsia="Segoe UI" w:cs="Segoe UI"/>
                <w:color w:val="1F1D1A"/>
                <w:sz w:val="18"/>
              </w:rPr>
              <w:t>Disminuir la medida</w:t>
            </w:r>
          </w:p>
        </w:tc>
        <w:tc>
          <w:tcPr>
            <w:tcW w:type="dxa" w:w="2296"/>
          </w:tcPr>
          <w:p>
            <w:pPr>
              <w:spacing w:after="20" w:line="264" w:lineRule="auto"/>
            </w:pPr>
            <w:r/>
            <w:r>
              <w:rPr>
                <w:rFonts w:ascii="Segoe UI" w:hAnsi="Segoe UI" w:eastAsia="Segoe UI" w:cs="Segoe UI"/>
                <w:color w:val="1F1D1A"/>
                <w:sz w:val="18"/>
              </w:rPr>
              <w:t>«Balanzas justas, pesas justas»</w:t>
            </w:r>
            <w:r>
              <w:rPr>
                <w:rFonts w:ascii="Segoe UI" w:hAnsi="Segoe UI" w:eastAsia="Segoe UI" w:cs="Segoe UI"/>
                <w:color w:val="1F1D1A"/>
                <w:sz w:val="18"/>
              </w:rPr>
              <w:t xml:space="preserve"> (Lv 19:36)</w:t>
            </w:r>
            <w:r>
              <w:rPr>
                <w:rFonts w:ascii="Segoe UI" w:hAnsi="Segoe UI" w:eastAsia="Segoe UI" w:cs="Segoe UI"/>
                <w:color w:val="1F1D1A"/>
                <w:sz w:val="18"/>
              </w:rPr>
              <w:t>; «la pesa cabal le agrada»</w:t>
            </w:r>
            <w:r>
              <w:rPr>
                <w:rFonts w:ascii="Segoe UI" w:hAnsi="Segoe UI" w:eastAsia="Segoe UI" w:cs="Segoe UI"/>
                <w:color w:val="1F1D1A"/>
                <w:sz w:val="18"/>
              </w:rPr>
              <w:t xml:space="preserve"> (Pr 11:1)</w:t>
            </w:r>
          </w:p>
        </w:tc>
        <w:tc>
          <w:tcPr>
            <w:tcW w:type="dxa" w:w="2296"/>
          </w:tcPr>
          <w:p>
            <w:pPr>
              <w:spacing w:after="20" w:line="264" w:lineRule="auto"/>
            </w:pPr>
            <w:r/>
            <w:r>
              <w:rPr>
                <w:rFonts w:ascii="Segoe UI" w:hAnsi="Segoe UI" w:eastAsia="Segoe UI" w:cs="Segoe UI"/>
                <w:color w:val="1F1D1A"/>
                <w:sz w:val="18"/>
              </w:rPr>
              <w:t>Añadir pesos a la balanza</w:t>
            </w:r>
          </w:p>
        </w:tc>
      </w:tr>
      <w:tr>
        <w:tc>
          <w:tcPr>
            <w:tcW w:type="dxa" w:w="2296"/>
          </w:tcPr>
          <w:p>
            <w:pPr>
              <w:spacing w:after="20" w:line="264" w:lineRule="auto"/>
            </w:pPr>
            <w:r/>
            <w:r>
              <w:rPr>
                <w:rFonts w:ascii="Segoe UI" w:hAnsi="Segoe UI" w:eastAsia="Segoe UI" w:cs="Segoe UI"/>
                <w:b/>
                <w:color w:val="1F1D1A"/>
                <w:sz w:val="18"/>
              </w:rPr>
              <w:t>P5. Devolver lo confiado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Devolver íntegro</w:t>
            </w:r>
          </w:p>
        </w:tc>
        <w:tc>
          <w:tcPr>
            <w:tcW w:type="dxa" w:w="2296"/>
          </w:tcPr>
          <w:p>
            <w:pPr>
              <w:spacing w:after="20" w:line="264" w:lineRule="auto"/>
            </w:pPr>
            <w:r/>
            <w:r>
              <w:rPr>
                <w:rFonts w:ascii="Segoe UI" w:hAnsi="Segoe UI" w:eastAsia="Segoe UI" w:cs="Segoe UI"/>
                <w:color w:val="1F1D1A"/>
                <w:sz w:val="18"/>
              </w:rPr>
              <w:t>No devolver; hacerse robar la suma</w:t>
            </w:r>
          </w:p>
        </w:tc>
      </w:tr>
      <w:tr>
        <w:tc>
          <w:tcPr>
            <w:tcW w:type="dxa" w:w="2296"/>
          </w:tcPr>
          <w:p>
            <w:pPr>
              <w:spacing w:after="20" w:line="264" w:lineRule="auto"/>
            </w:pPr>
            <w:r/>
            <w:r>
              <w:rPr>
                <w:rFonts w:ascii="Segoe UI" w:hAnsi="Segoe UI" w:eastAsia="Segoe UI" w:cs="Segoe UI"/>
                <w:b/>
                <w:color w:val="1F1D1A"/>
                <w:sz w:val="18"/>
              </w:rPr>
              <w:t>P6. Contra la usura; perdonar las deudas</w:t>
            </w:r>
          </w:p>
        </w:tc>
        <w:tc>
          <w:tcPr>
            <w:tcW w:type="dxa" w:w="2296"/>
          </w:tcPr>
          <w:p>
            <w:pPr>
              <w:spacing w:after="20" w:line="264" w:lineRule="auto"/>
            </w:pPr>
            <w:r/>
            <w:r>
              <w:rPr>
                <w:rFonts w:ascii="Segoe UI" w:hAnsi="Segoe UI" w:eastAsia="Segoe UI" w:cs="Segoe UI"/>
                <w:i/>
                <w:color w:val="1F1D1A"/>
                <w:sz w:val="18"/>
              </w:rPr>
              <w:t xml:space="preserve">Se trata aparte, en </w:t>
            </w:r>
            <w:r>
              <w:rPr>
                <w:rFonts w:ascii="Segoe UI" w:hAnsi="Segoe UI" w:eastAsia="Segoe UI" w:cs="Segoe UI"/>
                <w:i/>
                <w:color w:val="1F1D1A"/>
                <w:sz w:val="18"/>
              </w:rPr>
              <w:t>3.3</w:t>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b/>
                <w:color w:val="1F1D1A"/>
                <w:sz w:val="18"/>
              </w:rPr>
              <w:t>P7. Cada uno responde de lo suyo</w:t>
            </w:r>
          </w:p>
        </w:tc>
        <w:tc>
          <w:tcPr>
            <w:tcW w:type="dxa" w:w="2296"/>
          </w:tcPr>
          <w:p>
            <w:pPr>
              <w:spacing w:after="20" w:line="264" w:lineRule="auto"/>
            </w:pPr>
            <w:r/>
            <w:r>
              <w:rPr>
                <w:rFonts w:ascii="Segoe UI" w:hAnsi="Segoe UI" w:eastAsia="Segoe UI" w:cs="Segoe UI"/>
                <w:color w:val="1F1D1A"/>
                <w:sz w:val="18"/>
              </w:rPr>
              <w:t>Absolver al culpable: justificar al impío</w:t>
            </w:r>
            <w:r>
              <w:rPr>
                <w:rFonts w:ascii="Segoe UI" w:hAnsi="Segoe UI" w:eastAsia="Segoe UI" w:cs="Segoe UI"/>
                <w:color w:val="1F1D1A"/>
                <w:sz w:val="18"/>
              </w:rPr>
              <w:t xml:space="preserve"> (Pr 17:15)</w:t>
            </w:r>
          </w:p>
        </w:tc>
        <w:tc>
          <w:tcPr>
            <w:tcW w:type="dxa" w:w="2296"/>
          </w:tcPr>
          <w:p>
            <w:pPr>
              <w:spacing w:after="20" w:line="264" w:lineRule="auto"/>
            </w:pPr>
            <w:r/>
            <w:r>
              <w:rPr>
                <w:rFonts w:ascii="Segoe UI" w:hAnsi="Segoe UI" w:eastAsia="Segoe UI" w:cs="Segoe UI"/>
                <w:color w:val="1F1D1A"/>
                <w:sz w:val="18"/>
              </w:rPr>
              <w:t>Cada uno por su propio pecado; examinar antes de castigar</w:t>
            </w:r>
          </w:p>
        </w:tc>
        <w:tc>
          <w:tcPr>
            <w:tcW w:type="dxa" w:w="2296"/>
          </w:tcPr>
          <w:p>
            <w:pPr>
              <w:spacing w:after="20" w:line="264" w:lineRule="auto"/>
            </w:pPr>
            <w:r/>
            <w:r>
              <w:rPr>
                <w:rFonts w:ascii="Segoe UI" w:hAnsi="Segoe UI" w:eastAsia="Segoe UI" w:cs="Segoe UI"/>
                <w:color w:val="1F1D1A"/>
                <w:sz w:val="18"/>
              </w:rPr>
              <w:t>La culpa compartida: castigar al hijo por el padre</w:t>
            </w:r>
          </w:p>
        </w:tc>
      </w:tr>
      <w:tr>
        <w:tc>
          <w:tcPr>
            <w:tcW w:type="dxa" w:w="2296"/>
          </w:tcPr>
          <w:p>
            <w:pPr>
              <w:spacing w:after="20" w:line="264" w:lineRule="auto"/>
            </w:pPr>
            <w:r/>
            <w:r>
              <w:rPr>
                <w:rFonts w:ascii="Segoe UI" w:hAnsi="Segoe UI" w:eastAsia="Segoe UI" w:cs="Segoe UI"/>
                <w:b/>
                <w:color w:val="1F1D1A"/>
                <w:sz w:val="18"/>
              </w:rPr>
              <w:t>P8. El castigo no es un negocio</w:t>
            </w:r>
          </w:p>
        </w:tc>
        <w:tc>
          <w:tcPr>
            <w:tcW w:type="dxa" w:w="2296"/>
          </w:tcPr>
          <w:p>
            <w:pPr>
              <w:spacing w:after="20" w:line="264" w:lineRule="auto"/>
            </w:pPr>
            <w:r/>
            <w:r>
              <w:rPr>
                <w:rFonts w:ascii="Segoe UI" w:hAnsi="Segoe UI" w:eastAsia="Segoe UI" w:cs="Segoe UI"/>
                <w:color w:val="1F1D1A"/>
                <w:sz w:val="18"/>
              </w:rPr>
              <w:t>No ejecutar la sentencia a tiempo</w:t>
            </w:r>
            <w:r>
              <w:rPr>
                <w:rFonts w:ascii="Segoe UI" w:hAnsi="Segoe UI" w:eastAsia="Segoe UI" w:cs="Segoe UI"/>
                <w:color w:val="1F1D1A"/>
                <w:sz w:val="18"/>
              </w:rPr>
              <w:t xml:space="preserve"> (Ecl 8:11)</w:t>
            </w:r>
          </w:p>
        </w:tc>
        <w:tc>
          <w:tcPr>
            <w:tcW w:type="dxa" w:w="2296"/>
          </w:tcPr>
          <w:p>
            <w:pPr>
              <w:spacing w:after="20" w:line="264" w:lineRule="auto"/>
            </w:pPr>
            <w:r/>
            <w:r>
              <w:rPr>
                <w:rFonts w:ascii="Segoe UI" w:hAnsi="Segoe UI" w:eastAsia="Segoe UI" w:cs="Segoe UI"/>
                <w:color w:val="1F1D1A"/>
                <w:sz w:val="18"/>
              </w:rPr>
              <w:t>Castigar para quitar el mal, no la hacienda</w:t>
            </w:r>
          </w:p>
        </w:tc>
        <w:tc>
          <w:tcPr>
            <w:tcW w:type="dxa" w:w="2296"/>
          </w:tcPr>
          <w:p>
            <w:pPr>
              <w:spacing w:after="20" w:line="264" w:lineRule="auto"/>
            </w:pPr>
            <w:r/>
            <w:r>
              <w:rPr>
                <w:rFonts w:ascii="Segoe UI" w:hAnsi="Segoe UI" w:eastAsia="Segoe UI" w:cs="Segoe UI"/>
                <w:color w:val="1F1D1A"/>
                <w:sz w:val="18"/>
              </w:rPr>
              <w:t>Las multas como ingreso</w:t>
            </w:r>
          </w:p>
        </w:tc>
      </w:tr>
      <w:tr>
        <w:tc>
          <w:tcPr>
            <w:tcW w:type="dxa" w:w="2296"/>
          </w:tcPr>
          <w:p>
            <w:pPr>
              <w:spacing w:after="20" w:line="264" w:lineRule="auto"/>
            </w:pPr>
            <w:r/>
            <w:r>
              <w:rPr>
                <w:rFonts w:ascii="Segoe UI" w:hAnsi="Segoe UI" w:eastAsia="Segoe UI" w:cs="Segoe UI"/>
                <w:b/>
                <w:color w:val="1F1D1A"/>
                <w:sz w:val="18"/>
              </w:rPr>
              <w:t>P9. Más leyes, más pobreza</w:t>
            </w:r>
          </w:p>
        </w:tc>
        <w:tc>
          <w:tcPr>
            <w:tcW w:type="dxa" w:w="2296"/>
          </w:tcPr>
          <w:p>
            <w:pPr>
              <w:spacing w:after="20" w:line="264" w:lineRule="auto"/>
            </w:pPr>
            <w:r/>
            <w:r>
              <w:rPr>
                <w:rFonts w:ascii="Segoe UI" w:hAnsi="Segoe UI" w:eastAsia="Segoe UI" w:cs="Segoe UI"/>
                <w:color w:val="1F1D1A"/>
                <w:sz w:val="18"/>
              </w:rPr>
              <w:t>Sin leyes: todo según la voluntad o el capricho del rey</w:t>
            </w:r>
          </w:p>
        </w:tc>
        <w:tc>
          <w:tcPr>
            <w:tcW w:type="dxa" w:w="2296"/>
          </w:tcPr>
          <w:p>
            <w:pPr>
              <w:spacing w:after="20" w:line="264" w:lineRule="auto"/>
            </w:pPr>
            <w:r/>
            <w:r>
              <w:rPr>
                <w:rFonts w:ascii="Segoe UI" w:hAnsi="Segoe UI" w:eastAsia="Segoe UI" w:cs="Segoe UI"/>
                <w:color w:val="1F1D1A"/>
                <w:sz w:val="18"/>
              </w:rPr>
              <w:t>La medida justa de leyes</w:t>
            </w:r>
          </w:p>
        </w:tc>
        <w:tc>
          <w:tcPr>
            <w:tcW w:type="dxa" w:w="2296"/>
          </w:tcPr>
          <w:p>
            <w:pPr>
              <w:spacing w:after="20" w:line="264" w:lineRule="auto"/>
            </w:pPr>
            <w:r/>
            <w:r>
              <w:rPr>
                <w:rFonts w:ascii="Segoe UI" w:hAnsi="Segoe UI" w:eastAsia="Segoe UI" w:cs="Segoe UI"/>
                <w:color w:val="1F1D1A"/>
                <w:sz w:val="18"/>
              </w:rPr>
              <w:t>Cuantas más prohibiciones, más pobre el pueblo</w:t>
            </w:r>
          </w:p>
        </w:tc>
      </w:tr>
    </w:tbl>
    <w:p>
      <w:pPr>
        <w:spacing w:after="80"/>
      </w:pP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t xml:space="preserve"> (Pr 17:15)</w:t>
      </w:r>
      <w:r>
        <w:t>. Y el de P8 lo dice el Eclesiastés: «Porque no se ejecuta luego sentencia sobre la mala obra, el corazón de los hijos de los hombres está en ellos lleno para hacer mal»</w:t>
      </w:r>
      <w:r>
        <w:t xml:space="preserve"> (Ecl 8:11)</w:t>
      </w:r>
      <w:r>
        <w:t>. El defecto de P3 y el de P5 se buscaron en las fuentes ya leídas y no se rellenan: la pereza del perezoso</w:t>
      </w:r>
      <w:r>
        <w:t xml:space="preserve"> (Pr 6:9-11)</w:t>
      </w:r>
      <w:r>
        <w:t xml:space="preserve"> es de quien trabaja, no de quien manda, y el caso del arma que no se devuelve a quien ha perdido la razón</w:t>
      </w:r>
      <w:r>
        <w:t xml:space="preserve"> (Platón, República I, 331c)</w:t>
      </w:r>
      <w:r>
        <w:t xml:space="preserve"> es una excepción a la regla de devolver, no un vicio. </w:t>
      </w:r>
      <w:r>
        <w:t>[04h, 3.3; 04p, fila 31]</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xml:space="preserve">: no es una opinión sobre cómo debería ser el Estado, sino la medida de la distancia entre lo creado y el centro que ya estaba escrito. </w:t>
      </w:r>
      <w:r>
        <w:t>[04o, puntos 1 y 4; 3.2, P4; 04g, 5.1]</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t>[04g, 5.1; Kiko, 8-oct]</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 xml:space="preserve">). </w:t>
      </w:r>
      <w:r>
        <w:t>[04c, apartado 4, «Tres medidas»; Kiko, 8-oct: «sí a las dos»]</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r>
        <w:t>[palabras de Kiko, 6-oct-2026 (libreta de flecos, sección 6: «Lo global y lo particular»); 03b, A7; Ley 39/2015, art. 35, ya en 10.4]</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t>[libreta 78, apartado 3; 04g, 5.1; Kiko, 8-oct: «sí»]</w:t>
      </w:r>
    </w:p>
    <w:p>
      <w:r>
        <w:rPr>
          <w:b/>
        </w:rPr>
        <w:t>El diseño del piloto.</w:t>
      </w:r>
      <w:r>
        <w:t xml:space="preserve"> Las palabras que la Constitución promete en su artículo 1.1, «la libertad, la justicia, la igualdad y el pluralismo político»</w:t>
      </w:r>
      <w:r>
        <w:t xml:space="preserve"> (Constitución, art. 1.1)</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xml:space="preserve">);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 </w:t>
      </w:r>
      <w:r>
        <w:t>[libreta 78, apartado 4; Constitución leída en el BOE]</w:t>
      </w:r>
    </w:p>
    <w:p>
      <w:r>
        <w:rPr>
          <w:b/>
        </w:rPr>
        <w:t>Lo que el piloto es y lo que no.</w:t>
      </w:r>
      <w:r>
        <w:t xml:space="preserve"> Es la prueba de que el método se puede aplicar sin trampa; no es el veredicto sobre el Estado, que ya está dicho en el dictamen (</w:t>
      </w:r>
      <w:r>
        <w:t>9</w:t>
      </w:r>
      <w:r>
        <w:t xml:space="preserve">). Si una dimensión no cumple las cuatro condiciones, se queda sin número y va como lectura del autor. </w:t>
      </w:r>
      <w:r>
        <w:t>[libreta 78, apartados 3 y 7]</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t xml:space="preserve"> (Gn 1:10)</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Palabra</w:t>
            </w:r>
          </w:p>
        </w:tc>
        <w:tc>
          <w:tcPr>
            <w:tcW w:type="dxa" w:w="2296"/>
            <w:shd w:val="clear" w:color="auto" w:fill="F1EEE8"/>
          </w:tcPr>
          <w:p>
            <w:pPr>
              <w:spacing w:after="20" w:line="264" w:lineRule="auto"/>
            </w:pPr>
            <w:r>
              <w:rPr>
                <w:b/>
              </w:rPr>
            </w:r>
            <w:r>
              <w:rPr>
                <w:rFonts w:ascii="Segoe UI" w:hAnsi="Segoe UI" w:eastAsia="Segoe UI" w:cs="Segoe UI"/>
                <w:b/>
                <w:color w:val="1F1D1A"/>
                <w:sz w:val="18"/>
              </w:rPr>
              <w:t>Izquierda: no cuida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Derecha: se sirve</w:t>
            </w:r>
          </w:p>
        </w:tc>
      </w:tr>
      <w:tr>
        <w:tc>
          <w:tcPr>
            <w:tcW w:type="dxa" w:w="2296"/>
          </w:tcPr>
          <w:p>
            <w:pPr>
              <w:spacing w:after="20" w:line="264" w:lineRule="auto"/>
            </w:pPr>
            <w:r/>
            <w:r>
              <w:rPr>
                <w:rFonts w:ascii="Segoe UI" w:hAnsi="Segoe UI" w:eastAsia="Segoe UI" w:cs="Segoe UI"/>
                <w:color w:val="1F1D1A"/>
                <w:sz w:val="18"/>
              </w:rPr>
              <w:t>Libertad</w:t>
            </w:r>
          </w:p>
        </w:tc>
        <w:tc>
          <w:tcPr>
            <w:tcW w:type="dxa" w:w="2296"/>
          </w:tcPr>
          <w:p>
            <w:pPr>
              <w:spacing w:after="20" w:line="264" w:lineRule="auto"/>
            </w:pPr>
            <w:r/>
            <w:r>
              <w:rPr>
                <w:rFonts w:ascii="Segoe UI" w:hAnsi="Segoe UI" w:eastAsia="Segoe UI" w:cs="Segoe UI"/>
                <w:color w:val="1F1D1A"/>
                <w:sz w:val="18"/>
              </w:rPr>
              <w:t>El fuerte hace lo que quiere y el débil no tiene a quién acudir</w:t>
            </w:r>
          </w:p>
        </w:tc>
        <w:tc>
          <w:tcPr>
            <w:tcW w:type="dxa" w:w="2296"/>
          </w:tcPr>
          <w:p>
            <w:pPr>
              <w:spacing w:after="20" w:line="264" w:lineRule="auto"/>
            </w:pPr>
            <w:r/>
            <w:r>
              <w:rPr>
                <w:rFonts w:ascii="Segoe UI" w:hAnsi="Segoe UI" w:eastAsia="Segoe UI" w:cs="Segoe UI"/>
                <w:color w:val="1F1D1A"/>
                <w:sz w:val="18"/>
              </w:rPr>
              <w:t>El poder la garantiza y solo pone el límite que protege a los demás</w:t>
            </w:r>
          </w:p>
        </w:tc>
        <w:tc>
          <w:tcPr>
            <w:tcW w:type="dxa" w:w="2296"/>
          </w:tcPr>
          <w:p>
            <w:pPr>
              <w:spacing w:after="20" w:line="264" w:lineRule="auto"/>
            </w:pPr>
            <w:r/>
            <w:r>
              <w:rPr>
                <w:rFonts w:ascii="Segoe UI" w:hAnsi="Segoe UI" w:eastAsia="Segoe UI" w:cs="Segoe UI"/>
                <w:color w:val="1F1D1A"/>
                <w:sz w:val="18"/>
              </w:rPr>
              <w:t>La tutela, el poder decide por el ciudadano, pide permiso para todo y castiga sin juez</w:t>
            </w:r>
          </w:p>
        </w:tc>
      </w:tr>
      <w:tr>
        <w:tc>
          <w:tcPr>
            <w:tcW w:type="dxa" w:w="2296"/>
          </w:tcPr>
          <w:p>
            <w:pPr>
              <w:spacing w:after="20" w:line="264" w:lineRule="auto"/>
            </w:pPr>
            <w:r/>
            <w:r>
              <w:rPr>
                <w:rFonts w:ascii="Segoe UI" w:hAnsi="Segoe UI" w:eastAsia="Segoe UI" w:cs="Segoe UI"/>
                <w:color w:val="1F1D1A"/>
                <w:sz w:val="18"/>
              </w:rPr>
              <w:t>Justicia</w:t>
            </w:r>
          </w:p>
        </w:tc>
        <w:tc>
          <w:tcPr>
            <w:tcW w:type="dxa" w:w="2296"/>
          </w:tcPr>
          <w:p>
            <w:pPr>
              <w:spacing w:after="20" w:line="264" w:lineRule="auto"/>
            </w:pPr>
            <w:r/>
            <w:r>
              <w:rPr>
                <w:rFonts w:ascii="Segoe UI" w:hAnsi="Segoe UI" w:eastAsia="Segoe UI" w:cs="Segoe UI"/>
                <w:color w:val="1F1D1A"/>
                <w:sz w:val="18"/>
              </w:rPr>
              <w:t>La justicia que no llega, plazos que la vacían, condenas que no se cumplen, el poder que no se corrige</w:t>
            </w:r>
          </w:p>
        </w:tc>
        <w:tc>
          <w:tcPr>
            <w:tcW w:type="dxa" w:w="2296"/>
          </w:tcPr>
          <w:p>
            <w:pPr>
              <w:spacing w:after="20" w:line="264" w:lineRule="auto"/>
            </w:pPr>
            <w:r/>
            <w:r>
              <w:rPr>
                <w:rFonts w:ascii="Segoe UI" w:hAnsi="Segoe UI" w:eastAsia="Segoe UI" w:cs="Segoe UI"/>
                <w:color w:val="1F1D1A"/>
                <w:sz w:val="18"/>
              </w:rPr>
              <w:t>A cada uno lo suyo, a tiempo y con la misma ley</w:t>
            </w:r>
          </w:p>
        </w:tc>
        <w:tc>
          <w:tcPr>
            <w:tcW w:type="dxa" w:w="2296"/>
          </w:tcPr>
          <w:p>
            <w:pPr>
              <w:spacing w:after="20" w:line="264" w:lineRule="auto"/>
            </w:pPr>
            <w:r/>
            <w:r>
              <w:rPr>
                <w:rFonts w:ascii="Segoe UI" w:hAnsi="Segoe UI" w:eastAsia="Segoe UI" w:cs="Segoe UI"/>
                <w:color w:val="1F1D1A"/>
                <w:sz w:val="18"/>
              </w:rPr>
              <w:t>La justicia como instrumento, se persigue al incómodo y se perdona al propio</w:t>
            </w:r>
          </w:p>
        </w:tc>
      </w:tr>
      <w:tr>
        <w:tc>
          <w:tcPr>
            <w:tcW w:type="dxa" w:w="2296"/>
          </w:tcPr>
          <w:p>
            <w:pPr>
              <w:spacing w:after="20" w:line="264" w:lineRule="auto"/>
            </w:pPr>
            <w:r/>
            <w:r>
              <w:rPr>
                <w:rFonts w:ascii="Segoe UI" w:hAnsi="Segoe UI" w:eastAsia="Segoe UI" w:cs="Segoe UI"/>
                <w:color w:val="1F1D1A"/>
                <w:sz w:val="18"/>
              </w:rPr>
              <w:t>Igualdad</w:t>
            </w:r>
          </w:p>
        </w:tc>
        <w:tc>
          <w:tcPr>
            <w:tcW w:type="dxa" w:w="2296"/>
          </w:tcPr>
          <w:p>
            <w:pPr>
              <w:spacing w:after="20" w:line="264" w:lineRule="auto"/>
            </w:pPr>
            <w:r/>
            <w:r>
              <w:rPr>
                <w:rFonts w:ascii="Segoe UI" w:hAnsi="Segoe UI" w:eastAsia="Segoe UI" w:cs="Segoe UI"/>
                <w:color w:val="1F1D1A"/>
                <w:sz w:val="18"/>
              </w:rPr>
              <w:t>El abandono, el que menos tiene queda fuera</w:t>
            </w:r>
          </w:p>
        </w:tc>
        <w:tc>
          <w:tcPr>
            <w:tcW w:type="dxa" w:w="2296"/>
          </w:tcPr>
          <w:p>
            <w:pPr>
              <w:spacing w:after="20" w:line="264" w:lineRule="auto"/>
            </w:pPr>
            <w:r/>
            <w:r>
              <w:rPr>
                <w:rFonts w:ascii="Segoe UI" w:hAnsi="Segoe UI" w:eastAsia="Segoe UI" w:cs="Segoe UI"/>
                <w:color w:val="1F1D1A"/>
                <w:sz w:val="18"/>
              </w:rPr>
              <w:t>La misma ley para todos, sin privilegio y sin abandono</w:t>
            </w:r>
          </w:p>
        </w:tc>
        <w:tc>
          <w:tcPr>
            <w:tcW w:type="dxa" w:w="2296"/>
          </w:tcPr>
          <w:p>
            <w:pPr>
              <w:spacing w:after="20" w:line="264" w:lineRule="auto"/>
            </w:pPr>
            <w:r/>
            <w:r>
              <w:rPr>
                <w:rFonts w:ascii="Segoe UI" w:hAnsi="Segoe UI" w:eastAsia="Segoe UI" w:cs="Segoe UI"/>
                <w:color w:val="1F1D1A"/>
                <w:sz w:val="18"/>
              </w:rPr>
              <w:t>El privilegio, el poder se exime de la ley común y reparte según quién</w:t>
            </w:r>
          </w:p>
        </w:tc>
      </w:tr>
      <w:tr>
        <w:tc>
          <w:tcPr>
            <w:tcW w:type="dxa" w:w="2296"/>
          </w:tcPr>
          <w:p>
            <w:pPr>
              <w:spacing w:after="20" w:line="264" w:lineRule="auto"/>
            </w:pPr>
            <w:r/>
            <w:r>
              <w:rPr>
                <w:rFonts w:ascii="Segoe UI" w:hAnsi="Segoe UI" w:eastAsia="Segoe UI" w:cs="Segoe UI"/>
                <w:color w:val="1F1D1A"/>
                <w:sz w:val="18"/>
              </w:rPr>
              <w:t>Pluralismo político</w:t>
            </w:r>
          </w:p>
        </w:tc>
        <w:tc>
          <w:tcPr>
            <w:tcW w:type="dxa" w:w="2296"/>
          </w:tcPr>
          <w:p>
            <w:pPr>
              <w:spacing w:after="20" w:line="264" w:lineRule="auto"/>
            </w:pPr>
            <w:r/>
            <w:r>
              <w:rPr>
                <w:rFonts w:ascii="Segoe UI" w:hAnsi="Segoe UI" w:eastAsia="Segoe UI" w:cs="Segoe UI"/>
                <w:color w:val="1F1D1A"/>
                <w:sz w:val="18"/>
              </w:rPr>
              <w:t>La voz sin cauce, nadie recoge lo que el ciudadano dice</w:t>
            </w:r>
          </w:p>
        </w:tc>
        <w:tc>
          <w:tcPr>
            <w:tcW w:type="dxa" w:w="2296"/>
          </w:tcPr>
          <w:p>
            <w:pPr>
              <w:spacing w:after="20" w:line="264" w:lineRule="auto"/>
            </w:pPr>
            <w:r/>
            <w:r>
              <w:rPr>
                <w:rFonts w:ascii="Segoe UI" w:hAnsi="Segoe UI" w:eastAsia="Segoe UI" w:cs="Segoe UI"/>
                <w:color w:val="1F1D1A"/>
                <w:sz w:val="18"/>
              </w:rPr>
              <w:t>Todas las voces con las mismas reglas, y decide quien tiene el mandato</w:t>
            </w:r>
          </w:p>
        </w:tc>
        <w:tc>
          <w:tcPr>
            <w:tcW w:type="dxa" w:w="2296"/>
          </w:tcPr>
          <w:p>
            <w:pPr>
              <w:spacing w:after="20" w:line="264" w:lineRule="auto"/>
            </w:pPr>
            <w:r/>
            <w:r>
              <w:rPr>
                <w:rFonts w:ascii="Segoe UI" w:hAnsi="Segoe UI" w:eastAsia="Segoe UI" w:cs="Segoe UI"/>
                <w:color w:val="1F1D1A"/>
                <w:sz w:val="18"/>
              </w:rPr>
              <w:t>El cierre, las reglas protegen a quien ya está dentro</w:t>
            </w:r>
          </w:p>
        </w:tc>
      </w:tr>
      <w:tr>
        <w:tc>
          <w:tcPr>
            <w:tcW w:type="dxa" w:w="2296"/>
          </w:tcPr>
          <w:p>
            <w:pPr>
              <w:spacing w:after="20" w:line="264" w:lineRule="auto"/>
            </w:pPr>
            <w:r/>
            <w:r>
              <w:rPr>
                <w:rFonts w:ascii="Segoe UI" w:hAnsi="Segoe UI" w:eastAsia="Segoe UI" w:cs="Segoe UI"/>
                <w:color w:val="1F1D1A"/>
                <w:sz w:val="18"/>
              </w:rPr>
              <w:t>Dignidad</w:t>
            </w:r>
          </w:p>
        </w:tc>
        <w:tc>
          <w:tcPr>
            <w:tcW w:type="dxa" w:w="2296"/>
          </w:tcPr>
          <w:p>
            <w:pPr>
              <w:spacing w:after="20" w:line="264" w:lineRule="auto"/>
            </w:pPr>
            <w:r/>
            <w:r>
              <w:rPr>
                <w:rFonts w:ascii="Segoe UI" w:hAnsi="Segoe UI" w:eastAsia="Segoe UI" w:cs="Segoe UI"/>
                <w:color w:val="1F1D1A"/>
                <w:sz w:val="18"/>
              </w:rPr>
              <w:t>La persona como número o trámite</w:t>
            </w:r>
          </w:p>
        </w:tc>
        <w:tc>
          <w:tcPr>
            <w:tcW w:type="dxa" w:w="2296"/>
          </w:tcPr>
          <w:p>
            <w:pPr>
              <w:spacing w:after="20" w:line="264" w:lineRule="auto"/>
            </w:pPr>
            <w:r/>
            <w:r>
              <w:rPr>
                <w:rFonts w:ascii="Segoe UI" w:hAnsi="Segoe UI" w:eastAsia="Segoe UI" w:cs="Segoe UI"/>
                <w:color w:val="1F1D1A"/>
                <w:sz w:val="18"/>
              </w:rPr>
              <w:t>Cada persona vale por ser persona, antes del Estado, y se la trata como fin</w:t>
            </w:r>
          </w:p>
        </w:tc>
        <w:tc>
          <w:tcPr>
            <w:tcW w:type="dxa" w:w="2296"/>
          </w:tcPr>
          <w:p>
            <w:pPr>
              <w:spacing w:after="20" w:line="264" w:lineRule="auto"/>
            </w:pPr>
            <w:r/>
            <w:r>
              <w:rPr>
                <w:rFonts w:ascii="Segoe UI" w:hAnsi="Segoe UI" w:eastAsia="Segoe UI" w:cs="Segoe UI"/>
                <w:color w:val="1F1D1A"/>
                <w:sz w:val="18"/>
              </w:rPr>
              <w:t>La persona como medio del aparato</w:t>
            </w:r>
          </w:p>
        </w:tc>
      </w:tr>
    </w:tbl>
    <w:p>
      <w:pPr>
        <w:spacing w:after="80"/>
      </w:pPr>
    </w:p>
    <w:p>
      <w:r>
        <w:rPr>
          <w:b/>
        </w:rPr>
        <w:t>Lo que sostiene cada flecha</w:t>
      </w:r>
      <w:r>
        <w:t xml:space="preserve"> (solo lo que la obra ya tiene; cada dato, completo, en su apartado):</w:t>
      </w:r>
    </w:p>
    <w:p>
      <w:pPr>
        <w:pStyle w:val="ListBullet"/>
      </w:pPr>
      <w:r>
        <w:rPr>
          <w:b/>
        </w:rPr>
        <w:t>Libertad, la presunción en lo sancionador: se aleja por exceso.</w:t>
      </w:r>
      <w:r>
        <w:t xml:space="preserve"> La ley la reconoce, pero donde la práctica invierte la carga de la prueba hay que reclamarla caso por caso (</w:t>
      </w:r>
      <w:r>
        <w:t>7.5</w:t>
      </w:r>
      <w:r>
        <w:t>, caso 3); y la palabra de la autoridad hace prueba (</w:t>
      </w:r>
      <w:r>
        <w:t>D.13</w:t>
      </w:r>
      <w:r>
        <w:t>, n.º 3).</w:t>
      </w:r>
    </w:p>
    <w:p>
      <w:pPr>
        <w:pStyle w:val="ListBullet"/>
      </w:pPr>
      <w:r>
        <w:rPr>
          <w:b/>
        </w:rPr>
        <w:t>Libertad, el silencio cuando el ciudadano pide para sí: cerca.</w:t>
      </w:r>
      <w:r>
        <w:t xml:space="preserve"> Si vence el plazo sin resolución, la regla general es que el silencio le da la razón (</w:t>
      </w:r>
      <w:r>
        <w:t>D.13</w:t>
      </w:r>
      <w:r>
        <w:t>).</w:t>
      </w:r>
    </w:p>
    <w:p>
      <w:pPr>
        <w:pStyle w:val="ListBullet"/>
      </w:pPr>
      <w:r>
        <w:rPr>
          <w:b/>
        </w:rPr>
        <w:t>Libertad, el silencio cuando el ciudadano pregunta: se aleja por defecto.</w:t>
      </w:r>
      <w:r>
        <w:t xml:space="preserve"> En la petición y en el acceso a la información, el silencio dice no (</w:t>
      </w:r>
      <w:r>
        <w:t>10.4</w:t>
      </w:r>
      <w:r>
        <w:t xml:space="preserve">; </w:t>
      </w:r>
      <w:r>
        <w:t>D.13</w:t>
      </w:r>
      <w:r>
        <w:t>, n.º 7), y las reclamaciones de transparencia porque la Administración no contestó en plazo van a más cada año (</w:t>
      </w:r>
      <w:r>
        <w:t>A.5</w:t>
      </w:r>
      <w:r>
        <w:t>, art. 105.b).</w:t>
      </w:r>
    </w:p>
    <w:p>
      <w:pPr>
        <w:pStyle w:val="ListBullet"/>
      </w:pPr>
      <w:r>
        <w:rPr>
          <w:b/>
        </w:rPr>
        <w:t>Justicia, los plazos: se aleja por defecto.</w:t>
      </w:r>
      <w:r>
        <w:t xml:space="preserve"> Crecen los asuntos penales pendientes, el órgano de gobierno de los jueces no tiene datos de lo que dura de verdad un proceso, y el Tribunal Europeo de Derechos Humanos condenó a España por la lentitud del Constitucional (</w:t>
      </w:r>
      <w:r>
        <w:t>A.7</w:t>
      </w:r>
      <w:r>
        <w:t>, art. 120.3).</w:t>
      </w:r>
    </w:p>
    <w:p>
      <w:pPr>
        <w:pStyle w:val="ListBullet"/>
      </w:pPr>
      <w:r>
        <w:rPr>
          <w:b/>
        </w:rPr>
        <w:t>Justicia, la justicia gratuita: se aleja por defecto.</w:t>
      </w:r>
      <w:r>
        <w:t xml:space="preserve"> El turno de oficio está en huelga indefinida, sin resolver, y una comunidad tardó diecisiete años en actualizar lo que le paga (</w:t>
      </w:r>
      <w:r>
        <w:t>A.7</w:t>
      </w:r>
      <w:r>
        <w:t>, art. 119).</w:t>
      </w:r>
    </w:p>
    <w:p>
      <w:pPr>
        <w:pStyle w:val="ListBullet"/>
      </w:pPr>
      <w:r>
        <w:rPr>
          <w:b/>
        </w:rPr>
        <w:t>Justicia, la reparación del error judicial: se aleja por defecto.</w:t>
      </w:r>
      <w:r>
        <w:t xml:space="preserve"> Se pide un error evidente, en un plazo corto y con riesgo de pagar las costas, y no se publica cuántas veces se concede (</w:t>
      </w:r>
      <w:r>
        <w:t>A.7</w:t>
      </w:r>
      <w:r>
        <w:t>, art. 121).</w:t>
      </w:r>
    </w:p>
    <w:p>
      <w:pPr>
        <w:pStyle w:val="ListBullet"/>
      </w:pPr>
      <w:r>
        <w:rPr>
          <w:b/>
        </w:rPr>
        <w:t>Justicia, el gobierno de los jueces: se aleja por defecto.</w:t>
      </w:r>
      <w:r>
        <w:t xml:space="preserve"> Su órgano de gobierno estuvo cinco años y medio con el mandato caducado: el poder que no se corrige (</w:t>
      </w:r>
      <w:r>
        <w:t>A.7</w:t>
      </w:r>
      <w:r>
        <w:t xml:space="preserve">, art. 122; </w:t>
      </w:r>
      <w:r>
        <w:t>7.4</w:t>
      </w:r>
      <w:r>
        <w:t>).</w:t>
      </w:r>
    </w:p>
    <w:p>
      <w:pPr>
        <w:pStyle w:val="ListBullet"/>
      </w:pPr>
      <w:r>
        <w:rPr>
          <w:b/>
        </w:rPr>
        <w:t>Igualdad, los aforados: se aleja por exceso.</w:t>
      </w:r>
      <w:r>
        <w:t xml:space="preserve"> A los aforados, en su mayoría de las fuerzas de seguridad, los juzga un tribunal distinto del de los demás, y la única cifra oficial se dio de palabra en el Congreso (</w:t>
      </w:r>
      <w:r>
        <w:t>8.5</w:t>
      </w:r>
      <w:r>
        <w:t xml:space="preserve">, n.º 8; </w:t>
      </w:r>
      <w:r>
        <w:t>C.1</w:t>
      </w:r>
      <w:r>
        <w:t>).</w:t>
      </w:r>
    </w:p>
    <w:p>
      <w:pPr>
        <w:pStyle w:val="ListBullet"/>
      </w:pPr>
      <w:r>
        <w:rPr>
          <w:b/>
        </w:rPr>
        <w:t>Igualdad, la pobreza infantil: se aleja por defecto.</w:t>
      </w:r>
      <w:r>
        <w:t xml:space="preserve"> Los menores están más en riesgo de pobreza o exclusión que el conjunto, y España es el país de la Unión que menos la reduce con transferencias (</w:t>
      </w:r>
      <w:r>
        <w:t>7.5</w:t>
      </w:r>
      <w:r>
        <w:t xml:space="preserve">, caso 5; </w:t>
      </w:r>
      <w:r>
        <w:t>A.2</w:t>
      </w:r>
      <w:r>
        <w:t>, art. 39).</w:t>
      </w:r>
    </w:p>
    <w:p>
      <w:pPr>
        <w:pStyle w:val="ListBullet"/>
      </w:pPr>
      <w:r>
        <w:rPr>
          <w:b/>
        </w:rPr>
        <w:t>Igualdad, lo público frente a lo privado: sin flecha.</w:t>
      </w:r>
      <w:r>
        <w:t xml:space="preserve"> Las comparaciones de la obra son en bruto, sin ajustar por la cualificación ni la antigüedad (</w:t>
      </w:r>
      <w:r>
        <w:t>8.6</w:t>
      </w:r>
      <w:r>
        <w:t>), y no aíslan lo que se mide.</w:t>
      </w:r>
    </w:p>
    <w:p>
      <w:pPr>
        <w:pStyle w:val="ListBullet"/>
      </w:pPr>
      <w:r>
        <w:rPr>
          <w:b/>
        </w:rPr>
        <w:t>Pluralismo político, el umbral de entrada: se aleja por exceso.</w:t>
      </w:r>
      <w:r>
        <w:t xml:space="preserve"> El reparto y el umbral nacieron para corregir la fragmentación, y el Consejo de Estado escribió que la fórmula beneficia a los partidos grandes y perjudica a los pequeños (</w:t>
      </w:r>
      <w:r>
        <w:t>6.4</w:t>
      </w:r>
      <w:r>
        <w:t>). La otra cara: las barreras son legales, y las han avalado el Constitucional y el Tribunal Europeo de Derechos Humanos (</w:t>
      </w:r>
      <w:r>
        <w:t>capítulo 6</w:t>
      </w:r>
      <w:r>
        <w:t>, «Límite honesto de la prueba»).</w:t>
      </w:r>
    </w:p>
    <w:p>
      <w:pPr>
        <w:pStyle w:val="ListBullet"/>
      </w:pPr>
      <w:r>
        <w:rPr>
          <w:b/>
        </w:rPr>
        <w:t>Pluralismo político, las firmas: se aleja por exceso.</w:t>
      </w:r>
      <w:r>
        <w:t xml:space="preserve"> El partido que ya tuvo representación no presenta firmas, y el nuevo sí (</w:t>
      </w:r>
      <w:r>
        <w:t>6.4</w:t>
      </w:r>
      <w:r>
        <w:t>). La otra cara: el Tribunal Europeo de Derechos Humanos vio esa exigencia considerablemente por debajo del máximo que indica la Comisión de Venecia (</w:t>
      </w:r>
      <w:r>
        <w:t>6.4</w:t>
      </w:r>
      <w:r>
        <w:t>).</w:t>
      </w:r>
    </w:p>
    <w:p>
      <w:pPr>
        <w:pStyle w:val="ListBullet"/>
      </w:pPr>
      <w:r>
        <w:rPr>
          <w:b/>
        </w:rPr>
        <w:t>Pluralismo político, el dinero: se aleja por exceso.</w:t>
      </w:r>
      <w:r>
        <w:t xml:space="preserve"> Las subvenciones van a quien ya tiene escaños, y los adelantos, solo a quien ya las cobró: un partido nuevo parte de cero (</w:t>
      </w:r>
      <w:r>
        <w:t>6.4</w:t>
      </w:r>
      <w:r>
        <w:t>).</w:t>
      </w:r>
    </w:p>
    <w:p>
      <w:pPr>
        <w:pStyle w:val="ListBullet"/>
      </w:pPr>
      <w:r>
        <w:rPr>
          <w:b/>
        </w:rPr>
        <w:t>Dignidad, la persona como trámite: se aleja por defecto.</w:t>
      </w:r>
      <w:r>
        <w:t xml:space="preserve"> La ley deja elegir cómo tratar con la Administración, pero la cita previa obligatoria funciona como barrera, y el Defensor del Pueblo recomendó admitir escritos sin ella; y el tiempo de los trámites no entra en ninguna cifra oficial (</w:t>
      </w:r>
      <w:r>
        <w:t>8.4</w:t>
      </w:r>
      <w:r>
        <w:t>).</w:t>
      </w:r>
    </w:p>
    <w:p>
      <w:pPr>
        <w:pStyle w:val="ListBullet"/>
      </w:pPr>
      <w:r>
        <w:rPr>
          <w:b/>
        </w:rPr>
        <w:t>Dignidad, la persona como medio: sin flecha.</w:t>
      </w:r>
      <w:r>
        <w:t xml:space="preserve"> Lo que la obra mide es la carga (</w:t>
      </w:r>
      <w:r>
        <w:t>8.4</w:t>
      </w:r>
      <w:r>
        <w:t>); llamarla «medio» sería lectura, no dato.</w:t>
      </w:r>
    </w:p>
    <w:p>
      <w:r>
        <w:t>[fila 542 de 08/01: Kiko, 12-oct-2026, 13:4x, el piloto sin números; fila 619: los cinco centros aprobados, chat de 08.26, 17:2x; cada flecha, con lo que la obra ya tiene y su remisión]</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 xml:space="preserve">). </w:t>
      </w:r>
      <w:r>
        <w:t>[filas 542 y 619 de 08/01, 12-oct-2026; las flechas, arriba, cada una con su remisión]</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t>[04p, apartado 4; 04h, 3.3; 04n Q9; 04c, apartado 5]</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 xml:space="preserve">). </w:t>
      </w:r>
      <w:r>
        <w:t>[libreta 78, apartado 1; anexo del 4.3; 04p, fila 23: dentro del J, como lectura del autor y sin números]</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 </w:t>
      </w:r>
      <w:r>
        <w:t>[parlamento de la balanza (08/22), apartados 8, 10 y 11; J.5 a J.7]</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r>
        <w:t>[04h, 3.1]</w:t>
      </w:r>
    </w:p>
    <w:p>
      <w:pPr>
        <w:pStyle w:val="ListBullet"/>
      </w:pPr>
      <w:r>
        <w:rPr>
          <w:b/>
        </w:rPr>
        <w:t>Faltan polos.</w:t>
      </w:r>
      <w:r>
        <w:t xml:space="preserve"> En dos de los nueve principios (P3 y P5), el Arca no tiene texto para uno de los dos vicios; se buscaron en lo ya leído y no se rellenan. </w:t>
      </w:r>
      <w:r>
        <w:t>[04h, 3.3; 04p, fila 31]</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r>
        <w:t>[04k; 04p, condición 6]</w:t>
      </w:r>
    </w:p>
    <w:p>
      <w:pPr>
        <w:pStyle w:val="ListBullet"/>
      </w:pPr>
      <w:r>
        <w:rPr>
          <w:b/>
        </w:rPr>
        <w:t>Los números van solo en el piloto,</w:t>
      </w:r>
      <w:r>
        <w:t xml:space="preserve"> y el piloto va aquí como diseño: sus umbrales se escriben con el autor antes de mirar los datos, y hasta entonces no hay cifra. </w:t>
      </w:r>
      <w:r>
        <w:t>[libreta 78; J.6]</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r>
        <w:t>[anexo del 4.3]</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xml:space="preserve">, las cuestiones previas. </w:t>
      </w:r>
      <w:r>
        <w:t>[glosario 8.13; 0.5]</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la obra entera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del Sistema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