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cada persona, si quiere, se la aplica a sí misma.</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y vale tanto como su unión con la primera. Las dos hacen falta: sin la segunda no hay comunidad que se gobierne; sin la primera, la segunda no tiene de dónde recibir su título.</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p>
      <w:r>
        <w:t>La tabla con las cuatro partes de cada árbol, y cómo se comprueba cada una, se ve en el nivel completo.</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t xml:space="preserve"> (Mt 7:15-16)</w:t>
      </w:r>
      <w:r>
        <w:t>; «todo buen árbol lleva buenos frutos; mas el árbol maleado lleva malos frutos»</w:t>
      </w:r>
      <w:r>
        <w:t xml:space="preserve"> (Mt 7:17)</w:t>
      </w:r>
      <w:r>
        <w:t>. El Daodejing dice lo mismo del hombre grande: «se queda con el fruto y no con la flor»</w:t>
      </w:r>
      <w:r>
        <w:t xml:space="preserve"> (Daodejing 38, en la traducción de James Legge, Sacred Books of the East, vol. 39)</w:t>
      </w:r>
      <w:r>
        <w:t>. Por eso los frutos se miden con datos (</w:t>
      </w:r>
      <w:r>
        <w:t>8</w:t>
      </w:r>
      <w:r>
        <w:t xml:space="preserve">) y el follaje, lo que se siente al vivir en un árbol, se pregunta y no se afirma: es la brújula, que se explica al cerrar el </w:t>
      </w:r>
      <w:r>
        <w:t>capítulo 10</w:t>
      </w:r>
      <w:r>
        <w:t>.</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t xml:space="preserve"> (Gn 3:5)</w:t>
      </w:r>
      <w:r>
        <w:t>, «Todo esto te daré»</w:t>
      </w:r>
      <w:r>
        <w:t xml:space="preserve"> (Mt 4:9)</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cada uno con sus patas y su pata coja.</w:t>
      </w:r>
    </w:p>
    <w:p>
      <w:r>
        <w:rPr>
          <w:b/>
        </w:rPr>
        <w:t>Cómo se escribe.</w:t>
      </w:r>
      <w:r>
        <w:t xml:space="preserve"> Antes de medir, no después. Es la regla de la vara: «la vara va antes de los datos» (</w:t>
      </w:r>
      <w:r>
        <w:t>0.5</w:t>
      </w:r>
      <w:r>
        <w:t>).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lo que afecta al ciudadano en su vida diaria frente a lo que organiza al poder.</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lo que mueve el dial es lo que se repite.</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t xml:space="preserve"> (Prov 30:8)</w:t>
      </w:r>
      <w:r>
        <w:t>, porque en la abundancia podría negar a Dios y en la pobreza, robar</w:t>
      </w:r>
      <w:r>
        <w:t xml:space="preserve"> (Prov 30:9)</w:t>
      </w:r>
      <w:r>
        <w:t>.</w:t>
      </w:r>
    </w:p>
    <w:p>
      <w:pPr>
        <w:pStyle w:val="ListBullet"/>
      </w:pPr>
      <w:r>
        <w:rPr>
          <w:b/>
        </w:rPr>
        <w:t>El islam.</w:t>
      </w:r>
      <w:r>
        <w:t xml:space="preserve"> Los fieles «cuando gastan, no lo hacen con prodigalidad ni con tacañería, -el término medio es lo justo-»</w:t>
      </w:r>
      <w:r>
        <w:t xml:space="preserve"> (Corán 25:67, traducción de Julio Cortés; fuente secundaria)</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t xml:space="preserve"> (Bhagavad Gita 6:16-17)</w:t>
      </w:r>
      <w:r>
        <w:t>.</w:t>
      </w:r>
    </w:p>
    <w:p>
      <w:pPr>
        <w:pStyle w:val="ListBullet"/>
      </w:pPr>
      <w:r>
        <w:rPr>
          <w:b/>
        </w:rPr>
        <w:t>China.</w:t>
      </w:r>
      <w:r>
        <w:t xml:space="preserve"> El sabio Shun «tomó los dos extremos de ellas [las opiniones], determinó el Medio y lo empleó en su gobierno del pueblo»</w:t>
      </w:r>
      <w:r>
        <w:t xml:space="preserve"> (Zhongyong 6)</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t xml:space="preserve"> (Saṃyutta Nikāya 56.11)</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t xml:space="preserve"> (Platón, República X, 619 a-b)</w:t>
      </w:r>
      <w:r>
        <w:t>.</w:t>
      </w:r>
    </w:p>
    <w:p>
      <w:r>
        <w:t>Hay más pasajes (Deuteronomio, el Zhongyong 4, las Analectas XI, el arpa de Buda y Horacio) que se ven en el nivel completo.</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t xml:space="preserve"> (Saṃyutta Nikāya 56.11)</w:t>
      </w:r>
      <w:r>
        <w:t>.</w:t>
      </w:r>
    </w:p>
    <w:p>
      <w:pPr>
        <w:pStyle w:val="ListBullet"/>
      </w:pPr>
      <w:r>
        <w:rPr>
          <w:b/>
        </w:rPr>
        <w:t>Hay un exceso de justicia.</w:t>
      </w:r>
      <w:r>
        <w:t xml:space="preserve"> «No seas demasiado justo, ni seas sabio con exceso»</w:t>
      </w:r>
      <w:r>
        <w:t xml:space="preserve"> (Ecl 7:16)</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t xml:space="preserve"> (Mencio 7A26; fuente secundaria)</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t xml:space="preserve"> (Analectas XIII, capítulo XXI de Legge; fuente secundaria)</w:t>
      </w:r>
      <w:r>
        <w:t>.</w:t>
      </w:r>
    </w:p>
    <w:p>
      <w:pPr>
        <w:pStyle w:val="ListBullet"/>
      </w:pPr>
      <w:r>
        <w:rPr>
          <w:b/>
        </w:rPr>
        <w:t>En Persia se elige un polo.</w:t>
      </w:r>
      <w:r>
        <w:t xml:space="preserve"> «Entre estos dos los sabios eligieron bien, no así los necios»</w:t>
      </w:r>
      <w:r>
        <w:t xml:space="preserve"> (Yasna 30:3; fuente secundaria)</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El número mide la posición, no si algo es bueno o malo.</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t xml:space="preserve"> (Mt 20:25-26)</w:t>
      </w:r>
      <w:r>
        <w:t>; «Como el Hijo del hombre no vino para ser servido, sino para servir»</w:t>
      </w:r>
      <w:r>
        <w:t xml:space="preserve"> (Mt 20:28)</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t xml:space="preserve"> (Ez 34:2)</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t xml:space="preserve"> (Ez 34:4)</w:t>
      </w:r>
      <w:r>
        <w:t>. Y dice el centro: «Yo buscaré la perdida, y tornaré la amontada, y ligaré la perniquebrada, y corroboraré la enferma […]. Yo las apacentaré en juicio»</w:t>
      </w:r>
      <w:r>
        <w:t xml:space="preserve"> (Ez 34:16)</w:t>
      </w:r>
      <w:r>
        <w:t>.</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p>
      <w:r>
        <w:t>La tabla de los nueve diales, con sus dos vicios y su centro, se ve en el nivel completo.</w:t>
      </w: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t xml:space="preserve"> (Pr 17:15)</w:t>
      </w:r>
      <w:r>
        <w:t>. Y el de P8 lo dice el Eclesiastés: «Porque no se ejecuta luego sentencia sobre la mala obra, el corazón de los hijos de los hombres está en ellos lleno para hacer mal»</w:t>
      </w:r>
      <w:r>
        <w:t xml:space="preserve"> (Ecl 8:11)</w:t>
      </w:r>
      <w:r>
        <w:t>. El defecto de P3 y el de P5 se buscaron en las fuentes ya leídas y no se rellenan: la pereza del perezoso</w:t>
      </w:r>
      <w:r>
        <w:t xml:space="preserve"> (Pr 6:9-11)</w:t>
      </w:r>
      <w:r>
        <w:t xml:space="preserve"> es de quien trabaja, no de quien manda, y el caso del arma que no se devuelve a quien ha perdido la razón</w:t>
      </w:r>
      <w:r>
        <w:t xml:space="preserve"> (Platón, República I, 331c)</w:t>
      </w:r>
      <w:r>
        <w:t xml:space="preserve"> es una excepción a la regla de devolver, no un vicio.</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no es una opinión sobre cómo debería ser el Estado, sino la medida de la distancia entre lo creado y el centro que ya estaba escrito.</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rPr>
          <w:b/>
        </w:rPr>
        <w:t>El diseño del piloto.</w:t>
      </w:r>
      <w:r>
        <w:t xml:space="preserve"> Las palabras que la Constitución promete en su artículo 1.1, «la libertad, la justicia, la igualdad y el pluralismo político»</w:t>
      </w:r>
      <w:r>
        <w:t xml:space="preserve"> (Constitución, art. 1.1)</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w:t>
      </w:r>
    </w:p>
    <w:p>
      <w:r>
        <w:rPr>
          <w:b/>
        </w:rPr>
        <w:t>Lo que el piloto es y lo que no.</w:t>
      </w:r>
      <w:r>
        <w:t xml:space="preserve"> Es la prueba de que el método se puede aplicar sin trampa; no es el veredicto sobre el Estado, que ya está dicho en el dictamen (</w:t>
      </w:r>
      <w:r>
        <w:t>9</w:t>
      </w:r>
      <w:r>
        <w:t>). Si una dimensión no cumple las cuatro condiciones, se queda sin número y va como lectura del autor.</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t xml:space="preserve"> (Gn 1:10)</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p>
      <w:r>
        <w:t>Los cinco diales, con su centro y sus dos vicios, y lo que sostiene cada flecha, con su remisión, se ven en el nivel completo.</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p>
    <w:p>
      <w:pPr>
        <w:pStyle w:val="ListBullet"/>
      </w:pPr>
      <w:r>
        <w:rPr>
          <w:b/>
        </w:rPr>
        <w:t>Faltan polos.</w:t>
      </w:r>
      <w:r>
        <w:t xml:space="preserve"> En dos de los nueve principios (P3 y P5), el Arca no tiene texto para uno de los dos vicios; se buscaron en lo ya leído y no se rellenan. </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p>
    <w:p>
      <w:pPr>
        <w:pStyle w:val="ListBullet"/>
      </w:pPr>
      <w:r>
        <w:rPr>
          <w:b/>
        </w:rPr>
        <w:t>Los números van solo en el piloto,</w:t>
      </w:r>
      <w:r>
        <w:t xml:space="preserve"> y el piloto va aquí como diseño: sus umbrales se escriben con el autor antes de mirar los datos, y hasta entonces no hay cifra. </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las cuestiones previas.</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J. La balanza equilibrada: lo que habría sido de ajust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J. La balanza equilibrada: lo que habría sido de ajustarse a lo recibido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