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t xml:space="preserve"> (Dt 17:17-20)</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t xml:space="preserve"> (Ez 34:2-4)</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t xml:space="preserve"> (Dt 5:15)</w:t>
      </w:r>
      <w:r>
        <w:t>.</w:t>
      </w:r>
    </w:p>
    <w:p>
      <w:pPr>
        <w:pStyle w:val="ListBullet"/>
      </w:pPr>
      <w:r>
        <w:rPr>
          <w:b/>
        </w:rPr>
        <w:t>P4.</w:t>
      </w:r>
      <w:r>
        <w:t xml:space="preserve"> «No tendrás en tu bolsa pesa grande y pesa chica. No tendrás en tu casa epha grande y epha pequeño. Pesas cumplidas y justas tendrás»</w:t>
      </w:r>
      <w:r>
        <w:t xml:space="preserve"> (Dt 25:13-15)</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t xml:space="preserve"> (Lc 19:8)</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t xml:space="preserve"> (Avesta, Yasna 48.5)</w:t>
      </w:r>
      <w:r>
        <w:t>. Y la plegaria Ahuna Vairya: «el Reino es para Ahura, que dará al pobre quien lo sustente»</w:t>
      </w:r>
      <w:r>
        <w:t xml:space="preserve"> (Avesta, Ahuna Vairya)</w:t>
      </w:r>
      <w:r>
        <w:t>.</w:t>
      </w:r>
    </w:p>
    <w:p>
      <w:pPr>
        <w:pStyle w:val="ListBullet2"/>
      </w:pPr>
      <w:r>
        <w:rPr>
          <w:b/>
        </w:rPr>
        <w:t>El islam:</w:t>
      </w:r>
      <w:r>
        <w:t xml:space="preserve"> «¡No obedezcáis las órdenes de los inmoderados, que corrompen en la tierra y no la reforman!»</w:t>
      </w:r>
      <w:r>
        <w:t xml:space="preserve"> (Corán 26:151-152, traducción de Julio Cortés)</w:t>
      </w:r>
      <w:r>
        <w:t>. Y: «Mi alianza no incluye a los impíos»</w:t>
      </w:r>
      <w:r>
        <w:t xml:space="preserve"> (Corán 2:124, traducción de Julio Cortés)</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t xml:space="preserve"> (Sahih al-Bujari 7150; fuente secundaria)</w:t>
      </w:r>
      <w:r>
        <w:t>.</w:t>
      </w:r>
    </w:p>
    <w:p>
      <w:pPr>
        <w:pStyle w:val="ListBullet2"/>
      </w:pPr>
      <w:r>
        <w:t>«¿Creéis que os doy autoridad? Servidumbre os doy»</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t xml:space="preserve"> (Mishná, Bava Metsiá 7:1)</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t xml:space="preserve"> (Corán 28:73, traducción de Julio Cortés)</w:t>
      </w:r>
      <w:r>
        <w:t>; y ha «hecho de vuestro sueño descanso […] del día medio de subsistencia»</w:t>
      </w:r>
      <w:r>
        <w:t xml:space="preserve"> (Corán 78:9-11, traducción de Julio Cortés)</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t xml:space="preserve"> (Corán 7:85, traducción de Julio Cortés)</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t xml:space="preserve"> (Corán 2:283, traducción de Julio Cortés)</w:t>
      </w:r>
      <w:r>
        <w:t xml:space="preserve">. Corán 4:58 y 8:27, en </w:t>
      </w:r>
      <w:r>
        <w:t>3.2</w:t>
      </w:r>
      <w:r>
        <w:t>.</w:t>
      </w:r>
    </w:p>
    <w:p>
      <w:pPr>
        <w:pStyle w:val="ListBullet2"/>
      </w:pPr>
      <w:r>
        <w:rPr>
          <w:b/>
        </w:rPr>
        <w:t>Persia:</w:t>
      </w:r>
      <w:r>
        <w:t xml:space="preserve"> «no rompas el contrato, ni el que hiciste con un infiel ni el que hiciste con uno de tu fe»</w:t>
      </w:r>
      <w:r>
        <w:t xml:space="preserve"> (Avesta, Mihr Yasht 10.2)</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y, si la víctima murió, a sus herederos</w:t>
      </w:r>
      <w:r>
        <w:t xml:space="preserve"> (Mishná, Bava Kamma 9:5)</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t xml:space="preserve"> (Corán 53:39, traducción de Julio Cortés)</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t xml:space="preserve"> (Corán 5:42 y 5:63, traducción de Julio Cortés)</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t xml:space="preserve"> (Corán 2:185, traducción de Julio Cortés)</w:t>
      </w:r>
      <w:r>
        <w:t>; el Profeta «les libera de sus cargas y de las cadenas que sobre ellos pesaban»</w:t>
      </w:r>
      <w:r>
        <w:t xml:space="preserve"> (Corán 7:157, traducción de Julio Cortés)</w:t>
      </w:r>
      <w:r>
        <w:t>; Dios «no os ha impuesto ninguna carga en la religión»</w:t>
      </w:r>
      <w:r>
        <w:t xml:space="preserve"> (Corán 22:78, traducción de Julio Cortés)</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t xml:space="preserve"> (Sahih Muslim 1847; fuente secundaria)</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t xml:space="preserve"> (Talmud, Bava Kamma 113a)</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t xml:space="preserve"> (Mencio 1B8)</w:t>
      </w:r>
      <w:r>
        <w:t>.</w:t>
      </w:r>
    </w:p>
    <w:p>
      <w:pPr>
        <w:pStyle w:val="ListBullet2"/>
      </w:pPr>
      <w:r>
        <w:t>El gobernante es la barca y el pueblo, el agua: «el agua la sostiene y el agua la vuelca»</w:t>
      </w:r>
      <w:r>
        <w:t xml:space="preserve"> (Xunzi, 王制)</w:t>
      </w:r>
      <w:r>
        <w:t>.</w:t>
      </w:r>
    </w:p>
    <w:p>
      <w:pPr>
        <w:pStyle w:val="ListBullet2"/>
      </w:pPr>
      <w:r>
        <w:t>«El Cielo ve como ve mi pueblo; el Cielo oye como oye mi pueblo»</w:t>
      </w:r>
      <w:r>
        <w:t xml:space="preserve"> (Mencio 5A5)</w:t>
      </w:r>
      <w:r>
        <w:t>.</w:t>
      </w:r>
    </w:p>
    <w:p>
      <w:pPr>
        <w:pStyle w:val="ListBullet2"/>
      </w:pPr>
      <w:r>
        <w:t>Los jefes no se pusieron para engrosar sus rangos y salarios, sino «para procurar el beneficio y quitar el daño a todo el pueblo»</w:t>
      </w:r>
      <w:r>
        <w:t xml:space="preserve"> (Mozi, 尚同中)</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y el señor sabio «toma del pueblo con límite fijo»</w:t>
      </w:r>
      <w:r>
        <w:t xml:space="preserve"> (Mencio 3A3)</w:t>
      </w:r>
      <w:r>
        <w:t>.</w:t>
      </w:r>
    </w:p>
    <w:p>
      <w:pPr>
        <w:pStyle w:val="ListBullet2"/>
      </w:pPr>
      <w:r>
        <w:t>Cargar más que el camino de los reyes sabios Yao y Shun «es un gran Jie o un pequeño Jie»</w:t>
      </w:r>
      <w:r>
        <w:t>, es decir, un tirano</w:t>
      </w:r>
      <w:r>
        <w:t xml:space="preserve"> (Mencio 6B10)</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t xml:space="preserve"> (Mencio 3B8)</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palabras que Xunzi atribuye a Confucio</w:t>
      </w:r>
      <w:r>
        <w:t xml:space="preserve"> (Xunzi, 宥坐)</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t xml:space="preserve"> (Xunzi, 君道)</w:t>
      </w:r>
      <w:r>
        <w:t>.</w:t>
      </w:r>
    </w:p>
    <w:p>
      <w:pPr>
        <w:pStyle w:val="ListBullet2"/>
      </w:pPr>
      <w:r>
        <w:t>En el equinoccio «se unifican las medidas y se igualan las balanzas»</w:t>
      </w:r>
      <w:r>
        <w:t xml:space="preserve"> (Libro de los Ritos, 月令)</w:t>
      </w:r>
      <w:r>
        <w:t>.</w:t>
      </w:r>
    </w:p>
    <w:p>
      <w:pPr>
        <w:pStyle w:val="ListBullet2"/>
      </w:pPr>
      <w:r>
        <w:t>«Los tiranos y los funcionarios corruptos siempre descuidan los linderos»</w:t>
      </w:r>
      <w:r>
        <w:t xml:space="preserve"> (Mencio 3A3)</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o se quedará mirando cómo mueren</w:t>
      </w:r>
      <w:r>
        <w:t xml:space="preserve"> (Mencio 2B4)</w:t>
      </w:r>
      <w:r>
        <w:t>.</w:t>
      </w:r>
    </w:p>
    <w:p>
      <w:pPr>
        <w:pStyle w:val="ListBullet2"/>
      </w:pPr>
      <w:r>
        <w:t>Es noble aquel a quien «se le puede confiar un huérfano»</w:t>
      </w:r>
      <w:r>
        <w:t xml:space="preserve"> (Analectas 8.6)</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y dijo a su señor que así le había comprado la justicia</w:t>
      </w:r>
      <w:r>
        <w:t xml:space="preserve"> (Estrategias de los Reinos Combatientes, Feng Xuan)</w:t>
      </w:r>
      <w:r>
        <w:t>.</w:t>
      </w:r>
    </w:p>
    <w:p>
      <w:pPr>
        <w:pStyle w:val="ListBullet2"/>
      </w:pPr>
      <w:r>
        <w:t>«El sabio guarda la mitad izquierda del contrato y no reclama a los demás»</w:t>
      </w:r>
      <w:r>
        <w:t xml:space="preserve"> (Daodejing 79)</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t xml:space="preserve"> (Mencio 1B5)</w:t>
      </w:r>
      <w:r>
        <w:t>.</w:t>
      </w:r>
    </w:p>
    <w:p>
      <w:pPr>
        <w:pStyle w:val="ListBullet2"/>
      </w:pPr>
      <w:r>
        <w:t>«El castigo no excedía el delito»</w:t>
      </w:r>
      <w:r>
        <w:t>; en los tiempos de desorden, «si uno delinque, se extermina a los tres clanes»</w:t>
      </w:r>
      <w:r>
        <w:t xml:space="preserve"> (Xunzi, 君子)</w:t>
      </w:r>
      <w:r>
        <w:t>.</w:t>
      </w:r>
    </w:p>
    <w:p>
      <w:pPr>
        <w:pStyle w:val="ListBullet2"/>
      </w:pPr>
      <w:r>
        <w:t>«Si todos lo odian, hay que examinarlo»</w:t>
      </w:r>
      <w:r>
        <w:t xml:space="preserve"> (Analectas 15.27)</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y quien incurre en ellos comete un delito igual al del reo; y «lo que se gana con los pleitos no es un tesoro»: acumula culpa</w:t>
      </w:r>
      <w:r>
        <w:t xml:space="preserve"> (Libro de los Documentos, 呂刑)</w:t>
      </w:r>
      <w:r>
        <w:t>.</w:t>
      </w:r>
    </w:p>
    <w:p>
      <w:pPr>
        <w:pStyle w:val="ListBullet2"/>
      </w:pPr>
      <w:r>
        <w:t>Esperar a que el pueblo sin medios caiga en delito para castigarlo «es tenderle una red al pueblo»</w:t>
      </w:r>
      <w:r>
        <w:t xml:space="preserve"> (Mencio 3A3)</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t xml:space="preserve"> (Comentario de Zuo, duque Zhao, año 6)</w:t>
      </w:r>
      <w:r>
        <w:t xml:space="preserve">; el mismo pasaje, «cuando un Estado va a perecer, multiplica sus reglamentos», está en </w:t>
      </w:r>
      <w:r>
        <w:t>3.2</w:t>
      </w:r>
      <w:r>
        <w:t>.</w:t>
      </w:r>
    </w:p>
    <w:p>
      <w:pPr>
        <w:pStyle w:val="ListBullet2"/>
      </w:pPr>
      <w:r>
        <w:t>«Cuantos más castigos, menos se vence el mal»</w:t>
      </w:r>
      <w:r>
        <w:t xml:space="preserve"> (Xunzi, 宥坐)</w:t>
      </w:r>
      <w:r>
        <w:t>.</w:t>
      </w:r>
    </w:p>
    <w:p>
      <w:pPr>
        <w:pStyle w:val="ListBullet2"/>
      </w:pPr>
      <w:r>
        <w:t>Los gobernantes de hoy cargan pesos excesivos y castigan al que no puede; «sin bienes, [el pueblo] roba»: ¿a quién hay que culpar?</w:t>
      </w:r>
      <w:r>
        <w:t xml:space="preserve"> (Zhuangzi, 則陽)</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a los que opinaban sobre las leyes los desterró, y después «nadie se atrevió a opinar sobre las órdenes»</w:t>
      </w:r>
      <w:r>
        <w:t xml:space="preserve"> (Shiji 68)</w:t>
      </w:r>
      <w:r>
        <w:t>.</w:t>
      </w:r>
    </w:p>
    <w:p>
      <w:pPr>
        <w:pStyle w:val="ListBullet2"/>
      </w:pPr>
      <w:r>
        <w:t>Han Feizi defiende «agravar las penas para prohibir el mal»</w:t>
      </w:r>
      <w:r>
        <w:t xml:space="preserve"> y la recaudación «para llenar los graneros»</w:t>
      </w:r>
      <w:r>
        <w:t>, y dice que la inteligencia del pueblo no sirve, porque es «como la mente de un niño de pecho»</w:t>
      </w:r>
      <w:r>
        <w:t xml:space="preserve"> (Han Feizi, 顯學)</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t xml:space="preserve"> (Código de Hammurabi, epílogo)</w:t>
      </w:r>
      <w:r>
        <w:t>.</w:t>
      </w:r>
    </w:p>
    <w:p>
      <w:pPr>
        <w:pStyle w:val="ListBullet2"/>
      </w:pPr>
      <w:r>
        <w:t>«El huérfano no será sometido al rico»</w:t>
      </w:r>
      <w:r>
        <w:t xml:space="preserve"> (Código de Ur-Namma, líneas 162-163)</w:t>
      </w:r>
      <w:r>
        <w:t>; y Urukagina dice lo mismo de la viuda y el huérfano frente al poderoso.</w:t>
      </w:r>
    </w:p>
    <w:p>
      <w:pPr>
        <w:pStyle w:val="ListBullet2"/>
      </w:pPr>
      <w:r>
        <w:t>Dios hizo para los hombres gobernantes, «un sostén para sostener la espalda del débil»</w:t>
      </w:r>
      <w:r>
        <w:t xml:space="preserve"> (Enseñanza para Merikare)</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t xml:space="preserve"> (Aristóteles, Política V, 1313b)</w:t>
      </w:r>
      <w:r>
        <w:t>.</w:t>
      </w:r>
    </w:p>
    <w:p>
      <w:pPr>
        <w:pStyle w:val="ListBullet2"/>
      </w:pPr>
      <w:r>
        <w:t>Hay que esforzarse para que no haya que imponer el tributo «por la escasez del erario»</w:t>
      </w:r>
      <w:r>
        <w:t xml:space="preserve"> (Cicerón, De officiis II, 74)</w:t>
      </w:r>
      <w:r>
        <w:t>.</w:t>
      </w:r>
    </w:p>
    <w:p>
      <w:pPr>
        <w:pStyle w:val="ListBullet2"/>
      </w:pPr>
      <w:r>
        <w:t>Pisístrato «cargó al pueblo lo menos posible»</w:t>
      </w:r>
      <w:r>
        <w:t xml:space="preserve"> (Constitución de los atenienses 16)</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t xml:space="preserve"> (El Campesino Elocuente)</w:t>
      </w:r>
      <w:r>
        <w:t>.</w:t>
      </w:r>
    </w:p>
    <w:p>
      <w:pPr>
        <w:pStyle w:val="ListBullet2"/>
      </w:pPr>
      <w:r>
        <w:t>En Atenas, los inspectores de pesos y medidas, elegidos por sorteo, «vigilan que los vendedores usen pesos y medidas justos»</w:t>
      </w:r>
      <w:r>
        <w:t xml:space="preserve"> (Constitución de los atenienses 51)</w:t>
      </w:r>
      <w:r>
        <w:t>.</w:t>
      </w:r>
    </w:p>
    <w:p>
      <w:pPr>
        <w:pStyle w:val="ListBullet2"/>
      </w:pPr>
      <w:r>
        <w:t>«Toma medida justa de tu vecino y devuélvele con justicia la misma medida»</w:t>
      </w:r>
      <w:r>
        <w:t xml:space="preserve"> (Hesíodo, Trabajos y días 349-350)</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t xml:space="preserve"> (Constitución de los atenienses 6)</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t xml:space="preserve"> (Séneca, De ira I, 18)</w:t>
      </w:r>
      <w:r>
        <w:t>.</w:t>
      </w:r>
    </w:p>
    <w:p>
      <w:pPr>
        <w:pStyle w:val="ListBullet2"/>
      </w:pPr>
      <w:r>
        <w:t>«Toma al hombre por sus actos»</w:t>
      </w:r>
      <w:r>
        <w:t xml:space="preserve"> (Enseñanza para Merikare)</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t xml:space="preserve"> (Trabajos y días 263-264)</w:t>
      </w:r>
      <w:r>
        <w:t xml:space="preserve">; su «enderezad vuestras sentencias», en </w:t>
      </w:r>
      <w:r>
        <w:t>3.2</w:t>
      </w:r>
      <w:r>
        <w:t>.</w:t>
      </w:r>
    </w:p>
    <w:p>
      <w:pPr>
        <w:pStyle w:val="ListBullet2"/>
      </w:pPr>
      <w:r>
        <w:t>La ley dice: «no prestes ningún servicio a cambio de regalos»</w:t>
      </w:r>
      <w:r>
        <w:t xml:space="preserve"> (Platón, Leyes XII, 955d)</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t xml:space="preserve"> (Tácito, Anales III, 25)</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t xml:space="preserve"> (Código de Hammurabi § 210)</w:t>
      </w:r>
      <w:r>
        <w:t>; y «a menudo toda una ciudad sufre por un solo malvado»</w:t>
      </w:r>
      <w:r>
        <w:t xml:space="preserve"> (Hesíodo, Trabajos y días 240)</w:t>
      </w:r>
      <w:r>
        <w:t xml:space="preserve">. Séneca (De ira I, 19), en </w:t>
      </w:r>
      <w:r>
        <w:t>3.2</w:t>
      </w:r>
      <w:r>
        <w:t>.</w:t>
      </w:r>
    </w:p>
    <w:p>
      <w:pPr>
        <w:pStyle w:val="ListBullet2"/>
      </w:pPr>
      <w:r>
        <w:t xml:space="preserve">Contra P5: el depósito que no se devuelve al que ha enloquecido (Cicerón), en </w:t>
      </w:r>
      <w:r>
        <w:t>3.2</w:t>
      </w:r>
      <w:r>
        <w: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t xml:space="preserve"> (Instrucciones de Shuruppak, líneas 28-31 (The Electronic Text Corpus of Sumerian Literature [Corpus electrónico de la literatura sumeria], Universidad de Oxford, c.5.6.1))</w:t>
      </w:r>
      <w:r>
        <w:t>. Sus tablillas más antiguas son de hacia 2600 a. C., una fecha que su editor da como «no más que una sugerencia»</w:t>
      </w:r>
      <w:r>
        <w:t xml:space="preserve"> (R. D. Biggs, Inscriptions from Tell Abū Ṣalābīkh (Inscripciones de Tell Abu Salabikh), Chicago, 1974, p. 26)</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t xml:space="preserve"> (Máximas de Ptahhotep 19 y 20, vv. 300 y 317 (Z. Žába, Les Maximes de Ptahhotep [Las máximas de Ptahhotep], Praga, 1956; la fecha, p. 1))</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t xml:space="preserve"> (Musonio Rufo, Disertación XI (O. Hense, C. Musonii Rufi reliquiae [Restos de Musonio Rufo], Leipzig, 1905, p. 60))</w:t>
      </w:r>
      <w:r>
        <w:t>, y tuvo por el medio de vida más apropiado para el filósofo el que sale del campo</w:t>
      </w:r>
      <w:r>
        <w:t xml:space="preserve"> (ídem, p. 63)</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t xml:space="preserve"> (Biblioteca del Congreso de Estados Unidos, registro de autoridad de al-Bujari)</w:t>
      </w:r>
      <w:r>
        <w:t>. No todos son independientes: el Talmud comenta la Biblia, Musonio heredó a los griegos y el hadiz nombra a David. Pero al menos tres lo escribieron sin haberse leído entre sí: Grecia, Israel y la India (</w:t>
      </w:r>
      <w:r>
        <w:t>3.1</w:t>
      </w:r>
      <w:r>
        <w:t>).</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t xml:space="preserve"> (Digha Nikaya 27, traducción de Baron)</w:t>
      </w:r>
      <w:r>
        <w:t>.</w:t>
      </w:r>
    </w:p>
    <w:p>
      <w:pPr>
        <w:pStyle w:val="ListBullet2"/>
      </w:pPr>
      <w:r>
        <w:t>«El rey que no protege a sus súbditos es en verdad un ladrón»</w:t>
      </w:r>
      <w:r>
        <w:t xml:space="preserve"> (Mahabharata 12.137.96)</w:t>
      </w:r>
      <w:r>
        <w:t>.</w:t>
      </w:r>
    </w:p>
    <w:p>
      <w:pPr>
        <w:pStyle w:val="ListBullet2"/>
      </w:pPr>
      <w:r>
        <w:t>El rey que dice a su pueblo que es su protector, y no lo protege o no puede, «debería morir a manos de sus súbditos unidos»</w:t>
      </w:r>
      <w:r>
        <w:t xml:space="preserve"> (Mahabharata 13.60.20)</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t xml:space="preserve"> (Leyes de Manu VIII, 336)</w:t>
      </w:r>
      <w:r>
        <w:t>.</w:t>
      </w:r>
    </w:p>
    <w:p>
      <w:pPr>
        <w:pStyle w:val="ListBullet2"/>
      </w:pPr>
      <w:r>
        <w:t>Guru Nanak: «los reyes son tigres, y sus oficiales, perros»; y en la Corte del Señor, «los que traicionaron la confianza del pueblo quedarán deshonrados»</w:t>
      </w:r>
      <w:r>
        <w:t xml:space="preserve"> (Guru Granth Sahib, Ang 1288)</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t xml:space="preserve"> (Jataka 520)</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t xml:space="preserve"> (Arthashastra 5.2.70)</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t xml:space="preserve"> (Arthashastra 2.1)</w:t>
      </w:r>
      <w:r>
        <w:t xml:space="preserve">. </w:t>
      </w:r>
      <w:r>
        <w:rPr>
          <w:b/>
        </w:rPr>
        <w:t>Cautela:</w:t>
      </w:r>
      <w:r>
        <w:t xml:space="preserve"> el motivo que da el texto es fiscal.</w:t>
      </w:r>
    </w:p>
    <w:p>
      <w:pPr>
        <w:pStyle w:val="ListBullet2"/>
      </w:pPr>
      <w:r>
        <w:t>En el jainismo, «sobrecargar» a personas y bestias es una falta contra el voto de no violencia</w:t>
      </w:r>
      <w:r>
        <w:t xml:space="preserve"> (Tattvartha Sutra 7.20)</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t xml:space="preserve"> (Tattvartha Sutra 7.22)</w:t>
      </w:r>
      <w:r>
        <w:t>.</w:t>
      </w:r>
    </w:p>
    <w:p>
      <w:pPr>
        <w:pStyle w:val="ListBullet2"/>
      </w:pPr>
      <w:r>
        <w:t>Kabir: «no miden con la cinta completa y cobran grandes sobornos»</w:t>
      </w:r>
      <w:r>
        <w:t xml:space="preserve"> (Guru Granth Sahib, Ang 793)</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t xml:space="preserve"> (Arthashastra 3.12)</w:t>
      </w:r>
      <w:r>
        <w:t>.</w:t>
      </w:r>
    </w:p>
    <w:p>
      <w:pPr>
        <w:pStyle w:val="ListBullet2"/>
      </w:pPr>
      <w:r>
        <w:t>Quien, al reclamarle la deuda, huye diciendo «¡no te debo nada!» es un paria</w:t>
      </w:r>
      <w:r>
        <w:t xml:space="preserve"> (Sutta Nipata 1.7:8)</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t xml:space="preserve"> (Vasishtha 2.49)</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t xml:space="preserve"> (Mahabharata 12.259.9-10)</w:t>
      </w:r>
      <w:r>
        <w:t>: por eso el rey debe reflexionar a fondo antes de castigar.</w:t>
      </w:r>
    </w:p>
    <w:p>
      <w:pPr>
        <w:pStyle w:val="ListBullet2"/>
      </w:pPr>
      <w:r>
        <w:t>Antes de castigar hay que averiguar el motivo, el tiempo y el lugar</w:t>
      </w:r>
      <w:r>
        <w:t xml:space="preserve"> (Leyes de Manu VIII, 126)</w:t>
      </w:r>
      <w:r>
        <w:t>; y si se castiga a un inocente, el rey ayuna tres días</w:t>
      </w:r>
      <w:r>
        <w:t xml:space="preserve"> (Vasishtha 19.42-43)</w:t>
      </w:r>
      <w:r>
        <w:t>.</w:t>
      </w:r>
    </w:p>
    <w:p>
      <w:pPr>
        <w:pStyle w:val="ListBullet2"/>
      </w:pPr>
      <w:r>
        <w:t>Ashoka: «aun cumpliendo la ley, algunos son encarcelados, maltratados e incluso muertos sin causa»</w:t>
      </w:r>
      <w:r>
        <w:t xml:space="preserve"> (Ashoka, edicto separado de Kalinga I)</w:t>
      </w:r>
      <w:r>
        <w:t>; y pide «igualdad en la ley y en las penas»</w:t>
      </w:r>
      <w:r>
        <w:t xml:space="preserve"> (Ashoka, edicto de la columna IV)</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t xml:space="preserve"> (Leyes de Manu IX, 246)</w:t>
      </w:r>
      <w:r>
        <w:t>.</w:t>
      </w:r>
    </w:p>
    <w:p>
      <w:pPr>
        <w:pStyle w:val="ListBullet2"/>
      </w:pPr>
      <w:r>
        <w:t>«No eres justo por juzgar con precipitación»</w:t>
      </w:r>
      <w:r>
        <w:t xml:space="preserve"> (Dhammapada 256-257)</w:t>
      </w:r>
      <w:r>
        <w:t>; según el comentario, los versos nacen al ver a unos «señores de la justicia que aceptaban sobornos»</w:t>
      </w:r>
      <w:r>
        <w:t xml:space="preserve"> (comentario al Dhammapada)</w:t>
      </w:r>
      <w:r>
        <w:t>.</w:t>
      </w:r>
    </w:p>
    <w:p>
      <w:pPr>
        <w:pStyle w:val="ListBullet2"/>
      </w:pPr>
      <w:r>
        <w:t>Guru Nanak: «se hacen jueces y se sientan a impartir justicia […]; aceptan sobornos y niegan el derecho»</w:t>
      </w:r>
      <w:r>
        <w:t xml:space="preserve"> (Guru Granth Sahib, Ang 951)</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t xml:space="preserve"> (Majjhima Nikaya 65)</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t xml:space="preserve"> (Digha Nikaya 16)</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t xml:space="preserve"> (Arthashastra 5.2)</w:t>
      </w:r>
      <w:r>
        <w:t>.</w:t>
      </w:r>
    </w:p>
    <w:p>
      <w:pPr>
        <w:pStyle w:val="ListBullet2"/>
      </w:pPr>
      <w:r>
        <w:t>Contra P7: «estas son las dieciocho clases de tortura»</w:t>
      </w:r>
      <w:r>
        <w:t xml:space="preserve"> (Arthashastra 4.8)</w:t>
      </w:r>
      <w:r>
        <w:t>; pero el mismo capítulo pide «pruebas concluyentes»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t xml:space="preserve"> (Mahabharata 12.72.21)</w:t>
      </w:r>
      <w:r>
        <w:t>.</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t xml:space="preserve"> (Malo, Antigüedades hawaianas XVIII, 3)</w:t>
      </w:r>
      <w:r>
        <w:t>; y «antiguamente el pueblo hacía la guerra a los malos reyes»</w:t>
      </w:r>
      <w:r>
        <w:t xml:space="preserve"> (Malo, Antigüedades hawaianas XVIII, 45)</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t xml:space="preserve"> (Casalis, Los basutos, p. 155)</w:t>
      </w:r>
      <w:r>
        <w:t>, y deben, con sus rebaños, «alimentar a los pobres»</w:t>
      </w:r>
      <w:r>
        <w:t xml:space="preserve"> (Casalis, Los basutos, p. 216)</w:t>
      </w:r>
      <w:r>
        <w:t>.</w:t>
      </w:r>
    </w:p>
    <w:p>
      <w:pPr>
        <w:pStyle w:val="ListBullet2"/>
      </w:pPr>
      <w:r>
        <w:rPr>
          <w:b/>
        </w:rPr>
        <w:t>Los yorubas de Oyó:</w:t>
      </w:r>
      <w:r>
        <w:t xml:space="preserve"> el poder del rey «debe ejercerse dentro del límite de la constitución no escrita»</w:t>
      </w:r>
      <w:r>
        <w:t>, y si es tiránico, el Basorun, «como portavoz del pueblo», propone su rechazo</w:t>
      </w:r>
      <w:r>
        <w:t xml:space="preserve"> (Johnson, Historia de los yorubas, p. 70)</w:t>
      </w:r>
      <w:r>
        <w:t>.</w:t>
      </w:r>
    </w:p>
    <w:p>
      <w:pPr>
        <w:pStyle w:val="ListBullet2"/>
      </w:pPr>
      <w:r>
        <w:rPr>
          <w:b/>
        </w:rPr>
        <w:t>Los iroqueses:</w:t>
      </w:r>
      <w:r>
        <w:t xml:space="preserve"> «esta sarta de wampum da al pueblo el derecho de corregir a sus señores extraviados»</w:t>
      </w:r>
      <w:r>
        <w:t xml:space="preserve"> (Gran Ley de la Paz, art. 59)</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y no aceptar el consejo de los suyos «era causa legítima de destronamiento»</w:t>
      </w:r>
      <w:r>
        <w:t xml:space="preserve"> (Rattray, Derecho y constitución ashanti, p. 82)</w:t>
      </w:r>
      <w:r>
        <w:t>.</w:t>
      </w:r>
    </w:p>
    <w:p>
      <w:pPr>
        <w:pStyle w:val="ListBullet2"/>
      </w:pPr>
      <w:r>
        <w:rPr>
          <w:b/>
        </w:rPr>
        <w:t>Los mexicas:</w:t>
      </w:r>
      <w:r>
        <w:t xml:space="preserve"> el señor es nombrado «padre y madre de este reino», y ha de sustentar al pueblo «como á niños que están en la cuna»</w:t>
      </w:r>
      <w:r>
        <w:t xml:space="preserve"> (Sahagún, Historia general VI, cap. X)</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t xml:space="preserve"> (Garcilaso, Comentarios reales V, cap. XV)</w:t>
      </w:r>
      <w:r>
        <w:t>; y «no era justo pedir a los vasallos lo que no tenían de cosecha»</w:t>
      </w:r>
      <w:r>
        <w:t xml:space="preserve"> (Garcilaso, Comentarios reales V, cap. VI)</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t xml:space="preserve"> (Malo XXXVIII, 52)</w:t>
      </w:r>
      <w:r>
        <w:t>; y varios reyes perdieron la vida «por sus crueles exacciones sobre el pueblo llano»</w:t>
      </w:r>
      <w:r>
        <w:t xml:space="preserve"> (Malo XXXVIII, 68)</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t xml:space="preserve"> (Garcilaso V, cap. XV)</w:t>
      </w:r>
      <w:r>
        <w:t>.</w:t>
      </w:r>
    </w:p>
    <w:p>
      <w:pPr>
        <w:pStyle w:val="ListBullet2"/>
      </w:pPr>
      <w:r>
        <w:t>Había jueces en cada pueblo para que el pobre no tuviera que salir a pleitear, porque «muchas veces monta más esto que lo que van a pedir»</w:t>
      </w:r>
      <w:r>
        <w:t xml:space="preserve"> (Garcilaso II, cap. XIII)</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t xml:space="preserve"> (Hernán Cortés, Segunda carta, 1520)</w:t>
      </w:r>
      <w:r>
        <w:t>.</w:t>
      </w:r>
    </w:p>
    <w:p>
      <w:pPr>
        <w:pStyle w:val="ListBullet2"/>
      </w:pPr>
      <w:r>
        <w:t>El señor cuidaba el mercado «por amor de la gente popular […] para que nadie los hiciese fraude»</w:t>
      </w:r>
      <w:r>
        <w:t xml:space="preserve"> (Sahagún VIII, cap. XXXVI)</w:t>
      </w:r>
      <w:r>
        <w:t>.</w:t>
      </w:r>
    </w:p>
    <w:p>
      <w:pPr>
        <w:pStyle w:val="ListBullet"/>
      </w:pPr>
      <w:r>
        <w:rPr>
          <w:b/>
        </w:rPr>
        <w:t>P5. Devolver lo confiado</w:t>
      </w:r>
      <w:r>
        <w:t xml:space="preserve"> (un punto débil). </w:t>
      </w:r>
    </w:p>
    <w:p>
      <w:pPr>
        <w:pStyle w:val="ListBullet2"/>
      </w:pPr>
      <w:r>
        <w:t>Si el animal del vecino entra entre tus bienes, «hazlo volver a él»</w:t>
      </w:r>
      <w:r>
        <w:t>; y si no sabes de quién es, cuídalo hasta saberlo, y entonces devuélveselo</w:t>
      </w:r>
      <w:r>
        <w:t xml:space="preserve"> (Kebra Nagast, cap. 90)</w:t>
      </w:r>
      <w:r>
        <w:t>.</w:t>
      </w:r>
    </w:p>
    <w:p>
      <w:pPr>
        <w:pStyle w:val="ListBullet2"/>
      </w:pPr>
      <w:r>
        <w:t>El súbdito que guarda los rebaños del jefe debe «presentarlos a su verdadero dueño»</w:t>
      </w:r>
      <w:r>
        <w:t xml:space="preserve"> cuando este quiera</w:t>
      </w:r>
      <w:r>
        <w:t xml:space="preserve"> (Casalis, p. 155)</w:t>
      </w:r>
      <w:r>
        <w:t>; y el robo se repara con restitución y multa, en algunas tribus «de cuatro a uno»</w:t>
      </w:r>
      <w:r>
        <w:t xml:space="preserve"> (Casalis, p. 228)</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t xml:space="preserve"> (Sahagún VIII, cap. XIV)</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t xml:space="preserve"> (Garcilaso V, cap. XI)</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t xml:space="preserve"> (Garcilaso II, cap. XIII)</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t xml:space="preserve"> (Casalis, p. 226)</w:t>
      </w:r>
      <w:r>
        <w:t>, y «las causas se discuten siempre en público»</w:t>
      </w:r>
      <w:r>
        <w:t xml:space="preserve"> (Casalis, p. 230)</w:t>
      </w:r>
      <w:r>
        <w:t>.</w:t>
      </w:r>
    </w:p>
    <w:p>
      <w:pPr>
        <w:pStyle w:val="ListBullet2"/>
      </w:pPr>
      <w:r>
        <w:t>Los jueces mexicas pedían primero «la pintura en que estaban escritas ó pintadas las causas», y después los testigos</w:t>
      </w:r>
      <w:r>
        <w:t xml:space="preserve"> (Sahagún VIII, cap. XV)</w:t>
      </w:r>
      <w:r>
        <w:t>; y al señor se le aconsejaba: «antes debes quedar atrás en el castigo y ejecución del que no pasar adelante»</w:t>
      </w:r>
      <w:r>
        <w:t xml:space="preserve"> (Sahagún VI, cap. X)</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t xml:space="preserve"> (Garcilaso II, cap. XIII)</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t xml:space="preserve"> (Sahagún VIII, caps. XIV y XV)</w:t>
      </w:r>
      <w:r>
        <w:t>.</w:t>
      </w:r>
    </w:p>
    <w:p>
      <w:pPr>
        <w:pStyle w:val="ListBullet2"/>
      </w:pPr>
      <w:r>
        <w:t>«Cuando te pongas a juzgar, no ames los regalos, es decir, los sobornos»</w:t>
      </w:r>
      <w:r>
        <w:t xml:space="preserve"> (Kebra Nagast, cap. 41)</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t xml:space="preserve"> (Casalis, p. 228)</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t xml:space="preserve"> (Malo XVIII, 65)</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t xml:space="preserve"> (Malo XVIII, 46)</w:t>
      </w:r>
      <w:r>
        <w:t>, y el pueblo vivía «siempre cargado con una exacción u otra»</w:t>
      </w:r>
      <w:r>
        <w:t xml:space="preserve"> (Malo XIX, 6)</w:t>
      </w:r>
      <w:r>
        <w:t>. La «ley común» y la «ley casera» de los incas, en 3.2; y la misma ley mandaba comer «las puertas abiertas», para que los ministros de los jueces entraran a inspeccionar las casas</w:t>
      </w:r>
      <w:r>
        <w:t xml:space="preserve"> (Garcilaso V, cap. XI)</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t xml:space="preserve"> (Casalis, p. 231)</w:t>
      </w:r>
      <w:r>
        <w:t>.</w:t>
      </w:r>
    </w:p>
    <w:p>
      <w:pPr>
        <w:pStyle w:val="ListBullet2"/>
      </w:pPr>
      <w:r>
        <w:rPr>
          <w:b/>
        </w:rPr>
        <w:t>Contra P7:</w:t>
      </w:r>
      <w:r>
        <w:t xml:space="preserve"> por la culpa del mayordomo, echaban de la casa a sus hijos y parientes, y «la casa con toda la hacienda se aplicaba al señor»</w:t>
      </w:r>
      <w:r>
        <w:t xml:space="preserve"> (Sahagún VIII, cap. XIX)</w:t>
      </w:r>
      <w:r>
        <w:t>; y en la Kebra Nagast, «él, su mujer y sus hijos serán condenados»</w:t>
      </w:r>
      <w:r>
        <w:t xml:space="preserve"> (Kebra Nagast, cap. 89)</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t xml:space="preserve"> (Rattray, cap. XIV)</w:t>
      </w:r>
      <w:r>
        <w:t>; y entre los basutos, la pena de muerte por homicidio se conmutaba, por lo general, «por la confiscación»</w:t>
      </w:r>
      <w:r>
        <w:t xml:space="preserve"> (Casalis, p. 228)</w:t>
      </w:r>
      <w:r>
        <w:t>.</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escribió Franz Boas en 1896. Y el mismo Boas pone el límite: «los mismos fenómenos pueden desarrollarse de muchísimas maneras»</w:t>
      </w:r>
      <w:r>
        <w:t xml:space="preserve"> (F. Boas, «The Limitations of the Comparative Method of Anthropology» (Los límites del método comparativo en antropología), Science, 1896, en Race, Language and Culture, 1940, pp. 271 y 273)</w:t>
      </w:r>
      <w:r>
        <w:t>, de modo que el parecido no prueba una misma causa. Con esa doble cautela se leen las tradiciones que siguen, cada una con su fuente.</w:t>
      </w:r>
    </w:p>
    <w:p>
      <w:r>
        <w:rPr>
          <w:b/>
        </w:rPr>
        <w:t>Los inuit.</w:t>
      </w:r>
      <w:r>
        <w:t xml:space="preserve"> «Los ancianos describen los maligait, las leyes naturales, como las leyes más fundamentales arraigadas en la sociedad inuit»</w:t>
      </w:r>
      <w:r>
        <w:t>. El marco educativo del Gobierno de Nunavut los resume en cuatro: trabajar por el bien común, respetar a todos los seres vivos, mantener la armonía, y planificar y prepararse continuamente para un futuro mejor</w:t>
      </w:r>
      <w:r>
        <w:t xml:space="preserve"> (Departamento de Educación de Nunavut, Inuit Qaujimajatuqangit Education Framework for Nunavut Curriculum (Marco educativo del conocimiento tradicional inuit), 2007)</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t xml:space="preserve"> (J. Oosten y otros, Inuit Laws: Tirigusuusiit, Piqujait and Maligait (Leyes inuit), Nunavut Arctic College Media, 2017, ficha editorial)</w:t>
      </w:r>
      <w:r>
        <w:t>.</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t xml:space="preserve"> (Luther Standing Bear, My People the Sioux (Mi pueblo, los sioux), 1928, p. 158)</w:t>
      </w:r>
      <w:r>
        <w:t>; el mismo autor valoró después la propiedad de los lotes individuales, y así se dice</w:t>
      </w:r>
      <w:r>
        <w:t xml:space="preserve"> (ídem, pp. 216-217)</w:t>
      </w:r>
      <w:r>
        <w:t>. La Confederación Haudenosaunee (iroquesa), de los Bosques del Este, en el norte del actual estado de Nueva York</w:t>
      </w:r>
      <w:r>
        <w:t xml:space="preserve"> (P. G. Ramsden, «Haudenosaunee (Iroquois)», The Canadian Encyclopedia, 2006; fuente secundaria)</w:t>
      </w:r>
      <w:r>
        <w:t>, fijó en su Gran Ley de la Paz que los clanes son «los únicos dueños y poseedores del suelo del país», que les corresponde «como derecho de nacimiento»</w:t>
      </w:r>
      <w:r>
        <w:t xml:space="preserve"> (Gran Ley de la Paz, art. 42, en Parker, 1916)</w:t>
      </w:r>
      <w:r>
        <w:t>, y que las mujeres «serán dueñas de la tierra y del suelo»</w:t>
      </w:r>
      <w:r>
        <w:t xml:space="preserve"> (Gran Ley de la Paz, art. 44)</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t xml:space="preserve"> (Gran Ley de la Paz, art. 8; Confederación Haudenosaunee, «Who we are» (Quiénes somos))</w:t>
      </w:r>
      <w:r>
        <w:t>. En Mesoamérica, los mexicas organizaban su tejido social en calpulli: «barrio de gente conocida ó linaje antiguo», cuyas tierras «no son en particular de cada uno del barrio, sino en común del calpulli, y el que las posee no las puede enajenar»</w:t>
      </w:r>
      <w:r>
        <w:t xml:space="preserve"> (Alonso de Zorita, Breve y sumaria relación de los señores de la Nueva España, siglo XVI (ed. García Icazbalceta, 1891), pp. 93-94)</w:t>
      </w:r>
      <w:r>
        <w:t>.</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t xml:space="preserve"> (S. Bryant, Liberty, Order and Law under Native Irish Rule (Libertad, orden y ley bajo el gobierno irlandés nativo), 1923, pp. 33-35; Electronic Dictionary of the Irish Language (Diccionario electrónico de la lengua irlandesa), s. v. éric, enech y eneclann; fuente secundaria)</w:t>
      </w:r>
      <w:r>
        <w:t>. La cárcel, al modo de hoy, no era la vía: la retención por el rey fue su sustituto arcaico</w:t>
      </w:r>
      <w:r>
        <w:t xml:space="preserve"> (Bryant, p. 284)</w:t>
      </w:r>
      <w:r>
        <w:t>.</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Los ancianos de los clanes son a la vez sus legisladores, sus ejecutores y sus jueces, y deciden teniendo en cuenta el delito, su pena prevista y el precedente</w:t>
      </w:r>
      <w:r>
        <w:t xml:space="preserve"> (J. Gundel, The predicament of the 'Oday' (El aprieto de los oday), 2006, pp. iv, 8 y 11)</w:t>
      </w:r>
      <w:r>
        <w:t>. Sigue en uso: en 2024 la UNESCO inscribió en la Lista Representativa del Patrimonio Cultural Inmaterial el Xeer Ciise, «las leyes consuetudinarias orales de las comunidades somalíes issa de Etiopía, Yibuti y Somalia»</w:t>
      </w:r>
      <w:r>
        <w:t>, con tres componentes: una constitución política que reparte el poder y los procesos de decisión, un código penal centrado en la reconciliación y la compensación, y un código de conducta social</w:t>
      </w:r>
      <w:r>
        <w:t xml:space="preserve"> (UNESCO, Patrimonio Cultural Inmaterial, Xeer Ciise (RL 02087, 2024))</w:t>
      </w:r>
      <w:r>
        <w:t>. No es una costumbre aislada: «la sharía islámica está en gran parte integrada en el desarrollo del xeer»</w:t>
      </w:r>
      <w:r>
        <w:t xml:space="preserve"> (Gundel, p. 8)</w:t>
      </w:r>
      <w:r>
        <w:t>.</w:t>
      </w:r>
    </w:p>
    <w:p>
      <w:r>
        <w:rPr>
          <w:b/>
        </w:rPr>
        <w:t>Los Andes, los aborígenes australianos y Sudáfrica.</w:t>
      </w:r>
      <w:r>
        <w:t xml:space="preserve"> En los Andes, el ayni y la mita sostuvieron una economía sin moneda: los incas «ni supieron arrendar, ni comprar ni vender, porque no tuvieron moneda»</w:t>
      </w:r>
      <w:r>
        <w:t xml:space="preserve"> (Garcilaso, Comentarios reales VI, 8)</w:t>
      </w:r>
      <w:r>
        <w:t>. Había ferias de trueque, que «ellos llaman Catu»</w:t>
      </w:r>
      <w:r>
        <w:t xml:space="preserve"> (Garcilaso, Comentarios reales VI, 35)</w:t>
      </w:r>
      <w:r>
        <w:t>, pero no producción para vender</w:t>
      </w:r>
      <w:r>
        <w:t xml:space="preserve"> (J. V. Murra, Reciprocity and Redistribution in Andean Civilizations (Reciprocidad y redistribución en las civilizaciones andinas), 2017, pp. 49-51)</w:t>
      </w:r>
      <w:r>
        <w:t>. El ayni es un servicio que se presta esperando una reciprocidad medida, entre iguales y vecinos; la mita, el trabajo «prestado» por turnos a la comunidad o al Estado</w:t>
      </w:r>
      <w:r>
        <w:t xml:space="preserve"> (Murra, pp. 74-75)</w:t>
      </w:r>
      <w:r>
        <w:t>.</w:t>
      </w:r>
    </w:p>
    <w:p>
      <w:r>
        <w:t>El derecho consuetudinario aborigen australiano es el de pueblos que ocupan el continente desde hace «al menos 40.000 años»</w:t>
      </w:r>
      <w:r>
        <w:t xml:space="preserve"> (Comisión de Reforma Legal de Australia, Recognition of Aboriginal Customary Laws (El reconocimiento del derecho consuetudinario aborigen), ALRC 31, 1986, § 22)</w:t>
      </w:r>
      <w:r>
        <w:t>, y que hablaban unas 250 lenguas y más de 500 dialectos a la llegada de los europeos</w:t>
      </w:r>
      <w:r>
        <w:t xml:space="preserve"> (Oficina de Estadística de Australia, Australian Social Trends 1999)</w:t>
      </w:r>
      <w:r>
        <w:t>. Para ellos, «el Tiempo del Sueño es la Ley»</w:t>
      </w:r>
      <w:r>
        <w:t xml:space="preserve"> (ALRC 31, § 103)</w:t>
      </w:r>
      <w:r>
        <w:t xml:space="preserve">. Sus </w:t>
      </w:r>
      <w:r>
        <w:rPr>
          <w:i/>
        </w:rPr>
        <w:t>songlines</w:t>
      </w:r>
      <w:r>
        <w:t xml:space="preserve"> son «mapas orales del paisaje»</w:t>
      </w:r>
      <w:r>
        <w:t xml:space="preserve"> (R. P. Norris y B. Y. Harney, «Songlines and Navigation in Wardaman and other Australian Aboriginal Cultures» (Las songlines y la navegación entre los wardaman y otras culturas aborígenes australianas), 2014)</w:t>
      </w:r>
      <w:r>
        <w:t xml:space="preserve"> que transmiten la navegación, los territorios de los clanes y la Ley, incluida la que regula la tierra y cómo tratarse unos a otros</w:t>
      </w:r>
      <w:r>
        <w:t xml:space="preserve"> (R. P. Norris, Dawes Review 5, 2016, p. 17; N. Higgins, «Songlines and Land Claims; Space and Place» (Songlines y reclamaciones de tierras; espacio y lugar), 2021, pp. 724-725)</w:t>
      </w:r>
      <w:r>
        <w:t>.</w:t>
      </w:r>
    </w:p>
    <w:p>
      <w:r>
        <w:t>Y en Sudáfrica, tras el apartheid, la Constitución de 1993 pidió «comprensión, no venganza; reparación, no represalia; ubuntu, no victimización»</w:t>
      </w:r>
      <w:r>
        <w:t xml:space="preserve"> (Constitución de la República de Sudáfrica (Ley 200 de 1993), epílogo)</w:t>
      </w:r>
      <w:r>
        <w:t>, y la Ley 34 de 1995 creó la Comisión de la Verdad y la Reconciliación</w:t>
      </w:r>
      <w:r>
        <w:t xml:space="preserve"> (Ley 34 de 1995, de Promoción de la Unidad Nacional y la Reconciliación)</w:t>
      </w:r>
      <w:r>
        <w:t>.</w:t>
      </w:r>
    </w:p>
    <w:p>
      <w:r>
        <w:rPr>
          <w:b/>
        </w:rPr>
        <w:t>El Althing, el derecho azteca, el mir, el Vinaya y la Yassa.</w:t>
      </w:r>
      <w:r>
        <w:t xml:space="preserve"> El Althing de Islandia se estableció en Þingvellir en 930, y su ley se hizo sobre el modelo de la del Gulaþing noruego</w:t>
      </w:r>
      <w:r>
        <w:t xml:space="preserve"> (Ari Þorgilsson, Íslendingabók (Libro de los islandeses), caps. 2 y 3)</w:t>
      </w:r>
      <w:r>
        <w:t>. Tenía poderes legislativos y judiciales, y la ley la hacía un cuerpo selecto dentro de la asamblea, la lögrétta: decidían jefes y jueces, ante la asamblea de hombres libres. Fue suprimido en 1800 y restablecido en 1845, como órgano consultivo, en Reikiavik</w:t>
      </w:r>
      <w:r>
        <w:t xml:space="preserve"> (K. Gjerset, History of Iceland (Historia de Islandia), 1924, pp. 33-34, 346 y 377)</w:t>
      </w:r>
      <w:r>
        <w:t>.</w:t>
      </w:r>
    </w:p>
    <w:p>
      <w:r>
        <w:t>El derecho azteca tenía tribunales escalonados: jueces ordinarios para los pleitos menores, y apelaciones ante doce jueces superiores que «sentenciaban con parecer del Señor»</w:t>
      </w:r>
      <w:r>
        <w:t xml:space="preserve"> (Zorita, pp. 111-113)</w:t>
      </w:r>
      <w:r>
        <w:t>; un juez de barrio que, según Clavijero (siglo XVIII), «se elegía anualmente por los vecinos»; y el cihuacóatl, de cuyas sentencias no se podía apelar «ni aun al mismo rey»</w:t>
      </w:r>
      <w:r>
        <w:t xml:space="preserve"> (F. J. Clavijero, Historia antigua de México, lib. VII, pp. 358-359)</w:t>
      </w:r>
      <w:r>
        <w:t>. Se juzgaba según «las leyes del reino, como las expresaban las pinturas»</w:t>
      </w:r>
      <w:r>
        <w:t xml:space="preserve"> (ídem, p. 360)</w:t>
      </w:r>
      <w:r>
        <w:t>. Nezahualcóyotl, señor de Tezcoco en el siglo XV, «estableció ochenta leyes»</w:t>
      </w:r>
      <w:r>
        <w:t xml:space="preserve"> (F. de Alva Ixtlilxóchitl, Historia de la nación chichimeca, cap. XXXVIII)</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t xml:space="preserve"> (A. Kimball, «The Russian Peasant Obshchina in the Political Culture of the Era of Great Reforms» (La obshchina campesina rusa en la cultura política de la era de las grandes reformas), Universidad de Oregón)</w:t>
      </w:r>
      <w:r>
        <w:t>. El Vinaya budista regulaba la convivencia monástica con un código propio y siete principios para resolver las cuestiones legales, entre ellos la decisión por mayoría</w:t>
      </w:r>
      <w:r>
        <w:t xml:space="preserve"> (Vinaya, Adhikaraṇasamatha, traducción de Bhikkhu Brahmali)</w:t>
      </w:r>
      <w:r>
        <w:t>, aunque remite a la ley del rey para medir el robo grave</w:t>
      </w:r>
      <w:r>
        <w:t xml:space="preserve"> (Vinaya, Pārājika 2)</w:t>
      </w:r>
      <w:r>
        <w:t>. Y la Yassa de Gengis Kan mandaba, según Juvaini, «considerar todas las confesiones como una sola y no distinguirlas entre sí»</w:t>
      </w:r>
      <w:r>
        <w:t>; se escribía en rollos que «se guardan en el tesoro de los príncipes principales»</w:t>
      </w:r>
      <w:r>
        <w:t>, y cada kan que subía al trono ajustaba a ellos sus actos</w:t>
      </w:r>
      <w:r>
        <w:t xml:space="preserve"> (Juvaini, The History of the World-Conqueror (Historia del conquistador del mundo), trad. de J. A. Boyle, 1958, vol. I, cap. II, pp. 25-26)</w:t>
      </w:r>
      <w:r>
        <w:t>. Es la ley de un conquistador, y entra con esa cautela.</w:t>
      </w:r>
    </w:p>
    <w:p>
      <w:r>
        <w:rPr>
          <w:b/>
        </w:rPr>
        <w:t>El tikanga maorí.</w:t>
      </w:r>
      <w:r>
        <w:t xml:space="preserve"> El tikanga maorí de Nueva Zelanda tiene valores y reglas, pero mandan los valores: «son esos valores los que dan la guía principal de conducta»</w:t>
      </w:r>
      <w:r>
        <w:t xml:space="preserve"> (Comisión de Derecho de Nueva Zelanda, Māori Custom and Values in New Zealand Law (La costumbre y los valores maoríes en el derecho de Nueva Zelanda), 2001, § 75)</w:t>
      </w:r>
      <w:r>
        <w:t>. Entre ellos está el utu, que no es solo venganza: es reciprocidad (</w:t>
      </w:r>
      <w:r>
        <w:rPr>
          <w:i/>
        </w:rPr>
        <w:t>tau utuutu</w:t>
      </w:r>
      <w:r>
        <w:t>) y equilibrio, con instituciones como el muru, que trasladaba bienes a los agraviados por la falta de otro</w:t>
      </w:r>
      <w:r>
        <w:t xml:space="preserve"> (ídem, §§ 135 y 156)</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t xml:space="preserve"> (Ellis v R [2022] NZSC 114, §§ 19 y 22)</w:t>
      </w:r>
      <w:r>
        <w:t>.</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t xml:space="preserve"> (Monier-Williams, A Sanskrit-English Dictionary (Diccionario sánscrito-inglés), Oxford, 1899, p. 51)</w:t>
      </w:r>
      <w:r>
        <w:t>.</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(Monier-Williams, p. 1308)</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F. El Arca: los textos de cada tradición, con su fuent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F. El Arca: los textos de cada tradición, con su fuente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