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t xml:space="preserve"> (Suma teológica I, q. 29, a. 1)</w:t>
      </w:r>
      <w:r>
        <w:t>. Y explica por qué ese nombre honra: «porque es de gran dignidad subsistir en una naturaleza racional, todo individuo de naturaleza racional se llama persona»</w:t>
      </w:r>
      <w:r>
        <w:t xml:space="preserve"> (Suma teológica I, q. 29, a. 3, respuesta a la segunda objeción)</w:t>
      </w:r>
      <w:r>
        <w:t>. Es el sentido de la Declaración Universal, que habla de «todo ser humano».</w:t>
      </w:r>
    </w:p>
    <w:p>
      <w:r>
        <w:rPr>
          <w:b/>
        </w:rPr>
        <w:t>La persona que hace el derecho.</w:t>
      </w:r>
      <w:r>
        <w:t xml:space="preserve"> La ley llama también «personas» a ciertas instituciones: «Son personas jurídicas: 1.º Las corporaciones, asociaciones y fundaciones de interés público reconocidas por la ley»</w:t>
      </w:r>
      <w:r>
        <w:t xml:space="preserve"> (Código Civil, art. 35)</w:t>
      </w:r>
      <w:r>
        <w:t>. Y la Administración «actúa para el cumplimiento de sus fines con personalidad jurídica única»</w:t>
      </w:r>
      <w:r>
        <w:t xml:space="preserve"> (Ley 40/2015, art. 3.4)</w:t>
      </w:r>
      <w:r>
        <w:t>.</w:t>
      </w:r>
    </w:p>
    <w:p>
      <w:r>
        <w:rPr>
          <w:b/>
        </w:rPr>
        <w:t>Cómo empieza cada una:</w:t>
      </w:r>
    </w:p>
    <w:p>
      <w:pPr>
        <w:pStyle w:val="ListBullet"/>
      </w:pPr>
      <w:r>
        <w:rPr>
          <w:b/>
        </w:rPr>
        <w:t>la persona:</w:t>
      </w:r>
      <w:r>
        <w:t xml:space="preserve"> «El nacimiento determina la personalidad»</w:t>
      </w:r>
      <w:r>
        <w:t xml:space="preserve"> (Código Civil, art. 29)</w:t>
      </w:r>
      <w:r>
        <w:t>, y la personalidad «se extingue por la muerte de las personas»</w:t>
      </w:r>
      <w:r>
        <w:t xml:space="preserve"> (Código Civil, art. 32)</w:t>
      </w:r>
      <w:r>
        <w:t>;</w:t>
      </w:r>
    </w:p>
    <w:p>
      <w:pPr>
        <w:pStyle w:val="ListBullet"/>
      </w:pPr>
      <w:r>
        <w:rPr>
          <w:b/>
        </w:rPr>
        <w:t>la persona jurídica:</w:t>
      </w:r>
      <w:r>
        <w:t xml:space="preserve"> «Su personalidad empieza desde el instante mismo en que, con arreglo a derecho, hubiesen quedado válidamente constituidas»</w:t>
      </w:r>
      <w:r>
        <w:t xml:space="preserve"> (Código Civil, art. 35)</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rPr>
          <w:b/>
        </w:rPr>
        <w:t>Lo que dicen los textos:</w:t>
      </w:r>
    </w:p>
    <w:p>
      <w:pPr>
        <w:pStyle w:val="ListBullet"/>
      </w:pPr>
      <w:r>
        <w:t>La Declaración Universal de Derechos Humanos, de 1948</w:t>
      </w:r>
      <w:r>
        <w:t xml:space="preserve"> (proclamada por la Asamblea General de las Naciones Unidas en París, el 10 de diciembre de 1948, resolución 217 A (III))</w:t>
      </w:r>
      <w:r>
        <w:t>, parte del «reconocimiento de la dignidad intrínseca y de los derechos iguales e inalienables de todos los miembros de la familia humana»</w:t>
      </w:r>
      <w:r>
        <w:t xml:space="preserve"> (Declaración Universal, preámbulo)</w:t>
      </w:r>
      <w:r>
        <w:t>. Y su primer artículo dice: «Todos los seres humanos nacen libres e iguales en dignidad y derechos y, dotados como están de razón y conciencia, deben comportarse fraternalmente los unos con los otros»</w:t>
      </w:r>
      <w:r>
        <w:t xml:space="preserve"> (Declaración Universal, art. 1)</w:t>
      </w:r>
      <w:r>
        <w:t>.</w:t>
      </w:r>
    </w:p>
    <w:p>
      <w:pPr>
        <w:pStyle w:val="ListBullet"/>
      </w:pPr>
      <w:r>
        <w:t>La Constitución usa la misma idea: «La dignidad de la persona, los derechos inviolables que le son inherentes [...] son fundamento del orden político y de la paz social»</w:t>
      </w:r>
      <w:r>
        <w:t xml:space="preserve"> (Constitución, art. 10.1)</w:t>
      </w:r>
      <w:r>
        <w:t>. Y manda leer los derechos que reconoce «de conformidad con la Declaración Universal de Derechos Humanos»</w:t>
      </w:r>
      <w:r>
        <w:t xml:space="preserve"> (Constitución, art. 10.2)</w:t>
      </w:r>
      <w:r>
        <w:t>.</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t xml:space="preserve"> (Constitución, art. 15)</w:t>
      </w:r>
      <w:r>
        <w:t>, la igualdad</w:t>
      </w:r>
      <w:r>
        <w:t xml:space="preserve"> (art. 14)</w:t>
      </w:r>
      <w:r>
        <w:t>, la libertad</w:t>
      </w:r>
      <w:r>
        <w:t xml:space="preserve"> (art. 17)</w:t>
      </w:r>
      <w:r>
        <w:t>, la protección de los jueces</w:t>
      </w:r>
      <w:r>
        <w:t xml:space="preserve"> (art. 24)</w:t>
      </w:r>
      <w:r>
        <w:t>, la libertad de conciencia</w:t>
      </w:r>
      <w:r>
        <w:t xml:space="preserve"> (art. 16)</w:t>
      </w:r>
      <w:r>
        <w:t xml:space="preserve"> o la de expresión</w:t>
      </w:r>
      <w:r>
        <w:t xml:space="preserve"> (art. 20)</w:t>
      </w:r>
      <w:r>
        <w:t>. Cinco de ellos están, del todo o en parte, entre los «principios rectores», que no se pueden exigir ante un juez como los demás (véase el límite honesto).</w:t>
      </w:r>
    </w:p>
    <w:p>
      <w:r>
        <w:t>La tabla completa, artículo por artículo, se ve en el nivel completo.</w:t>
      </w:r>
    </w:p>
    <w:p>
      <w:r>
        <w:rPr>
          <w:b/>
        </w:rPr>
        <w:t>Con los derechos, los deberes.</w:t>
      </w:r>
      <w:r>
        <w:t xml:space="preserve"> La Declaración no habla solo de derechos: «Toda persona tiene deberes respecto a la comunidad, puesto que sólo en ella puede desarrollar libre y plenamente su personalidad»</w:t>
      </w:r>
      <w:r>
        <w:t xml:space="preserve"> (Declaración Universal, art. 29.1)</w:t>
      </w:r>
      <w:r>
        <w:t>.</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rPr>
          <w:b/>
        </w:rPr>
        <w:t>Lo dicen tradiciones sin contacto documentado entre sí:</w:t>
      </w:r>
    </w:p>
    <w:p>
      <w:pPr>
        <w:pStyle w:val="ListBullet"/>
      </w:pPr>
      <w:r>
        <w:rPr>
          <w:b/>
        </w:rPr>
        <w:t>La Biblia:</w:t>
      </w:r>
      <w:r>
        <w:t xml:space="preserve"> «crió Dios al hombre á su imagen»</w:t>
      </w:r>
      <w:r>
        <w:t xml:space="preserve"> (Gn 1:27)</w:t>
      </w:r>
      <w:r>
        <w:t>.</w:t>
      </w:r>
    </w:p>
    <w:p>
      <w:pPr>
        <w:pStyle w:val="ListBullet"/>
      </w:pPr>
      <w:r>
        <w:rPr>
          <w:b/>
        </w:rPr>
        <w:t>San Agustín:</w:t>
      </w:r>
      <w:r>
        <w:t xml:space="preserve"> Dios no quiso que el ser racional, hecho a su imagen, dominara sino sobre los seres irracionales: «no al hombre sobre el hombre, sino al hombre sobre el ganado»</w:t>
      </w:r>
      <w:r>
        <w:t xml:space="preserve"> (La ciudad de Dios XIX, 15)</w:t>
      </w:r>
      <w:r>
        <w:t>.</w:t>
      </w:r>
    </w:p>
    <w:p>
      <w:pPr>
        <w:pStyle w:val="ListBullet"/>
      </w:pPr>
      <w:r>
        <w:rPr>
          <w:b/>
        </w:rPr>
        <w:t>El budismo:</w:t>
      </w:r>
      <w:r>
        <w:t xml:space="preserve"> «uno mismo es el señor de uno mismo: ¿quién otro podría ser su señor?»</w:t>
      </w:r>
      <w:r>
        <w:t xml:space="preserve"> (Dhammapada 160)</w:t>
      </w:r>
      <w:r>
        <w:t>.</w:t>
      </w:r>
    </w:p>
    <w:p>
      <w:pPr>
        <w:pStyle w:val="ListBullet"/>
      </w:pPr>
      <w:r>
        <w:rPr>
          <w:b/>
        </w:rPr>
        <w:t>Confucio:</w:t>
      </w:r>
      <w:r>
        <w:t xml:space="preserve"> «a un gran ejército se le puede arrebatar su general; al hombre más sencillo no se le puede arrebatar su voluntad»</w:t>
      </w:r>
      <w:r>
        <w:t xml:space="preserve"> (Analectas 9.26)</w:t>
      </w:r>
      <w:r>
        <w:t>.</w:t>
      </w:r>
    </w:p>
    <w:p>
      <w:pPr>
        <w:pStyle w:val="ListBullet"/>
      </w:pPr>
      <w:r>
        <w:rPr>
          <w:b/>
        </w:rPr>
        <w:t>Mill:</w:t>
      </w:r>
      <w:r>
        <w:t xml:space="preserve"> «sobre sí mismo, sobre su propio cuerpo y su propia mente, el individuo es soberano»</w:t>
      </w:r>
      <w:r>
        <w:t xml:space="preserve"> (John Stuart Mill, Sobre la libertad, 1859, cap. I)</w:t>
      </w:r>
      <w:r>
        <w:t>.</w:t>
      </w:r>
    </w:p>
    <w:p>
      <w:pPr>
        <w:pStyle w:val="ListBullet"/>
      </w:pPr>
      <w:r>
        <w:rPr>
          <w:b/>
        </w:rPr>
        <w:t>La Constitución:</w:t>
      </w:r>
      <w:r>
        <w:t xml:space="preserve"> «La soberanía nacional reside en el pueblo español, del que emanan los poderes del Estado»</w:t>
      </w:r>
      <w:r>
        <w:t xml:space="preserve"> (Constitución, art. 1.2)</w:t>
      </w:r>
      <w:r>
        <w:t>.</w:t>
      </w:r>
    </w:p>
    <w:p>
      <w:pPr>
        <w:pStyle w:val="ListBullet"/>
      </w:pPr>
      <w:r>
        <w:t>Lo dicen también el judaísmo, el islam, la India, Mencio y Laozi; sus textos se ven en el nivel completo.</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Lo que niega es que venga de la naturaleza: «ese nombre lo mereció la culpa, no la naturaleza»</w:t>
      </w:r>
      <w:r>
        <w:t xml:space="preserve"> (La ciudad de Dios XIX, 15)</w:t>
      </w:r>
      <w:r>
        <w:t>.</w:t>
      </w:r>
    </w:p>
    <w:p>
      <w:pPr>
        <w:pStyle w:val="ListBullet"/>
      </w:pPr>
      <w:r>
        <w:t>La imagen no hace a nadie Dios: «como hombres moriréis»</w:t>
      </w:r>
      <w:r>
        <w:t xml:space="preserve"> (Sal 82:7; </w:t>
      </w:r>
      <w:r>
        <w:t>1.3</w:t>
      </w:r>
      <w:r>
        <w:t>)</w:t>
      </w:r>
      <w:r>
        <w:t>.</w:t>
      </w:r>
    </w:p>
    <w:p>
      <w:pPr>
        <w:pStyle w:val="ListBullet"/>
      </w:pPr>
      <w:r>
        <w:t>Las palabras no son las mismas: imagen, espíritu, señorío, voluntad o nobleza no significan exactamente «soberanía». Coincide la idea, no el término.</w:t>
      </w:r>
    </w:p>
    <w:p>
      <w:r>
        <w:rPr>
          <w:b/>
        </w:rPr>
        <w:t>El límite.</w:t>
      </w:r>
      <w:r>
        <w:t xml:space="preserve"> Mill lo pone en el mismo libro: «el único fin por el que se puede ejercer con derecho el poder sobre cualquier miembro de una comunidad civilizada, contra su voluntad, es impedir que dañe a otros»</w:t>
      </w:r>
      <w:r>
        <w:t xml:space="preserve"> (Sobre la libertad, cap. I)</w:t>
      </w:r>
      <w:r>
        <w:t>. Y cada uno responde de lo suyo: «El alma que pecare, esa morirá: el hijo no llevará por el pecado del padre, ni el padre llevará por el pecado del hijo»</w:t>
      </w:r>
      <w:r>
        <w:t xml:space="preserve"> (Ez 18:20)</w:t>
      </w:r>
      <w:r>
        <w:t>.</w:t>
      </w:r>
    </w:p>
    <w:p>
      <w:r>
        <w:rPr>
          <w:b/>
        </w:rPr>
        <w:t>Lectura del autor:</w:t>
      </w:r>
      <w:r>
        <w:t xml:space="preserve"> Dios nos creó a imagen y semejanza. De ahí viene la soberanía de cada uno sobre sí mismo, que ningún ente sin cuerpo puede dar ni quitar.</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t xml:space="preserve"> (Gn 1:27)</w:t>
      </w:r>
      <w:r>
        <w:t>. Y: «Varón y hembra los crió; y los bendijo, y llamó el nombre de ellos Adam»</w:t>
      </w:r>
      <w:r>
        <w:t xml:space="preserve"> (Gn 5:2)</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t xml:space="preserve"> (Brihadaranyaka Upanishad I, 4, 3)</w:t>
      </w:r>
      <w:r>
        <w:t>.</w:t>
      </w:r>
    </w:p>
    <w:p>
      <w:pPr>
        <w:pStyle w:val="ListBullet"/>
      </w:pPr>
      <w:r>
        <w:rPr>
          <w:b/>
        </w:rPr>
        <w:t>El islam:</w:t>
      </w:r>
      <w:r>
        <w:t xml:space="preserve"> «¡Hombres! ¡Temed a vuestro Señor, Que os ha creado de una sola persona, de la que ha creado a su cónyuge!»</w:t>
      </w:r>
      <w:r>
        <w:t xml:space="preserve"> (Corán 4:1, traducción de Julio Cortés)</w:t>
      </w:r>
      <w:r>
        <w:t>.</w:t>
      </w:r>
    </w:p>
    <w:p>
      <w:r>
        <w:rPr>
          <w:b/>
        </w:rPr>
        <w:t>Lo que dicen después, en el mismo libro o en el mismo relato:</w:t>
      </w:r>
    </w:p>
    <w:p>
      <w:pPr>
        <w:pStyle w:val="ListBullet"/>
      </w:pPr>
      <w:r>
        <w:rPr>
          <w:b/>
        </w:rPr>
        <w:t>La Biblia:</w:t>
      </w:r>
      <w:r>
        <w:t xml:space="preserve"> «Y de la costilla que Jehová Dios tomó del hombre, hizo una mujer»</w:t>
      </w:r>
      <w:r>
        <w:t xml:space="preserve"> (Gn 2:22)</w:t>
      </w:r>
      <w:r>
        <w:t>; «ésta será llamada Varona, porque del varón fué tomada»</w:t>
      </w:r>
      <w:r>
        <w:t xml:space="preserve"> (Gn 2:23)</w:t>
      </w:r>
      <w:r>
        <w:t>. Y, tras la caída, a la mujer: «á tu marido será tu deseo, y él se enseñoreará de ti»</w:t>
      </w:r>
      <w:r>
        <w:t xml:space="preserve"> (Gn 3:16)</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t xml:space="preserve"> (Corán 4:34, traducción de Julio Cortés)</w:t>
      </w:r>
      <w:r>
        <w:t>. El verso sigue: «¡Amonestad a aquéllas de quienes temáis que se rebelen, dejadlas solas en el lecho, pegadles!».</w:t>
      </w:r>
    </w:p>
    <w:p>
      <w:r>
        <w:t>Hay más pasajes: el judaísmo rabínico, Manu, el Banquete de Platón, Pablo, Hesíodo, Persia, el Norte de Europa, Mesopotamia, China, Japón y los iroqueses. Se ven en el nivel completo, y todos, con su clasificación, en el más hondo.</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t xml:space="preserve"> (Constitución, art. 17.4)</w:t>
      </w:r>
      <w:r>
        <w:t>. También protege «la vida y [...] la integridad física y moral»</w:t>
      </w:r>
      <w:r>
        <w:t xml:space="preserve"> (Constitución, art. 15)</w:t>
      </w:r>
      <w:r>
        <w:t>.</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t xml:space="preserve"> (Kant, ¿Qué es la Ilustración?, 1784)</w:t>
      </w:r>
      <w:r>
        <w:t xml:space="preserve">. Y su lema: </w:t>
      </w:r>
      <w:r>
        <w:rPr>
          <w:i/>
        </w:rPr>
        <w:t>Sapere aude!</w:t>
      </w:r>
      <w:r>
        <w:t>, «¡atrévete a saber! ¡Ten valor para servirte de tu propio entendimiento!»</w:t>
      </w:r>
      <w:r>
        <w:t>.</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t xml:space="preserve"> (Gn 1:31)</w:t>
      </w:r>
      <w:r>
        <w:t>.</w:t>
      </w:r>
    </w:p>
    <w:p>
      <w:pPr>
        <w:pStyle w:val="ListBullet"/>
      </w:pPr>
      <w:r>
        <w:t>Pablo: los que no tienen ley muestran «la obra de la ley escrita en sus corazones, dando testimonio juntamente sus conciencias»</w:t>
      </w:r>
      <w:r>
        <w:t xml:space="preserve"> (Rm 2:15)</w:t>
      </w:r>
      <w:r>
        <w:t>.</w:t>
      </w:r>
    </w:p>
    <w:p>
      <w:pPr>
        <w:pStyle w:val="ListBullet"/>
      </w:pPr>
      <w:r>
        <w:t>El Corán: «¡Por el alma y Quien le ha dado forma armoniosa, instruyéndole sobre su propensión al pecado y su temor de Dios!»</w:t>
      </w:r>
      <w:r>
        <w:t xml:space="preserve"> (Corán 91:7-8, traducción de Julio Cortés)</w:t>
      </w:r>
      <w:r>
        <w: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t xml:space="preserve"> (Kant, Fundamentación de la metafísica de las costumbres, 1785)</w:t>
      </w:r>
      <w:r>
        <w:t>. Lo que tiene precio se puede cambiar por otra cosa; lo que no admite nada a cambio tiene dignidad. Y de ahí su regla: «obra de tal modo que trates a la humanidad, tanto en tu persona como en la de cualquier otro, siempre a la vez como fin y nunca solo como medio»</w:t>
      </w:r>
      <w:r>
        <w:t xml:space="preserve"> (misma obra)</w:t>
      </w:r>
      <w:r>
        <w:t>. Es la idea de 2.2: la dignidad no se concede, se reconoce.</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t xml:space="preserve"> (Mt 7:16; </w:t>
      </w:r>
      <w:r>
        <w:t>0.5</w:t>
      </w:r>
      <w:r>
        <w:t>)</w:t>
      </w:r>
      <w:r>
        <w:t>. Si alguien dice una cosa y hace otra, el pacto se rompe solo, sin tribunal ni castigo. Coherencia es pensar, decir, sentir y hacer en la misma dirección.</w:t>
      </w:r>
    </w:p>
    <w:p>
      <w:r>
        <w:rPr>
          <w:b/>
        </w:rPr>
        <w:t>La objeción, con su respuesta.</w:t>
      </w:r>
      <w:r>
        <w:t xml:space="preserve"> El Estado diría que exigir avales es un filtro arbitrario: él reconoce los mismos derechos a todos, sin aval de nadie</w:t>
      </w:r>
      <w:r>
        <w:t xml:space="preserve"> (Constitución, art. 14)</w:t>
      </w:r>
      <w:r>
        <w:t>. Es una objeción seria, y la obra la recoge: su propuesta pública no usa avales, y el jurado del juicio popular se elige por sorteo (</w:t>
      </w:r>
      <w:r>
        <w:t>11.1</w:t>
      </w:r>
      <w:r>
        <w:t>). El aval es solo para una unión voluntaria, no para acceder a ningún derecho.</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t xml:space="preserve"> (Constitución, art. 22.1)</w:t>
      </w:r>
      <w:r>
        <w:t>. Quien quiera dar ese paso necesita asesoramiento profesional.</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t xml:space="preserve"> (Platón, Apología 21d)</w:t>
      </w:r>
      <w:r>
        <w:t>. Es lo que se resume en «solo sé que no sé nada».</w:t>
      </w:r>
    </w:p>
    <w:p>
      <w:pPr>
        <w:pStyle w:val="ListBullet"/>
      </w:pPr>
      <w:r>
        <w:rPr>
          <w:b/>
        </w:rPr>
        <w:t>Confucio:</w:t>
      </w:r>
      <w:r>
        <w:t xml:space="preserve"> «saber lo que se sabe, y saber que no se sabe lo que no se sabe: eso es saber»</w:t>
      </w:r>
      <w:r>
        <w:t xml:space="preserve"> (Analectas 2.17)</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t xml:space="preserve"> (Mt 18:3-4)</w:t>
      </w:r>
      <w:r>
        <w:t>.</w:t>
      </w:r>
    </w:p>
    <w:p>
      <w:pPr>
        <w:pStyle w:val="ListBullet"/>
      </w:pPr>
      <w:r>
        <w:t>Lo dicen también Laozi, el judaísmo, el islam y el libro de Job; sus textos se ven en el nivel completo.</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t xml:space="preserve"> (Rm 7:19)</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t xml:space="preserve"> (Fedro 246b)</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t xml:space="preserve"> (Xunzi 23)</w:t>
      </w:r>
      <w:r>
        <w:t>.</w:t>
      </w:r>
    </w:p>
    <w:p>
      <w:r>
        <w:t xml:space="preserve">Lo que pasa cuando un poder deja de sentirse aprendiz, y deja de corregirse, se verá en </w:t>
      </w:r>
      <w:r>
        <w:t>6.2</w:t>
      </w:r>
      <w:r>
        <w:t>.</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t xml:space="preserve"> (Heb 5:14)</w:t>
      </w:r>
      <w:r>
        <w:t>. No es un título. «Cuando yo era niño, hablaba como niño, pensaba como niño, juzgaba como niño, mas cuando ya fuí hombre hecho, dejé lo que era de niño»</w:t>
      </w:r>
      <w:r>
        <w:t xml:space="preserve"> (1 Co 13:11)</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en cambio, las que venían de la tierra, «habiendo sufrido ellas mismas y visto sufrir a otros, no se precipitaban al elegir»</w:t>
      </w:r>
      <w:r>
        <w:t xml:space="preserve"> (República X, 619c-d, traducción inglesa de Jowett)</w:t>
      </w:r>
      <w:r>
        <w:t>. El límite: que la dificultad enseñe no justifica a quien la causa. El daño al prójimo se sigue midiendo con la vara (</w:t>
      </w:r>
      <w:r>
        <w:t>0.5</w:t>
      </w:r>
      <w:r>
        <w:t>).</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(Platón, República X, 618c)</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t xml:space="preserve"> (Jn 8:44)</w:t>
      </w:r>
      <w:r>
        <w:t>. «Así, todo buen árbol lleva buenos frutos; mas el árbol maleado lleva malos frutos»</w:t>
      </w:r>
      <w:r>
        <w:t xml:space="preserve"> (Mt 7:17)</w:t>
      </w:r>
      <w:r>
        <w:t>. Con la condición del propio texto: «Dejad crecer juntamente lo uno y lo otro hasta la siega»</w:t>
      </w:r>
      <w:r>
        <w:t xml:space="preserve"> (Mt 13:30)</w:t>
      </w:r>
      <w:r>
        <w:t>, y «la siega es el fin del mundo, y los segadores son los ángeles»</w:t>
      </w:r>
      <w:r>
        <w:t xml:space="preserve"> (Mt 13:39)</w:t>
      </w:r>
      <w:r>
        <w:t>. Por eso la obra no arranca a nadie: discierne caso a caso, con pruebas, y la siega final no es nuestra. Que «ha llegado este tiempo» es lectura del autor: es el tiempo del desvelamiento y del discernimiento, no de la siega.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t xml:space="preserve"> (Código Civil, art. 434)</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t xml:space="preserve"> (Código Penal, art. 20.5.º)</w:t>
      </w:r>
      <w:r>
        <w:t>. Pero no responde igual quien sabe que quien no sabe: «á cualquiera que fué dado mucho, mucho será vuelto á demandar de él»</w:t>
      </w:r>
      <w:r>
        <w:t xml:space="preserve"> (Lc 12:48)</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t xml:space="preserve"> (Código Penal, art. 384)</w:t>
      </w:r>
      <w:r>
        <w:t>. No se ha encontrado ninguna sentencia española que nombre estas teorías por su nombre.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rPr>
          <w:b/>
        </w:rPr>
        <w:t>Lo que esta obra no es.</w:t>
      </w:r>
      <w:r>
        <w:t xml:space="preserve"> No exime de ninguna obligación vigente: «Los ciudadanos y los poderes públicos están sujetos a la Constitución y al resto del ordenamiento jurídico»</w:t>
      </w:r>
      <w:r>
        <w:t xml:space="preserve"> (Constitución, art. 9.1)</w:t>
      </w:r>
      <w:r>
        <w:t>. No invita a desobedecer. Su vía es la constancia escrita, la petición documentada y el juicio popular de la verdad, que juzga instituciones, no personas (</w:t>
      </w:r>
      <w:r>
        <w:t>0.2</w:t>
      </w:r>
      <w:r>
        <w:t>).</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t xml:space="preserve">. </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t xml:space="preserve"> (Constitución, art. 9.1)</w:t>
      </w:r>
      <w:r>
        <w:t xml:space="preserve">. </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