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jc w:val="center"/>
      </w:pPr>
      <w:r>
        <w:rPr>
          <w:rFonts w:ascii="Georgia" w:hAnsi="Georgia" w:eastAsia="Georgia" w:cs="Georgia"/>
          <w:b/>
          <w:color w:val="1F1D1A"/>
          <w:sz w:val="60"/>
        </w:rPr>
        <w:t>Apocalipsis del Sistema</w:t>
      </w:r>
    </w:p>
    <w:p>
      <w:pPr>
        <w:spacing w:after="80"/>
        <w:jc w:val="center"/>
      </w:pPr>
      <w:r>
        <w:rPr>
          <w:rFonts w:ascii="Segoe UI" w:hAnsi="Segoe UI" w:eastAsia="Segoe UI" w:cs="Segoe UI"/>
          <w:b w:val="0"/>
          <w:color w:val="1F1D1A"/>
          <w:sz w:val="28"/>
        </w:rPr>
        <w:t>Edición de lectura</w:t>
      </w:r>
    </w:p>
    <w:p>
      <w:pPr>
        <w:spacing w:after="80"/>
        <w:jc w:val="center"/>
      </w:pPr>
      <w:r>
        <w:rPr>
          <w:rFonts w:ascii="Segoe UI" w:hAnsi="Segoe UI" w:eastAsia="Segoe UI" w:cs="Segoe UI"/>
          <w:b w:val="0"/>
          <w:color w:val="6B665E"/>
          <w:sz w:val="24"/>
        </w:rPr>
        <w:t>Kiko Orozco Rocamora</w:t>
      </w:r>
    </w:p>
    <w:p>
      <w:pPr>
        <w:spacing w:after="80"/>
        <w:jc w:val="center"/>
      </w:pPr>
      <w:r>
        <w:rPr>
          <w:rFonts w:ascii="Segoe UI" w:hAnsi="Segoe UI" w:eastAsia="Segoe UI" w:cs="Segoe UI"/>
          <w:b/>
          <w:color w:val="6B665E"/>
          <w:sz w:val="24"/>
        </w:rPr>
        <w:t>La obra entera: con las referencias</w:t>
      </w:r>
    </w:p>
    <w:p>
      <w:pPr>
        <w:spacing w:after="80"/>
        <w:jc w:val="center"/>
      </w:pPr>
      <w:r>
        <w:rPr>
          <w:rFonts w:ascii="Segoe UI" w:hAnsi="Segoe UI" w:eastAsia="Segoe UI" w:cs="Segoe UI"/>
          <w:b w:val="0"/>
          <w:color w:val="6B665E"/>
          <w:sz w:val="18"/>
        </w:rPr>
        <w:t>Versión del 13 de octubre de 2026 · huella SHA-256 de los textos 2a4fcfc34e05630b…</w:t>
      </w:r>
    </w:p>
    <w:p>
      <w:pPr>
        <w:spacing w:before="360"/>
        <w:jc w:val="center"/>
      </w:pPr>
      <w:r>
        <w:rPr>
          <w:rFonts w:ascii="Georgia" w:hAnsi="Georgia" w:eastAsia="Georgia" w:cs="Georgia"/>
          <w:b w:val="0"/>
          <w:i/>
          <w:color w:val="6B665E"/>
          <w:sz w:val="22"/>
        </w:rPr>
        <w:t>«Esta obra no pide fe, la somete a examen».</w:t>
      </w:r>
    </w:p>
    <w:p>
      <w:r>
        <w:br w:type="page"/>
      </w:r>
    </w:p>
    <w:p>
      <w:pPr>
        <w:pStyle w:val="Heading1"/>
      </w:pPr>
      <w:r>
        <w:t>Contenido</w:t>
      </w:r>
    </w:p>
    <w:p>
      <w:pPr>
        <w:spacing w:after="40"/>
      </w:pPr>
      <w:r>
        <w:t>Agradecimientos del autor</w:t>
      </w:r>
    </w:p>
    <w:p>
      <w:pPr>
        <w:spacing w:after="40"/>
      </w:pPr>
      <w:r>
        <w:t>0 Propósito, y cómo se lee esta obra</w:t>
      </w:r>
    </w:p>
    <w:p>
      <w:pPr>
        <w:spacing w:after="40"/>
      </w:pPr>
      <w:r>
        <w:t>1 El orden de las leyes</w:t>
      </w:r>
    </w:p>
    <w:p>
      <w:pPr>
        <w:spacing w:after="40"/>
      </w:pPr>
      <w:r>
        <w:t>2 La persona y los derechos que preceden al Estado</w:t>
      </w:r>
    </w:p>
    <w:p>
      <w:pPr>
        <w:spacing w:after="40"/>
      </w:pPr>
      <w:r>
        <w:t>3 Lo que todas las tradiciones guardaron: el Arca</w:t>
      </w:r>
    </w:p>
    <w:p>
      <w:pPr>
        <w:spacing w:after="40"/>
      </w:pPr>
      <w:r>
        <w:t>4 Discernir: el mal sin cuerpo</w:t>
      </w:r>
    </w:p>
    <w:p>
      <w:pPr>
        <w:spacing w:after="40"/>
      </w:pPr>
      <w:r>
        <w:t>5 Lo que se da por supuesto</w:t>
      </w:r>
    </w:p>
    <w:p>
      <w:pPr>
        <w:spacing w:after="40"/>
      </w:pPr>
      <w:r>
        <w:t>6 Cómo se construyó el Estado</w:t>
      </w:r>
    </w:p>
    <w:p>
      <w:pPr>
        <w:spacing w:after="40"/>
      </w:pPr>
      <w:r>
        <w:t>7 La auditoría: la Constitución frente a los hechos</w:t>
      </w:r>
    </w:p>
    <w:p>
      <w:pPr>
        <w:spacing w:after="40"/>
      </w:pPr>
      <w:r>
        <w:t>8 Los frutos</w:t>
      </w:r>
    </w:p>
    <w:p>
      <w:pPr>
        <w:spacing w:after="40"/>
      </w:pPr>
      <w:r>
        <w:t>9 El dictamen</w:t>
      </w:r>
    </w:p>
    <w:p>
      <w:pPr>
        <w:spacing w:after="40"/>
      </w:pPr>
      <w:r>
        <w:t>10 Las puertas</w:t>
      </w:r>
    </w:p>
    <w:p>
      <w:pPr>
        <w:spacing w:after="40"/>
      </w:pPr>
      <w:r>
        <w:t>11 El juicio popular de la verdad</w:t>
      </w:r>
    </w:p>
    <w:p>
      <w:pPr>
        <w:spacing w:after="40"/>
      </w:pPr>
      <w:r>
        <w:t>Anexo A. La auditoría completa de la Constitución: los 169 artículos</w:t>
      </w:r>
    </w:p>
    <w:p>
      <w:pPr>
        <w:spacing w:after="40"/>
      </w:pPr>
      <w:r>
        <w:t>Anexo B. La carga fiscal en detalle</w:t>
      </w:r>
    </w:p>
    <w:p>
      <w:pPr>
        <w:spacing w:after="40"/>
      </w:pPr>
      <w:r>
        <w:t>Anexo C. Lo que cuesta el Estado: el anexo de datos</w:t>
      </w:r>
    </w:p>
    <w:p>
      <w:pPr>
        <w:spacing w:after="40"/>
      </w:pPr>
      <w:r>
        <w:t>Anexo D. El botiquín: los doce modelos de escrito</w:t>
      </w:r>
    </w:p>
    <w:p>
      <w:pPr>
        <w:spacing w:after="40"/>
      </w:pPr>
      <w:r>
        <w:t>Anexo E. Lo que se afirma sin documento</w:t>
      </w:r>
    </w:p>
    <w:p>
      <w:pPr>
        <w:spacing w:after="40"/>
      </w:pPr>
      <w:r>
        <w:t>Anexo F. El Arca: los textos de cada tradición, con su fuente</w:t>
      </w:r>
    </w:p>
    <w:p>
      <w:pPr>
        <w:spacing w:after="40"/>
      </w:pPr>
      <w:r>
        <w:t>Anexo G. Cómo se hizo esta obra, para repetirla en otro país</w:t>
      </w:r>
    </w:p>
    <w:p>
      <w:pPr>
        <w:spacing w:after="40"/>
      </w:pPr>
      <w:r>
        <w:t>Anexo H. El glosario</w:t>
      </w:r>
    </w:p>
    <w:p>
      <w:pPr>
        <w:spacing w:after="40"/>
      </w:pPr>
      <w:r>
        <w:t>Anexo I. Las fuentes</w:t>
      </w:r>
    </w:p>
    <w:p>
      <w:pPr>
        <w:spacing w:after="40"/>
      </w:pPr>
      <w:r>
        <w:t>Anexo J. La balanza equilibrada: lo que habría sido de ajustarse a lo recibido</w:t>
      </w:r>
    </w:p>
    <w:p>
      <w:r>
        <w:br w:type="page"/>
      </w:r>
    </w:p>
    <w:p>
      <w:pPr>
        <w:pStyle w:val="Heading1"/>
      </w:pPr>
      <w:r>
        <w:t>Agradecimientos del autor</w:t>
      </w:r>
    </w:p>
    <w:p>
      <w:pPr>
        <w:spacing w:after="200"/>
      </w:pPr>
      <w:r>
        <w:rPr>
          <w:rFonts w:ascii="Segoe UI" w:hAnsi="Segoe UI" w:eastAsia="Segoe UI" w:cs="Segoe UI"/>
          <w:color w:val="6B665E"/>
          <w:sz w:val="17"/>
        </w:rPr>
        <w:t>Primera versión: 5 de octubre de 2026 · Última revisión: 5 de octubre de 2026</w:t>
      </w:r>
    </w:p>
    <w:p>
      <w:r>
        <w:t>Doy las gracias, de todo corazón, a la Iglesia ortodoxa Tewahedo de Etiopía. Para mí, son unos guardianes fieles del cristianismo: así los veo y así los reconozco. Gracias a ellos se conservan enteros el Libro de Enoc y el de los Jubileos, que solo han llegado completos en su lengua, el ge'ez, y los Evangelios de Garima, escritos hace unos mil quinientos años (</w:t>
      </w:r>
      <w:r>
        <w:t>0.1</w:t>
      </w:r>
      <w:r>
        <w:t>).</w:t>
      </w:r>
    </w:p>
    <w:p>
      <w:r>
        <w:t>Doy las gracias también a todos los que, a lo largo de toda la historia y en todas las religiones, han custodiado con dignidad la palabra de Dios. Cada uno ha conservado una pieza del rompecabezas. Y gracias a Jesús, a su palabra y al resto de los custodios de todas las religiones, se ha podido recuperar.</w:t>
      </w:r>
    </w:p>
    <w:p>
      <w:r>
        <w:t>Y un agradecimiento muy, pero que muy especial, a todos los custodios. Reconozco su gran sacrificio. En especial, a quienes han custodiado el arca de la alianza.</w:t>
      </w:r>
    </w:p>
    <w:p>
      <w:r>
        <w:t>Kiko Orozco Rocamora</w:t>
      </w:r>
    </w:p>
    <w:p>
      <w:r>
        <w:br w:type="page"/>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t xml:space="preserve"> (Museo de Israel, «The Digital Dead Sea Scrolls»)</w:t>
      </w:r>
      <w:r>
        <w:t>.</w:t>
      </w:r>
    </w:p>
    <w:p>
      <w:pPr>
        <w:pStyle w:val="ListBullet"/>
      </w:pPr>
      <w:r>
        <w:rPr>
          <w:b/>
        </w:rPr>
        <w:t>Los Vedas</w:t>
      </w:r>
      <w:r>
        <w:t xml:space="preserve"> se han transmitido de memoria durante miles de años, cuidando que no cambie el sonido de cada palabra</w:t>
      </w:r>
      <w:r>
        <w:t xml:space="preserve"> (UNESCO, ficha de la tradición del canto védico)</w:t>
      </w:r>
      <w:r>
        <w:t>.</w:t>
      </w:r>
    </w:p>
    <w:p>
      <w:pPr>
        <w:pStyle w:val="ListBullet"/>
      </w:pPr>
      <w:r>
        <w:rPr>
          <w:b/>
        </w:rPr>
        <w:t>Los Evangelios de Garima,</w:t>
      </w:r>
      <w:r>
        <w:t xml:space="preserve"> escritos hace unos mil quinientos años, todavía se veneran en su monasterio de Etiopía</w:t>
      </w:r>
      <w:r>
        <w:t xml:space="preserve"> (Ethiopian Heritage Fund)</w:t>
      </w:r>
      <w:r>
        <w:t>.</w:t>
      </w:r>
    </w:p>
    <w:p>
      <w:r>
        <w:t>Ese celo es un testimonio: muestra lo que los pueblos han tenido por ley por encima de toda ley. Da igual el nombre que cada pueblo dé a Dios: lo que todos guardaron coincide en lo esencial.</w:t>
      </w:r>
    </w:p>
    <w:p>
      <w:r>
        <w:t>Los hechos completos, con sus fuentes, se ven en el nivel completo.</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t xml:space="preserve"> (Diccionario de la lengua española)</w:t>
      </w:r>
      <w:r>
        <w:t>. La obra usa la palabra en ese sentido: descubrir cómo funciona el sistema, que está a la vista de todos, pero escondido en su complejidad. No anuncia el fin del mundo.</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t xml:space="preserve"> (WWF y ZSL, Informe Planeta Vivo 2026 y 2024)</w:t>
      </w:r>
      <w:r>
        <w:t>; en España, 1.855 especies amenazadas y el 74 % de los tipos de hábitat en estado desfavorable (2013-2018), cifra que sube sobre todo porque hay menos evaluaciones con resultado desconocido</w:t>
      </w:r>
      <w:r>
        <w:t xml:space="preserve"> (MITECO, informes del Patrimonio Natural y de la Biodiversidad 2024 y 2020)</w:t>
      </w:r>
      <w:r>
        <w:t>;</w:t>
      </w:r>
    </w:p>
    <w:p>
      <w:pPr>
        <w:pStyle w:val="ListBullet2"/>
      </w:pPr>
      <w:r>
        <w:rPr>
          <w:b/>
        </w:rPr>
        <w:t>los bosques:</w:t>
      </w:r>
      <w:r>
        <w:t xml:space="preserve"> el del mundo mengua, cada vez más despacio; el de España crece un 37,6 % de 1990 a 2025 (cálculo de la edición), sobre todo el que se regenera solo</w:t>
      </w:r>
      <w:r>
        <w:t xml:space="preserve"> (FAO, Evaluación de los recursos forestales mundiales 2025)</w:t>
      </w:r>
      <w:r>
        <w:t>, pero en 2024 casi una cuarta parte de sus árboles muestreados había perdido más de la cuarta parte de sus hojas, sobre todo por la sequía</w:t>
      </w:r>
      <w:r>
        <w:t xml:space="preserve"> (MITECO, informe del Patrimonio Natural y de la Biodiversidad 2024)</w:t>
      </w:r>
      <w:r>
        <w:t>;</w:t>
      </w:r>
    </w:p>
    <w:p>
      <w:pPr>
        <w:pStyle w:val="ListBullet2"/>
      </w:pPr>
      <w:r>
        <w:rPr>
          <w:b/>
        </w:rPr>
        <w:t>el mar:</w:t>
      </w:r>
      <w:r>
        <w:t xml:space="preserve"> las poblaciones marinas que se siguen, un 59 % menos de 1970 a 2022</w:t>
      </w:r>
      <w:r>
        <w:t xml:space="preserve"> (WWF y ZSL, 2026)</w:t>
      </w:r>
      <w:r>
        <w:t>; las pesquerías sobreexplotadas, del 10 % al 37,7 % de las poblaciones evaluadas de 1974 a 2021; el Mediterráneo y el mar Negro, entre lo peor, pero mejoran</w:t>
      </w:r>
      <w:r>
        <w:t xml:space="preserve"> (FAO, El estado mundial de la pesca y la acuicultura 2024; Comisión General de Pesca del Mediterráneo, 2023)</w:t>
      </w:r>
      <w:r>
        <w:t>; en los mares de Europa, el 80 % de las zonas evaluadas, con problemas por contaminantes</w:t>
      </w:r>
      <w:r>
        <w:t xml:space="preserve"> (Agencia Europea de Medio Ambiente)</w:t>
      </w:r>
      <w:r>
        <w:t>;</w:t>
      </w:r>
    </w:p>
    <w:p>
      <w:pPr>
        <w:pStyle w:val="ListBullet2"/>
      </w:pPr>
      <w:r>
        <w:rPr>
          <w:b/>
        </w:rPr>
        <w:t>el aire:</w:t>
      </w:r>
      <w:r>
        <w:t xml:space="preserve"> en España, casi ninguna zona por encima de los valores legales, salvo el ozono (20 de 132 zonas en 2024)</w:t>
      </w:r>
      <w:r>
        <w:t xml:space="preserve"> (MITECO, Evaluación de la calidad del aire en España 2024)</w:t>
      </w:r>
      <w:r>
        <w:t>; con los valores guía de la OMS, más exigentes, más del 90 % de la población urbana de la UE, por encima; y la contaminación baja desde hace dos décadas</w:t>
      </w:r>
      <w:r>
        <w:t xml:space="preserve"> (Agencia Europea de Medio Ambiente, 2026)</w:t>
      </w:r>
      <w:r>
        <w:t>;</w:t>
      </w:r>
    </w:p>
    <w:p>
      <w:pPr>
        <w:pStyle w:val="ListBullet2"/>
      </w:pPr>
      <w:r>
        <w:rPr>
          <w:b/>
        </w:rPr>
        <w:t>el agua:</w:t>
      </w:r>
      <w:r>
        <w:t xml:space="preserve"> en España, en buen estado, el 50,2 % de las masas superficiales y el 54,1 % de las subterráneas (2023; cálculo de la edición)</w:t>
      </w:r>
      <w:r>
        <w:t xml:space="preserve"> (MITECO, informe del Patrimonio Natural y de la Biodiversidad 2024)</w:t>
      </w:r>
      <w:r>
        <w:t>;</w:t>
      </w:r>
    </w:p>
    <w:p>
      <w:pPr>
        <w:pStyle w:val="ListBullet2"/>
      </w:pPr>
      <w:r>
        <w:rPr>
          <w:b/>
        </w:rPr>
        <w:t>el suelo:</w:t>
      </w:r>
      <w:r>
        <w:t xml:space="preserve"> en España, el 24,8 % de la superficie erosionable, con erosión media o alta</w:t>
      </w:r>
      <w:r>
        <w:t xml:space="preserve"> (MITECO, informe del Patrimonio Natural y de la Biodiversidad 2024)</w:t>
      </w:r>
      <w:r>
        <w:t>; en la UE, más del 60 % de los suelos, probablemente degradado</w:t>
      </w:r>
      <w:r>
        <w:t xml:space="preserve"> (Centro Común de Investigación de la Comisión Europea, 2024)</w:t>
      </w:r>
      <w:r>
        <w:t>;</w:t>
      </w:r>
    </w:p>
    <w:p>
      <w:pPr>
        <w:pStyle w:val="ListBullet2"/>
      </w:pPr>
      <w:r>
        <w:rPr>
          <w:b/>
        </w:rPr>
        <w:t>lo que se recupera:</w:t>
      </w:r>
      <w:r>
        <w:t xml:space="preserve"> en España, el lince ibérico, de unos 100 ejemplares en 2011 a más de 600 en 2017, y el águila imperial, el quebrantahuesos y el oso pardo</w:t>
      </w:r>
      <w:r>
        <w:t xml:space="preserve"> (MITECO, informe del Patrimonio Natural y de la Biodiversidad 2020)</w:t>
      </w:r>
      <w:r>
        <w:t>;</w:t>
      </w:r>
    </w:p>
    <w:p>
      <w:pPr>
        <w:pStyle w:val="ListBullet2"/>
      </w:pPr>
      <w:r>
        <w:rPr>
          <w:b/>
        </w:rPr>
        <w:t>y nacen menos:</w:t>
      </w:r>
      <w:r>
        <w:t xml:space="preserve"> 1,10 hijos por mujer en España (</w:t>
      </w:r>
      <w:r>
        <w:t>8.8</w:t>
      </w:r>
      <w:r>
        <w:t>), 1,34 en la UE y 2,25 en el mundo, en 2024</w:t>
      </w:r>
      <w:r>
        <w:t xml:space="preserve"> (Eurostat, estadísticas de fecundidad; Naciones Unidas, Perspectivas de la población mundial 2024)</w:t>
      </w:r>
      <w:r>
        <w:t>;</w:t>
      </w:r>
    </w:p>
    <w:p>
      <w:pPr>
        <w:pStyle w:val="ListBullet2"/>
      </w:pPr>
      <w:r>
        <w:rPr>
          <w:b/>
        </w:rPr>
        <w:t>lo que no dicen:</w:t>
      </w:r>
      <w:r>
        <w:t xml:space="preserve"> estas cifras miden el estado, no quién lo causa.</w:t>
      </w:r>
    </w:p>
    <w:p>
      <w:r>
        <w:t>La tabla entera, con lo que se pierde, lo que se gana, el estado y el deterioro de cada cosa, se ve en el nivel completo.</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Qué parte del árbol mira cada capítulo está en el mapa de J.1.</w:t>
      </w:r>
    </w:p>
    <w:p>
      <w:r>
        <w:rPr>
          <w:b/>
        </w:rPr>
        <w:t>Lo que no hace.</w:t>
      </w:r>
      <w:r>
        <w:t xml:space="preserve"> La obra no exime de ninguna obligación vigente: mientras el Estado no cambie, las obligaciones vigentes siguen vigentes</w:t>
      </w:r>
      <w:r>
        <w:t xml:space="preserve"> (Constitución, art. 9.1)</w:t>
      </w:r>
      <w:r>
        <w:t>. Tampoco invita a desobedecer. Juzga instituciones y diseños legales, nunca personas ni colectivos. Y no da consejo financiero ni de inversión.</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t xml:space="preserve"> (Jn 20:25)</w:t>
      </w:r>
      <w:r>
        <w:t>. Y no se le reprendió: «Mete tu dedo aquí, y ve mis manos: y alarga acá tu mano, y métela en mi costado»</w:t>
      </w:r>
      <w:r>
        <w:t xml:space="preserve"> (Jn 20:27)</w:t>
      </w:r>
      <w:r>
        <w:t>; «bienaventurados los que no vieron y creyeron»</w:t>
      </w:r>
      <w:r>
        <w:t xml:space="preserve"> (Jn 20:29)</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w:t>
      </w:r>
    </w:p>
    <w:p>
      <w:r>
        <w:t>En todos los escalones se ven siempre los rótulos que separan el dato de la interpretación. Cada capítulo empieza con «En pocas palabras» y termina con «Para recordar», y cada apartado se abre con su idea en una frase.</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t xml:space="preserve"> (Jn 8:44)</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t xml:space="preserve"> (Catecismo de la Iglesia católica, n.º 1867)</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t xml:space="preserve"> (Suma teológica II-II, q. 110, a. 3)</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t xml:space="preserve"> (Ley de Enjuiciamiento Civil, art. 385.1)</w:t>
      </w:r>
      <w:r>
        <w:t>. Y el tribunal que presume un hecho necesita otro «admitido o probado», un «enlace preciso y directo» entre los dos, y debe razonarlo en la sentencia</w:t>
      </w:r>
      <w:r>
        <w:t xml:space="preserve"> (Ley de Enjuiciamiento Civil, art. 386.1)</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t xml:space="preserve"> (Mt 7:16)</w:t>
      </w:r>
      <w:r>
        <w:t>.</w:t>
      </w:r>
    </w:p>
    <w:p>
      <w:pPr>
        <w:pStyle w:val="ListBullet"/>
      </w:pPr>
      <w:r>
        <w:t>En el griego del Evangelio dice «por sus frutos los reconoceréis»</w:t>
      </w:r>
      <w:r>
        <w:t xml:space="preserve">. El verbo es </w:t>
      </w:r>
      <w:r>
        <w:rPr>
          <w:i/>
        </w:rPr>
        <w:t>epiginóskō</w:t>
      </w:r>
      <w:r>
        <w:t>, «reconocer».</w:t>
      </w:r>
    </w:p>
    <w:p>
      <w:pPr>
        <w:pStyle w:val="ListBullet"/>
      </w:pPr>
      <w:r>
        <w:t>No es el mismo verbo de «No juzguéis, para que no seáis juzgados»</w:t>
      </w:r>
      <w:r>
        <w:t xml:space="preserve"> (Mt 7:1)</w:t>
      </w:r>
      <w:r>
        <w:t xml:space="preserve">, que es </w:t>
      </w:r>
      <w:r>
        <w:rPr>
          <w:i/>
        </w:rPr>
        <w:t>krínō</w:t>
      </w:r>
      <w:r>
        <w:t>, «juzgar». En Lucas, ese «no juzguéis» va con «no condenéis»</w:t>
      </w:r>
      <w:r>
        <w:t xml:space="preserve"> (Lc 6:37)</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t xml:space="preserve"> (Jn 7:24)</w:t>
      </w:r>
      <w:r>
        <w:t>. Por eso esta obra es un análisis, no un juicio.</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t xml:space="preserve"> (Corán 61:2, traducción de Julio Cortés)</w:t>
      </w:r>
      <w:r>
        <w:t>.</w:t>
      </w:r>
    </w:p>
    <w:p>
      <w:pPr>
        <w:pStyle w:val="ListBullet"/>
      </w:pPr>
      <w:r>
        <w:rPr>
          <w:b/>
        </w:rPr>
        <w:t>Judaísmo:</w:t>
      </w:r>
      <w:r>
        <w:t xml:space="preserve"> «no es el estudio lo principal, sino la acción»</w:t>
      </w:r>
      <w:r>
        <w:t xml:space="preserve"> (Pirkei Avot 1:17)</w:t>
      </w:r>
      <w:r>
        <w:t>.</w:t>
      </w:r>
    </w:p>
    <w:p>
      <w:pPr>
        <w:pStyle w:val="ListBullet"/>
      </w:pPr>
      <w:r>
        <w:rPr>
          <w:b/>
        </w:rPr>
        <w:t>Primera carta de Juan:</w:t>
      </w:r>
      <w:r>
        <w:t xml:space="preserve"> «no amemos de palabra ni de lengua, sino de obra y en verdad»</w:t>
      </w:r>
      <w:r>
        <w:t xml:space="preserve"> (1 Jn 3:18)</w:t>
      </w:r>
      <w:r>
        <w:t>.</w:t>
      </w:r>
    </w:p>
    <w:p>
      <w:pPr>
        <w:pStyle w:val="ListBullet"/>
      </w:pPr>
      <w:r>
        <w:rPr>
          <w:b/>
        </w:rPr>
        <w:t>Aristóteles:</w:t>
      </w:r>
      <w:r>
        <w:t xml:space="preserve"> «la verdad, en materia de conducta, se juzga por los hechos y por la vida real»</w:t>
      </w:r>
      <w:r>
        <w:t xml:space="preserve"> (Ética a Nicómaco X, 8)</w:t>
      </w:r>
      <w:r>
        <w:t>.</w:t>
      </w:r>
    </w:p>
    <w:p>
      <w:r>
        <w:t>Y con la misma coincidencia, el criterio de no hacer daño al otro: «amarás á tu prójimo como á ti mismo»</w:t>
      </w:r>
      <w:r>
        <w:t xml:space="preserve"> (Lv 19:18)</w:t>
      </w:r>
      <w:r>
        <w:t>; «La caridad no hace mal al prójimo: así que, el cumplimento de la ley es la caridad»</w:t>
      </w:r>
      <w:r>
        <w:t xml:space="preserve"> (Rm 13:10)</w:t>
      </w:r>
      <w:r>
        <w:t>.</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t xml:space="preserve"> (Lv 19:18)</w:t>
      </w:r>
      <w:r>
        <w:t>. Y Hillel, a quien pedían la Torá entera, respondió: «Lo que te es odioso no lo hagas a otro; eso es toda la Torá, y el resto es su explicación»</w:t>
      </w:r>
      <w:r>
        <w:t xml:space="preserve"> (Talmud de Babilonia, Shabat 31a)</w:t>
      </w:r>
      <w:r>
        <w:t>.</w:t>
      </w:r>
    </w:p>
    <w:p>
      <w:pPr>
        <w:pStyle w:val="ListBullet"/>
      </w:pPr>
      <w:r>
        <w:rPr>
          <w:b/>
        </w:rPr>
        <w:t>El Evangelio:</w:t>
      </w:r>
      <w:r>
        <w:t xml:space="preserve"> «todas las cosas que quisierais que los hombres hiciesen con vosotros, así también haced vosotros con ellos; porque esta es la ley y los profetas»</w:t>
      </w:r>
      <w:r>
        <w:t xml:space="preserve"> (Mt 7:12)</w:t>
      </w:r>
      <w:r>
        <w:t>.</w:t>
      </w:r>
    </w:p>
    <w:p>
      <w:pPr>
        <w:pStyle w:val="ListBullet"/>
      </w:pPr>
      <w:r>
        <w:rPr>
          <w:b/>
        </w:rPr>
        <w:t>China:</w:t>
      </w:r>
      <w:r>
        <w:t xml:space="preserve"> Confucio, preguntado si hay una palabra que sirva de regla para toda la vida: «¿No es la reciprocidad? Lo que no quieras que te hagan, no se lo hagas a otros»</w:t>
      </w:r>
      <w:r>
        <w:t xml:space="preserve"> (Analectas 15, 23, en la edición de Legge)</w:t>
      </w:r>
      <w:r>
        <w:t>.</w:t>
      </w:r>
    </w:p>
    <w:p>
      <w:pPr>
        <w:pStyle w:val="ListBullet"/>
      </w:pPr>
      <w:r>
        <w:rPr>
          <w:b/>
        </w:rPr>
        <w:t>India:</w:t>
      </w:r>
      <w:r>
        <w:t xml:space="preserve"> «No debe hacerse nunca a otro lo que uno tiene por dañino para sí mismo. Esta es, en breve, la regla de la Rectitud»</w:t>
      </w:r>
      <w:r>
        <w:t xml:space="preserve"> (Mahabharata, Anushasana Parva, sección 113)</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no se leyó en su fuente.</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r>
        <w:br w:type="page"/>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A partir de aquí, cada cosa se llama por su lugar en ese orden, y no por el nombre que le da el orden oficial.</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t xml:space="preserve"> (I-II, q. 91)</w:t>
      </w:r>
      <w:r>
        <w:t>, y el que guardaron, cada una a su manera, las tradiciones que este capítulo recorre.</w:t>
      </w:r>
    </w:p>
    <w:p>
      <w:r>
        <w:rPr>
          <w:b/>
        </w:rPr>
        <w:t>La ley natural</w:t>
      </w:r>
      <w:r>
        <w:t>, para Aquino, es la parte de la ley de Dios que la razón humana alcanza por sí misma: «esa participación de la ley eterna en la criatura racional se llama ley natural»</w:t>
      </w:r>
      <w:r>
        <w:t xml:space="preserve"> (Suma teológica I-II, q. 91, a. 2)</w:t>
      </w:r>
      <w:r>
        <w:t>.</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t xml:space="preserve"> (Suma teológica I-II, q. 95, a. 2)</w:t>
      </w:r>
      <w:r>
        <w:t>.</w:t>
      </w:r>
    </w:p>
    <w:p>
      <w:pPr>
        <w:pStyle w:val="ListBullet"/>
      </w:pPr>
      <w:r>
        <w:t>Es el derecho que se fija por acuerdo, o «cuando lo ordena el príncipe, que tiene a su cargo al pueblo»: «y esto se llama derecho positivo»</w:t>
      </w:r>
      <w:r>
        <w:t xml:space="preserve"> (Suma teológica II-II, q. 57, a. 2)</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t xml:space="preserve"> (Suma teológica II-II, q. 57, a. 2, respuesta a la segunda objeción)</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t xml:space="preserve"> (Is 10:1-2)</w:t>
      </w:r>
      <w:r>
        <w:t>.</w:t>
      </w:r>
    </w:p>
    <w:p>
      <w:pPr>
        <w:pStyle w:val="ListBullet"/>
      </w:pPr>
      <w:r>
        <w:t>Y la ley humana que se aparta de la natural deja de ser ley: «si en algo discrepa de la ley natural, ya no será ley, sino corrupción de la ley»</w:t>
      </w:r>
      <w:r>
        <w:t xml:space="preserve"> (Suma teológica I-II, q. 95, a. 2)</w:t>
      </w:r>
      <w:r>
        <w:t>.</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t xml:space="preserve"> (Suma teológica I-II, q. 95, a. 2)</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t xml:space="preserve"> (Suma teológica I-II, q. 96, a. 4)</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w:t>
      </w:r>
    </w:p>
    <w:p>
      <w:r>
        <w:rPr>
          <w:b/>
        </w:rPr>
        <w:t>El orden oficial es el inverso.</w:t>
      </w:r>
      <w:r>
        <w:t xml:space="preserve"> El Código Civil fija así las fuentes del derecho: «Las fuentes del ordenamiento jurídico español son la ley, la costumbre y los principios generales del derecho»</w:t>
      </w:r>
      <w:r>
        <w:t xml:space="preserve"> (Código Civil, art. 1.1)</w:t>
      </w:r>
      <w:r>
        <w:t>. La costumbre «sólo regirá en defecto de ley aplicable, siempre que no sea contraria a la moral o al orden público, y que resulte probada»</w:t>
      </w:r>
      <w:r>
        <w:t xml:space="preserve"> (art. 1.3)</w:t>
      </w:r>
      <w:r>
        <w:t>. Y los principios generales del derecho, que son la puerta por la que entra la ley natural, «se aplicarán en defecto de ley o costumbre»</w:t>
      </w:r>
      <w:r>
        <w:t xml:space="preserve"> (art. 1.4)</w:t>
      </w:r>
      <w:r>
        <w:t>. Lo humano, arriba; lo natural, al final.</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t xml:space="preserve"> (Fuero Nuevo de Navarra, ley 3)</w:t>
      </w:r>
      <w:r>
        <w:t>.</w:t>
      </w:r>
    </w:p>
    <w:p>
      <w:r>
        <w:rPr>
          <w:b/>
        </w:rPr>
        <w:t>Lectura del autor:</w:t>
      </w:r>
      <w:r>
        <w:t xml:space="preserve"> la ley escrita no es mala por ser obra de los hombres. Se tuerce cuando se pone por encima de la ley natural y de la ley de Dios, a las que debía servir.</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t xml:space="preserve"> (Suma teológica I-II, q. 91, a. 1 y 4)</w:t>
      </w:r>
      <w:r>
        <w:t>. La obra reúne las dos en el primer escalón.</w:t>
      </w:r>
    </w:p>
    <w:p>
      <w:r>
        <w:t>Por qué va la primera lo dice la propia Escritura: «Es menester obedecer á Dios antes que á los hombres»</w:t>
      </w:r>
      <w:r>
        <w:t xml:space="preserve"> (Hch 5:29)</w:t>
      </w:r>
      <w:r>
        <w:t>.</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t xml:space="preserve"> (2 Co 4:4)</w:t>
      </w:r>
      <w:r>
        <w:t>;</w:t>
      </w:r>
    </w:p>
    <w:p>
      <w:pPr>
        <w:pStyle w:val="ListBullet"/>
      </w:pPr>
      <w:r>
        <w:t>dice de ciertos sacrificios que «á los demonios lo sacrifican, y no á Dios»</w:t>
      </w:r>
      <w:r>
        <w:t xml:space="preserve"> (1 Co 10:20)</w:t>
      </w:r>
      <w:r>
        <w:t>;</w:t>
      </w:r>
    </w:p>
    <w:p>
      <w:pPr>
        <w:pStyle w:val="ListBullet"/>
      </w:pPr>
      <w:r>
        <w:t>y a unos «dioses» que juzgaban injustamente les dice: «Yo dije: Vosotros sois dioses. E hijos todos vosotros del Altísimo. Empero como hombres moriréis. Y caeréis como cualquiera de los tiranos»</w:t>
      </w:r>
      <w:r>
        <w:t xml:space="preserve"> (Sal 82:6-7)</w:t>
      </w:r>
      <w:r>
        <w:t>.</w:t>
      </w:r>
    </w:p>
    <w:p>
      <w:r>
        <w:t>Por eso pide discernir: «no creáis á todo espíritu, sino probad los espíritus si son de Dios»</w:t>
      </w:r>
      <w:r>
        <w:t xml:space="preserve"> (1 Jn 4:1)</w:t>
      </w:r>
      <w:r>
        <w:t>. Y da la vara: «el que no ama, no conoce á Dios; porque Dios es amor»</w:t>
      </w:r>
      <w:r>
        <w:t xml:space="preserve"> (1 Jn 4:8)</w:t>
      </w:r>
      <w:r>
        <w:t>. Lo que exige daño, venganza o sacrificio del prójimo no procede de quien es amor.</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t xml:space="preserve"> (Hch 14:15)</w:t>
      </w:r>
      <w:r>
        <w:t>. El ángel del Apocalipsis: «Mira que no lo hagas: porque yo soy siervo contigo […] Adora á Dios»</w:t>
      </w:r>
      <w:r>
        <w:t xml:space="preserve"> (Ap 22:9)</w:t>
      </w:r>
      <w:r>
        <w:t>.</w:t>
      </w:r>
    </w:p>
    <w:p>
      <w:pPr>
        <w:pStyle w:val="ListBullet"/>
      </w:pPr>
      <w:r>
        <w:rPr>
          <w:b/>
        </w:rPr>
        <w:t>El falso la acepta.</w:t>
      </w:r>
      <w:r>
        <w:t xml:space="preserve"> Herodes se dejó aclamar como «Voz de Dios, y no de hombre», y cayó «por cuanto no dió la gloria á Dios»</w:t>
      </w:r>
      <w:r>
        <w:t xml:space="preserve"> (Hch 12:22-23)</w:t>
      </w:r>
      <w:r>
        <w:t>.</w:t>
      </w:r>
    </w:p>
    <w:p>
      <w:pPr>
        <w:pStyle w:val="ListBullet"/>
      </w:pPr>
      <w:r>
        <w:rPr>
          <w:b/>
        </w:rPr>
        <w:t>Un ser llegado antes, tomado por el Creador.</w:t>
      </w:r>
      <w:r>
        <w:t xml:space="preserve"> En el budismo, el primer ser que renace en un mundo nuevo piensa «soy Brahmā […], el Señor, el Hacedor, el Creador»</w:t>
      </w:r>
      <w:r>
        <w:t>, y los que llegan después lo creen porque llegó primero</w:t>
      </w:r>
      <w:r>
        <w:t xml:space="preserve"> (Dīgha Nikāya 1, 2.5-2.6)</w:t>
      </w:r>
      <w:r>
        <w:t>.</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t xml:space="preserve"> (2 Ts 2:4)</w:t>
      </w:r>
      <w:r>
        <w:t>. Es una analogía, no un dato.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en quince tradiciones, con un resultado «deliberadamente mixto»: unas confirman, otras contradicen y otras no dan resultado.</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t xml:space="preserve"> (Heráclito, fragmento 114 (Diels-Kranz))</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t xml:space="preserve"> (Ética a Nicómaco V, 7, 1134b)</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y no por ganarse a los padres del niño ni por la fama</w:t>
      </w:r>
      <w:r>
        <w:t xml:space="preserve"> (Mencio 2A:6)</w:t>
      </w:r>
      <w:r>
        <w:t>. De ahí sus cuatro brotes: la compasión, la vergüenza ante el mal, la cortesía y el sentido de lo justo, que todos tienen «como tienen cuatro miembros»</w:t>
      </w:r>
      <w:r>
        <w:t>.</w:t>
      </w:r>
    </w:p>
    <w:p>
      <w:r>
        <w:rPr>
          <w:b/>
        </w:rPr>
        <w:t>La pata coja, también en las dos civilizaciones:</w:t>
      </w:r>
    </w:p>
    <w:p>
      <w:pPr>
        <w:pStyle w:val="ListBullet"/>
      </w:pPr>
      <w:r>
        <w:t>En Grecia, Trasímaco: «digo que lo justo no es otra cosa que lo que le conviene al más fuerte»</w:t>
      </w:r>
      <w:r>
        <w:t xml:space="preserve"> (Platón, República I, 338c)</w:t>
      </w:r>
      <w:r>
        <w:t>.</w:t>
      </w:r>
    </w:p>
    <w:p>
      <w:pPr>
        <w:pStyle w:val="ListBullet"/>
      </w:pPr>
      <w:r>
        <w:t>En China, Yang Zhu, contemporáneo de Mencio, que se quedaba con el «para mí»</w:t>
      </w:r>
      <w:r>
        <w:t>: «no se arrancaría un pelo aunque con ello beneficiara al mundo entero»</w:t>
      </w:r>
      <w:r>
        <w:t xml:space="preserve"> (Mencio 7A:26)</w:t>
      </w:r>
      <w:r>
        <w:t>.</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que «no son de hoy ni de ayer, sino que viven siempre»</w:t>
      </w:r>
      <w:r>
        <w:t xml:space="preserve"> (Antígona, vv. 454-457)</w:t>
      </w:r>
      <w:r>
        <w:t>.</w:t>
      </w:r>
    </w:p>
    <w:p>
      <w:pPr>
        <w:pStyle w:val="ListBullet"/>
      </w:pPr>
      <w:r>
        <w:rPr>
          <w:b/>
        </w:rPr>
        <w:t>El islam.</w:t>
      </w:r>
      <w:r>
        <w:t xml:space="preserve"> «¡Profesa la religión como hanif, según la naturaleza primigenia que Alá ha puesto en los hombres! No cabe alteración en la creación de Alá»</w:t>
      </w:r>
      <w:r>
        <w:t xml:space="preserve"> (Corán 30:30, traducción de Julio Cortés)</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t xml:space="preserve"> (Dhammapada 129)</w:t>
      </w:r>
      <w:r>
        <w:t>.</w:t>
      </w:r>
    </w:p>
    <w:p>
      <w:pPr>
        <w:pStyle w:val="ListBullet"/>
      </w:pPr>
      <w:r>
        <w:t>Lo dicen también Isidoro de Sevilla y la ley aborigen de Australia; y la línea romana y cristiana, que no cuenta como pata nueva porque viene de los griegos. Sus textos se ven en el nivel completo.</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w:t>
      </w:r>
    </w:p>
    <w:p>
      <w:r>
        <w:rPr>
          <w:b/>
        </w:rPr>
        <w:t>La ley natural frente a la mayoría.</w:t>
      </w:r>
      <w:r>
        <w:t xml:space="preserve"> Aquino distingue el bien común del bien de la mayoría: «el bien común de la ciudad y el bien de una persona no se diferencian solo en lo mucho o lo poco, sino en su forma»</w:t>
      </w:r>
      <w:r>
        <w:t xml:space="preserve"> (Suma teológica II-II, q. 58, a. 7, respuesta a la segunda objeción)</w:t>
      </w:r>
      <w:r>
        <w:t>. Lo que conviene a la mayoría no es, sin más, el bien común.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t xml:space="preserve"> (Principios de Núremberg, Principio II)</w:t>
      </w:r>
      <w:r>
        <w:t>;</w:t>
      </w:r>
    </w:p>
    <w:p>
      <w:pPr>
        <w:pStyle w:val="ListBullet"/>
      </w:pPr>
      <w:r>
        <w:t>haber actuado por orden de su Gobierno o de un superior no exime de responsabilidad, siempre que de hecho le fuera posible elegir moralmente</w:t>
      </w:r>
      <w:r>
        <w:t xml:space="preserve"> (Principios de Núremberg, Principio IV)</w:t>
      </w:r>
      <w:r>
        <w:t>.</w:t>
      </w:r>
    </w:p>
    <w:p>
      <w:r>
        <w:t>La propia Constitución española reconoce algo anterior a ella: «La dignidad de la persona, los derechos inviolables que le son inherentes» son «fundamento del orden político y de la paz social»</w:t>
      </w:r>
      <w:r>
        <w:t xml:space="preserve"> (Constitución, art. 10.1)</w:t>
      </w:r>
      <w:r>
        <w:t>. Inherentes: no los crea el Estado, los encuentra.</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Y precisó cuándo manda: «se toma por ley cuando falta la ley»</w:t>
      </w:r>
      <w:r>
        <w:t xml:space="preserve"> (Etimologías V, 3)</w:t>
      </w:r>
      <w:r>
        <w:t>.</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t xml:space="preserve"> (Digesto 1.3.32)</w:t>
      </w:r>
      <w:r>
        <w:t>.</w:t>
      </w:r>
    </w:p>
    <w:p>
      <w:pPr>
        <w:pStyle w:val="ListBullet"/>
      </w:pPr>
      <w:r>
        <w:rPr>
          <w:b/>
        </w:rPr>
        <w:t>Confucio:</w:t>
      </w:r>
      <w:r>
        <w:t xml:space="preserve"> el pueblo guiado por leyes y castigos evita el castigo, «pero no tiene vergüenza»; guiado por la virtud y los ritos, «se hace bueno»</w:t>
      </w:r>
      <w:r>
        <w:t xml:space="preserve"> (Analectas 2.3)</w:t>
      </w:r>
      <w:r>
        <w:t>.</w:t>
      </w:r>
    </w:p>
    <w:p>
      <w:pPr>
        <w:pStyle w:val="ListBullet"/>
      </w:pPr>
      <w:r>
        <w:rPr>
          <w:b/>
        </w:rPr>
        <w:t>Aquino:</w:t>
      </w:r>
      <w:r>
        <w:t xml:space="preserve"> la costumbre «tiene fuerza de ley, abole la ley y es intérprete de la ley»</w:t>
      </w:r>
      <w:r>
        <w:t xml:space="preserve"> (Suma teológica I-II, q. 97, a. 3)</w:t>
      </w:r>
      <w:r>
        <w:t>.</w:t>
      </w:r>
    </w:p>
    <w:p>
      <w:pPr>
        <w:pStyle w:val="ListBullet"/>
      </w:pPr>
      <w:r>
        <w:rPr>
          <w:b/>
        </w:rPr>
        <w:t>Savigny</w:t>
      </w:r>
      <w:r>
        <w:t xml:space="preserve"> (1814): todo derecho nace «primero por la costumbre y la creencia del pueblo […], no por el arbitrio de un legislador»</w:t>
      </w:r>
      <w:r>
        <w:t xml:space="preserve"> (Savigny, Vom Beruf unsrer Zeit für Gesetzgebung und Rechtswissenschaft, Heidelberg, 1814, pp. 13-14)</w:t>
      </w:r>
      <w:r>
        <w:t>.</w:t>
      </w:r>
    </w:p>
    <w:p>
      <w:pPr>
        <w:pStyle w:val="ListBullet"/>
      </w:pPr>
      <w:r>
        <w:rPr>
          <w:b/>
        </w:rPr>
        <w:t>Las Leyes de Manu</w:t>
      </w:r>
      <w:r>
        <w:t xml:space="preserve"> (India): primero el Veda, después la tradición y después la costumbre de los virtuosos</w:t>
      </w:r>
      <w:r>
        <w:t xml:space="preserve"> (Leyes de Manu 2.6 y 2.12)</w:t>
      </w:r>
      <w:r>
        <w:t>.</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t xml:space="preserve"> (Tusculanas I, 30)</w:t>
      </w:r>
      <w:r>
        <w:t>. El propio Código Civil la pone bajo condición: solo rige «siempre que no sea contraria a la moral o al orden público»</w:t>
      </w:r>
      <w:r>
        <w:t xml:space="preserve"> (Código Civil, art. 1.3)</w:t>
      </w:r>
      <w:r>
        <w:t>.</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t xml:space="preserve"> (César, La guerra de las Galias VI, 23)</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t xml:space="preserve"> (César, La guerra de las Galias VI, 23)</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y calcula que «más de 230 millones de niñas y mujeres vivas hoy» la han sufrido, sobre todo siendo niñas «entre la infancia y los 15 años»</w:t>
      </w:r>
      <w:r>
        <w:t xml:space="preserve"> (OMS, hoja informativa «Female genital mutilation», 31 de enero de 2025)</w:t>
      </w:r>
      <w:r>
        <w:t>. Es una práctica muy extendida y no pasa la vara: daña a quien la sufre, casi siempre una niña, sin su consentimiento. La OMS dice que es «una violación de los derechos humanos de las niñas y las mujeres»</w:t>
      </w:r>
      <w:r>
        <w:t>, y la Asamblea General de la ONU instó en 2012 a los Estados a «adoptar todas las medidas necesarias, incluida la promulgación y aplicación de leyes, para prohibir» esas mutilaciones</w:t>
      </w:r>
      <w:r>
        <w:t xml:space="preserve"> (ONU, resolución A/RES/67/146, 20 de diciembre de 2012, párrafo 4)</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t xml:space="preserve"> (Decreto 73/2006 de la Generalitat Valenciana, publicado en el BOE de 19-9-2006)</w:t>
      </w:r>
      <w:r>
        <w:t>. En 2009, la UNESCO lo inscribió, junto con el Consejo de Hombres Buenos de Murcia, en la Lista Representativa del Patrimonio Cultural Inmaterial de la Humanidad</w:t>
      </w:r>
      <w:r>
        <w:t xml:space="preserve"> (UNESCO, decisión 4.COM 13.70, 2009)</w:t>
      </w:r>
      <w:r>
        <w:t>. La ley le reconoce «el carácter de Tribunal consuetudinario y tradicional», igual que al Consejo de Hombres Buenos de Murcia</w:t>
      </w:r>
      <w:r>
        <w:t xml:space="preserve"> (Ley Orgánica del Poder Judicial, art. 19)</w:t>
      </w:r>
      <w:r>
        <w:t>. En 2021 se añadieron el Juzgado Privativo de Aguas de Orihuela y el Tribunal del Comuner del Rollet de Gràcia de l'Horta d'Aldaia</w:t>
      </w:r>
      <w:r>
        <w:t xml:space="preserve"> (Ley Orgánica 10/2021)</w:t>
      </w:r>
      <w:r>
        <w:t>. La Constitución abre esa puerta: la participación ciudadana en la justicia «en los Tribunales consuetudinarios y tradicionales»</w:t>
      </w:r>
      <w:r>
        <w:t xml:space="preserve"> (Constitución, art. 125)</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t xml:space="preserve"> (Código Civil de 1889, art. 12, Gaceta de Madrid de 25-7-1889)</w:t>
      </w:r>
      <w:r>
        <w:t>. La ley que lo preparó los nombra: «Aragón, Baleares, Cataluña, Galicia, Navarra y Provincias Vascas»</w:t>
      </w:r>
      <w:r>
        <w:t xml:space="preserve"> (Ley de Bases de 11 de mayo de 1888)</w:t>
      </w:r>
      <w:r>
        <w:t>. La Constitución «ampara y respeta los derechos históricos de los territorios forales»</w:t>
      </w:r>
      <w:r>
        <w:t xml:space="preserve"> (Constitución, disposición adicional primera)</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t xml:space="preserve"> (privilegio de Pedro III, 1283, citado por Pardessus, 1839, y Capmany, 1791)</w:t>
      </w:r>
      <w:r>
        <w:t>. Su Llibre, de fecha y autor inciertos, obtuvo autoridad «en todos los países marítimos»</w:t>
      </w:r>
      <w:r>
        <w:t xml:space="preserve"> (Pardessus, Collection de lois maritimes, t. II, 1831)</w:t>
      </w:r>
      <w:r>
        <w:t>. Y un tratado medieval de derecho mercantil empieza así: «la ley mercantil procede del mercado»</w:t>
      </w:r>
      <w:r>
        <w:t>, y rige en las ciudades, las ferias, los puertos de mar, las villas mercantiles y los burgos</w:t>
      </w:r>
      <w:r>
        <w:t xml:space="preserve"> (Lex mercatoria, en el Libro Rojo de Bristol, edición de Bickley, 1900)</w:t>
      </w:r>
      <w:r>
        <w:t>.</w:t>
      </w:r>
    </w:p>
    <w:p>
      <w:r>
        <w:t>El Estado no creó estos tribunales ni estos pactos: solo pudo reconocer que existían desde antes.</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t xml:space="preserve"> (Suma teológica I-II, q. 90, a. 4)</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rPr>
          <w:b/>
        </w:rPr>
        <w:t>Cómo nace de la ley natural.</w:t>
      </w:r>
      <w:r>
        <w:t xml:space="preserve"> Por dos vías</w:t>
      </w:r>
      <w:r>
        <w:t xml:space="preserve"> (Suma teológica I-II, q. 95, a. 2)</w:t>
      </w:r>
      <w:r>
        <w:t>:</w:t>
      </w:r>
    </w:p>
    <w:p>
      <w:pPr>
        <w:pStyle w:val="ListBullet"/>
      </w:pPr>
      <w:r>
        <w:rPr>
          <w:b/>
        </w:rPr>
        <w:t>como conclusión</w:t>
      </w:r>
      <w:r>
        <w:t>: de «no hacer mal a nadie»</w:t>
      </w:r>
      <w:r>
        <w:t xml:space="preserve"> se sigue «no matar»</w:t>
      </w:r>
      <w:r>
        <w:t>;</w:t>
      </w:r>
    </w:p>
    <w:p>
      <w:pPr>
        <w:pStyle w:val="ListBullet"/>
      </w:pPr>
      <w:r>
        <w:rPr>
          <w:b/>
        </w:rPr>
        <w:t>como determinación</w:t>
      </w:r>
      <w:r>
        <w:t>: la ley natural manda que quien hace el mal sea castigado, pero no dice con qué pena; eso lo fija la ley humana.</w:t>
      </w:r>
    </w:p>
    <w:p>
      <w:r>
        <w:t>Casi todo el derecho escrito vive en ese margen de la determinación.</w:t>
      </w:r>
    </w:p>
    <w:p>
      <w:r>
        <w:rPr>
          <w:b/>
        </w:rPr>
        <w:t>Cuándo deja de serlo.</w:t>
      </w:r>
      <w:r>
        <w:t xml:space="preserve"> Aquino lo toma de san Agustín: «como dice Agustín en el libro I del Libre albedrío, no parece ser ley la que no fuera justa»</w:t>
      </w:r>
      <w:r>
        <w:t xml:space="preserve"> (Suma teológica I-II, q. 95, a. 2)</w:t>
      </w:r>
      <w:r>
        <w:t xml:space="preserve">. De ahí la fórmula </w:t>
      </w:r>
      <w:r>
        <w:rPr>
          <w:i/>
        </w:rPr>
        <w:t>lex iniusta non est lex</w:t>
      </w:r>
      <w:r>
        <w:t xml:space="preserve"> (la ley injusta no es ley).</w:t>
      </w:r>
    </w:p>
    <w:p>
      <w:r>
        <w:rPr>
          <w:b/>
        </w:rPr>
        <w:t>Las tres maneras de servir al hombre.</w:t>
      </w:r>
      <w:r>
        <w:t xml:space="preserve"> Aquino cuenta tres maneras de ser injusta una ley puesta por los hombres</w:t>
      </w:r>
      <w:r>
        <w:t xml:space="preserve"> (Suma teológica I-II, q. 96, a. 4)</w:t>
      </w:r>
      <w:r>
        <w:t>:</w:t>
      </w:r>
    </w:p>
    <w:p>
      <w:pPr>
        <w:pStyle w:val="ListBullet"/>
      </w:pPr>
      <w:r>
        <w:rPr>
          <w:b/>
        </w:rPr>
        <w:t>por el fin:</w:t>
      </w:r>
      <w:r>
        <w:t xml:space="preserve"> «cuando quien preside impone a los súbditos leyes onerosas que no se refieren a la utilidad común, sino más bien a su propia codicia o gloria»</w:t>
      </w:r>
      <w:r>
        <w:t>;</w:t>
      </w:r>
    </w:p>
    <w:p>
      <w:pPr>
        <w:pStyle w:val="ListBullet"/>
      </w:pPr>
      <w:r>
        <w:rPr>
          <w:b/>
        </w:rPr>
        <w:t>por el autor:</w:t>
      </w:r>
      <w:r>
        <w:t xml:space="preserve"> «cuando alguien dicta una ley más allá del poder que se le ha confiado»</w:t>
      </w:r>
      <w:r>
        <w:t>;</w:t>
      </w:r>
    </w:p>
    <w:p>
      <w:pPr>
        <w:pStyle w:val="ListBullet"/>
      </w:pPr>
      <w:r>
        <w:rPr>
          <w:b/>
        </w:rPr>
        <w:t>por la forma:</w:t>
      </w:r>
      <w:r>
        <w:t xml:space="preserve"> «cuando las cargas se reparten de manera desigual entre la multitud, aunque se ordenen al bien común»</w:t>
      </w:r>
      <w:r>
        <w:t>.</w:t>
      </w:r>
    </w:p>
    <w:p>
      <w:r>
        <w:t>De ellas dice que «son más violencias que leyes»</w:t>
      </w:r>
      <w:r>
        <w:t>. Las justas, en cambio, «obligan en el foro de la conciencia»</w:t>
      </w:r>
      <w:r>
        <w:t>. El fin y el autor son, vistos del lado contrario, dos de las cuatro condiciones de arriba: el bien común y que la dicte quien tiene a su cargo la comunidad.</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t xml:space="preserve"> (Ley Orgánica del Poder Judicial, art. 6)</w:t>
      </w:r>
      <w:r>
        <w:t>.</w:t>
      </w:r>
    </w:p>
    <w:p>
      <w:r>
        <w:rPr>
          <w:b/>
        </w:rPr>
        <w:t>La fuerza no es fuente del derecho.</w:t>
      </w:r>
      <w:r>
        <w:t xml:space="preserve"> El Código Civil nombra tres fuentes: la ley, la costumbre y los principios generales</w:t>
      </w:r>
      <w:r>
        <w:t xml:space="preserve"> (Código Civil, art. 1.1)</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t xml:space="preserve"> (Ley 39/2015, art. 97.1)</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t xml:space="preserve"> (Ley 29/1998, art. 30)</w:t>
      </w:r>
      <w:r>
        <w:t>.</w:t>
      </w:r>
    </w:p>
    <w:p>
      <w:pPr>
        <w:pStyle w:val="ListBullet"/>
      </w:pPr>
      <w:r>
        <w:t>Lo que se sostiene solo porque nadie lo ha discutido no es derecho: es un hecho a la espera de que alguien pregunte por su título.</w:t>
      </w:r>
    </w:p>
    <w:p>
      <w:r>
        <w:rPr>
          <w:b/>
        </w:rPr>
        <w:t>Lectura del autor, un ejemplo:</w:t>
      </w:r>
      <w:r>
        <w:t xml:space="preserve"> el dinero sin respaldo es ley escrita, por su «curso legal»</w:t>
      </w:r>
      <w:r>
        <w:t xml:space="preserve"> (Ley 46/1998, art. 3)</w:t>
      </w:r>
      <w:r>
        <w:t xml:space="preserve">, sostenida por la costumbre; se explica en </w:t>
      </w:r>
      <w:r>
        <w:t>1.5</w:t>
      </w:r>
      <w:r>
        <w:t xml:space="preserve">, y sus hechos, en </w:t>
      </w:r>
      <w:r>
        <w:t>8.1</w:t>
      </w:r>
      <w:r>
        <w:t>.</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t xml:space="preserve"> (Etimologías V, 2)</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t xml:space="preserve"> (Código de Justiniano 8.52.2)</w:t>
      </w:r>
      <w:r>
        <w:t>.</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t xml:space="preserve"> (Ley del 30 ventoso del año XII, art. 7, en el Code civil des Français, 1804)</w:t>
      </w:r>
      <w:r>
        <w:t>.</w:t>
      </w:r>
    </w:p>
    <w:p>
      <w:pPr>
        <w:pStyle w:val="ListBullet"/>
      </w:pPr>
      <w:r>
        <w:rPr>
          <w:b/>
        </w:rPr>
        <w:t>El emperador de Austria</w:t>
      </w:r>
      <w:r>
        <w:t xml:space="preserve"> (1811): la costumbre solo cuenta «en los casos en que una ley se remite a ella»</w:t>
      </w:r>
      <w:r>
        <w:t xml:space="preserve"> (Código Civil general austriaco (ABGB), § 10, en vigor desde el 1-1-1812; texto vigente en el RIS)</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t xml:space="preserve"> (Hobbes, Leviatán, 1651, cap. XXVI)</w:t>
      </w:r>
      <w:r>
        <w:t>.</w:t>
      </w:r>
    </w:p>
    <w:p>
      <w:r>
        <w:t>Las excepciones también existen: Juliano, jurista del emperador, defendió la costumbre; e Isidoro, obispo, la subordinó a la ley.</w:t>
      </w:r>
    </w:p>
    <w:p>
      <w:r>
        <w:rPr>
          <w:b/>
        </w:rPr>
        <w:t>Nadie es juez en su propia causa.</w:t>
      </w:r>
      <w:r>
        <w:t xml:space="preserve"> El mismo Código de Justiniano lo dice desde el año 376: nadie debe «ser juez de sí mismo ni dictarse el derecho a sí mismo»</w:t>
      </w:r>
      <w:r>
        <w:t xml:space="preserve"> (Código de Justiniano 3.5.1)</w:t>
      </w:r>
      <w:r>
        <w:t>. Hoy la ley obliga a autoridades y funcionarios a apartarse de un asunto cuando tienen en él «interés personal»</w:t>
      </w:r>
      <w:r>
        <w:t xml:space="preserve"> (Ley 40/2015, art. 23)</w:t>
      </w:r>
      <w:r>
        <w:t>.</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t xml:space="preserve"> (Constitución, art. 9.3)</w:t>
      </w:r>
      <w:r>
        <w:t>.</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t xml:space="preserve"> (Código Civil, art. 1)</w:t>
      </w:r>
      <w:r>
        <w:t>, los derechos interpretados conforme a la Declaración Universal</w:t>
      </w:r>
      <w:r>
        <w:t xml:space="preserve"> (Constitución, art. 10.2)</w:t>
      </w:r>
      <w:r>
        <w:t>, los tribunales consuetudinarios</w:t>
      </w:r>
      <w:r>
        <w:t xml:space="preserve"> (Constitución, art. 125)</w:t>
      </w:r>
      <w:r>
        <w:t xml:space="preserve"> y la reforma de la propia Constitución</w:t>
      </w:r>
      <w:r>
        <w:t xml:space="preserve"> (Constitución, art. 168)</w:t>
      </w:r>
      <w:r>
        <w:t>. Esta obra trabaja en la primera jurisdicción y no exime de ninguna obligación de la segunda</w:t>
      </w:r>
      <w:r>
        <w:t xml:space="preserve"> (Constitución, art. 9.1)</w:t>
      </w:r>
      <w:r>
        <w:t>.</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t xml:space="preserve"> (Constitución, art. 9.1)</w:t>
      </w:r>
      <w:r>
        <w:t>.</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t xml:space="preserve"> (Instrucción de Ptahhotep, máxima 5, en la traducción de Battiscombe Gunn, 1906)</w:t>
      </w:r>
      <w:r>
        <w:t>. En China: «El hombre toma su ley de la Tierra; la Tierra toma su ley del Cielo; el Cielo toma su ley del Tao»</w:t>
      </w:r>
      <w:r>
        <w:t xml:space="preserve"> (Daodejing 25, en la traducción de James Legge, Sacred Books of the East, vol. 39, 1891)</w:t>
      </w:r>
      <w:r>
        <w:t>. Lo derivado recibe de más arriba.</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t xml:space="preserve"> (Sal 82:2)</w:t>
      </w:r>
      <w:r>
        <w:t>. Después viene la sentencia que ya se leyó: «Vosotros sois dioses […] Empero como hombres moriréis» (</w:t>
      </w:r>
      <w:r>
        <w:t>1.3</w:t>
      </w:r>
      <w:r>
        <w:t>)</w:t>
      </w:r>
      <w:r>
        <w:t xml:space="preserve"> (Sal 82:6-7)</w:t>
      </w:r>
      <w:r>
        <w:t>.</w:t>
      </w:r>
    </w:p>
    <w:p>
      <w:pPr>
        <w:pStyle w:val="ListBullet"/>
      </w:pPr>
      <w:r>
        <w:rPr>
          <w:b/>
        </w:rPr>
        <w:t>China.</w:t>
      </w:r>
      <w:r>
        <w:t xml:space="preserve"> El Duque de Shao explica por qué cayeron dos dinastías: «por falta de la virtud de la reverencia, el decreto a su favor cayó prematuramente a tierra»</w:t>
      </w:r>
      <w:r>
        <w:t xml:space="preserve"> (Shû King, Anuncio del Duque de Shao, en la traducción de James Legge, Sacred Books of the East, vol. 3)</w:t>
      </w:r>
      <w:r>
        <w:t>. Mencio dice de qué rey se puede prescindir: «El que ultraja la bondad propia de su naturaleza se llama ladrón; el que ultraja la justicia se llama rufián. Al ladrón y al rufián los llamamos un tipo cualquiera»</w:t>
      </w:r>
      <w:r>
        <w:t xml:space="preserve"> (Mencio 1B, 8, en la traducción de James Legge, 1895)</w:t>
      </w:r>
      <w:r>
        <w:t>. Y pone el orden: «El pueblo es lo más importante de una nación; los espíritus de la tierra y del grano vienen después; el soberano es lo más ligero»</w:t>
      </w:r>
      <w:r>
        <w:t xml:space="preserve"> (Mencio 7B, 14)</w:t>
      </w:r>
      <w:r>
        <w:t>.</w:t>
      </w:r>
    </w:p>
    <w:p>
      <w:pPr>
        <w:pStyle w:val="ListBullet"/>
      </w:pPr>
      <w:r>
        <w:rPr>
          <w:b/>
        </w:rPr>
        <w:t>El islam.</w:t>
      </w:r>
      <w:r>
        <w:t xml:space="preserve"> Los hadices ponen a la obediencia un límite: «no hay obediencia para las malas obras; la obediencia se debe solo en lo que es bueno»</w:t>
      </w:r>
      <w:r>
        <w:t xml:space="preserve"> (Sahih al-Bujari 7257; fuente secundaria)</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t xml:space="preserve"> (Instrucción de Ptahhotep, máxima 5, en la traducción de Gunn, 1906)</w:t>
      </w:r>
      <w:r>
        <w:t>.</w:t>
      </w:r>
    </w:p>
    <w:p>
      <w:pPr>
        <w:pStyle w:val="ListBullet"/>
      </w:pPr>
      <w:r>
        <w:rPr>
          <w:b/>
        </w:rPr>
        <w:t>China.</w:t>
      </w:r>
      <w:r>
        <w:t xml:space="preserve"> «¿Dio Yao el trono a Shun?» «No. El soberano no puede dar el trono a otro»</w:t>
      </w:r>
      <w:r>
        <w:t xml:space="preserve"> (Mencio 5A, 5, en la traducción de James Legge, 1895)</w:t>
      </w:r>
      <w:r>
        <w:t>. Lo da «el Cielo», y «el Cielo no habla. Simplemente mostró su voluntad por su conducta personal y por su manera de llevar los asuntos»</w:t>
      </w:r>
      <w:r>
        <w:t xml:space="preserve"> (Mencio 5A, 5)</w:t>
      </w:r>
      <w:r>
        <w:t>. Es decir, por sus frutos.</w:t>
      </w:r>
    </w:p>
    <w:p>
      <w:pPr>
        <w:pStyle w:val="ListBullet"/>
      </w:pPr>
      <w:r>
        <w:rPr>
          <w:b/>
        </w:rPr>
        <w:t>Grecia.</w:t>
      </w:r>
      <w:r>
        <w:t xml:space="preserve"> En el Timeo, el artífice dice a los dioses que él hizo: «mis creaciones son indisolubles, si así lo quiero»</w:t>
      </w:r>
      <w:r>
        <w:t xml:space="preserve"> (Platón, Timeo 41a-b, en la traducción de Benjamin Jowett)</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t xml:space="preserve"> (Ireneo, Contra las herejías V, 24, 1)</w:t>
      </w:r>
      <w:r>
        <w:t>.</w:t>
      </w:r>
    </w:p>
    <w:p>
      <w:pPr>
        <w:pStyle w:val="ListBullet"/>
      </w:pPr>
      <w:r>
        <w:rPr>
          <w:b/>
        </w:rPr>
        <w:t>Enfrente, el que ofrece lo que no es suyo.</w:t>
      </w:r>
      <w:r>
        <w:t xml:space="preserve"> Tras mostrar «todos los reinos del mundo, y su gloria»</w:t>
      </w:r>
      <w:r>
        <w:t xml:space="preserve"> (Mt 4:8)</w:t>
      </w:r>
      <w:r>
        <w:t>: «Todo esto te daré, si postrado me adorares»</w:t>
      </w:r>
      <w:r>
        <w:t xml:space="preserve"> (Mt 4:9)</w:t>
      </w:r>
      <w:r>
        <w:t>. Antes, en el huerto: «seréis como dioses sabiendo el bien y el mal»</w:t>
      </w:r>
      <w:r>
        <w:t xml:space="preserve"> (Gn 3:5)</w:t>
      </w:r>
      <w:r>
        <w:t>. Y en Babilonia, Tiamat alza a Kingu: «el dominio sobre todos los dioses te he confiado»</w:t>
      </w:r>
      <w:r>
        <w:t xml:space="preserve"> (Enuma Elish, tablilla II, 40, en la traducción de L. W. King, 1902)</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t xml:space="preserve"> (Yasna 30:2)</w:t>
      </w:r>
      <w:r>
        <w:t>.</w:t>
      </w:r>
    </w:p>
    <w:p>
      <w:pPr>
        <w:pStyle w:val="ListBullet"/>
      </w:pPr>
      <w:r>
        <w:rPr>
          <w:b/>
        </w:rPr>
        <w:t>La India:</w:t>
      </w:r>
      <w:r>
        <w:t xml:space="preserve"> «Medita; y, como quieras, obra»</w:t>
      </w:r>
      <w:r>
        <w:t xml:space="preserve"> (Bhagavad Gita XVIII, 63, en la traducción de Edwin Arnold)</w:t>
      </w:r>
      <w:r>
        <w:t>.</w:t>
      </w:r>
    </w:p>
    <w:p>
      <w:pPr>
        <w:pStyle w:val="ListBullet"/>
      </w:pPr>
      <w:r>
        <w:rPr>
          <w:b/>
        </w:rPr>
        <w:t>El cristianismo:</w:t>
      </w:r>
      <w:r>
        <w:t xml:space="preserve"> «Dios hizo al hombre libre desde el principio, dueño de su propio poder»</w:t>
      </w:r>
      <w:r>
        <w:t xml:space="preserve"> (Ireneo, Contra las herejías IV, 37, 1)</w:t>
      </w:r>
      <w:r>
        <w:t>.</w:t>
      </w:r>
    </w:p>
    <w:p>
      <w:r>
        <w:t>Converge solo esto: que se elige. Cuánta libertad hay, o si es el valor más alto, no lo dicen los tres, y va como lectura del autor.</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t xml:space="preserve"> (Constitución, art. 9.1)</w:t>
      </w:r>
      <w:r>
        <w:t xml:space="preserve">. Cómo se mide hacia dónde apunta cada cosa, con un centro que solo pueden poner las dos autoridades originales, se explica en el </w:t>
      </w:r>
      <w:r>
        <w:t>anexo J</w:t>
      </w:r>
      <w:r>
        <w:t>.</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t xml:space="preserve"> (Constitución, art. 9.1)</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r>
        <w:br w:type="page"/>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t xml:space="preserve"> (Suma teológica I, q. 29, a. 1)</w:t>
      </w:r>
      <w:r>
        <w:t>. Y explica por qué ese nombre honra: «porque es de gran dignidad subsistir en una naturaleza racional, todo individuo de naturaleza racional se llama persona»</w:t>
      </w:r>
      <w:r>
        <w:t xml:space="preserve"> (Suma teológica I, q. 29, a. 3, respuesta a la segunda objeción)</w:t>
      </w:r>
      <w:r>
        <w:t>. Es el sentido de la Declaración Universal, que habla de «todo ser humano».</w:t>
      </w:r>
    </w:p>
    <w:p>
      <w:r>
        <w:rPr>
          <w:b/>
        </w:rPr>
        <w:t>La persona que hace el derecho.</w:t>
      </w:r>
      <w:r>
        <w:t xml:space="preserve"> La ley llama también «personas» a ciertas instituciones: «Son personas jurídicas: 1.º Las corporaciones, asociaciones y fundaciones de interés público reconocidas por la ley»</w:t>
      </w:r>
      <w:r>
        <w:t xml:space="preserve"> (Código Civil, art. 35)</w:t>
      </w:r>
      <w:r>
        <w:t>. Y la Administración «actúa para el cumplimiento de sus fines con personalidad jurídica única»</w:t>
      </w:r>
      <w:r>
        <w:t xml:space="preserve"> (Ley 40/2015, art. 3.4)</w:t>
      </w:r>
      <w:r>
        <w:t>.</w:t>
      </w:r>
    </w:p>
    <w:p>
      <w:r>
        <w:rPr>
          <w:b/>
        </w:rPr>
        <w:t>Cómo empieza cada una:</w:t>
      </w:r>
    </w:p>
    <w:p>
      <w:pPr>
        <w:pStyle w:val="ListBullet"/>
      </w:pPr>
      <w:r>
        <w:rPr>
          <w:b/>
        </w:rPr>
        <w:t>la persona:</w:t>
      </w:r>
      <w:r>
        <w:t xml:space="preserve"> «El nacimiento determina la personalidad»</w:t>
      </w:r>
      <w:r>
        <w:t xml:space="preserve"> (Código Civil, art. 29)</w:t>
      </w:r>
      <w:r>
        <w:t>, y la personalidad «se extingue por la muerte de las personas»</w:t>
      </w:r>
      <w:r>
        <w:t xml:space="preserve"> (Código Civil, art. 32)</w:t>
      </w:r>
      <w:r>
        <w:t>;</w:t>
      </w:r>
    </w:p>
    <w:p>
      <w:pPr>
        <w:pStyle w:val="ListBullet"/>
      </w:pPr>
      <w:r>
        <w:rPr>
          <w:b/>
        </w:rPr>
        <w:t>la persona jurídica:</w:t>
      </w:r>
      <w:r>
        <w:t xml:space="preserve"> «Su personalidad empieza desde el instante mismo en que, con arreglo a derecho, hubiesen quedado válidamente constituidas»</w:t>
      </w:r>
      <w:r>
        <w:t xml:space="preserve"> (Código Civil, art. 35)</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rPr>
          <w:b/>
        </w:rPr>
        <w:t>Lo que dicen los textos:</w:t>
      </w:r>
    </w:p>
    <w:p>
      <w:pPr>
        <w:pStyle w:val="ListBullet"/>
      </w:pPr>
      <w:r>
        <w:t>La Declaración Universal de Derechos Humanos, de 1948</w:t>
      </w:r>
      <w:r>
        <w:t xml:space="preserve"> (proclamada por la Asamblea General de las Naciones Unidas en París, el 10 de diciembre de 1948, resolución 217 A (III))</w:t>
      </w:r>
      <w:r>
        <w:t>, parte del «reconocimiento de la dignidad intrínseca y de los derechos iguales e inalienables de todos los miembros de la familia humana»</w:t>
      </w:r>
      <w:r>
        <w:t xml:space="preserve"> (Declaración Universal, preámbulo)</w:t>
      </w:r>
      <w:r>
        <w:t>. Y su primer artículo dice: «Todos los seres humanos nacen libres e iguales en dignidad y derechos y, dotados como están de razón y conciencia, deben comportarse fraternalmente los unos con los otros»</w:t>
      </w:r>
      <w:r>
        <w:t xml:space="preserve"> (Declaración Universal, art. 1)</w:t>
      </w:r>
      <w:r>
        <w:t>.</w:t>
      </w:r>
    </w:p>
    <w:p>
      <w:pPr>
        <w:pStyle w:val="ListBullet"/>
      </w:pPr>
      <w:r>
        <w:t>La Constitución usa la misma idea: «La dignidad de la persona, los derechos inviolables que le son inherentes [...] son fundamento del orden político y de la paz social»</w:t>
      </w:r>
      <w:r>
        <w:t xml:space="preserve"> (Constitución, art. 10.1)</w:t>
      </w:r>
      <w:r>
        <w:t>. Y manda leer los derechos que reconoce «de conformidad con la Declaración Universal de Derechos Humanos»</w:t>
      </w:r>
      <w:r>
        <w:t xml:space="preserve"> (Constitución, art. 10.2)</w:t>
      </w:r>
      <w:r>
        <w:t>.</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t xml:space="preserve"> (Constitución, art. 15)</w:t>
      </w:r>
      <w:r>
        <w:t>, la igualdad</w:t>
      </w:r>
      <w:r>
        <w:t xml:space="preserve"> (art. 14)</w:t>
      </w:r>
      <w:r>
        <w:t>, la libertad</w:t>
      </w:r>
      <w:r>
        <w:t xml:space="preserve"> (art. 17)</w:t>
      </w:r>
      <w:r>
        <w:t>, la protección de los jueces</w:t>
      </w:r>
      <w:r>
        <w:t xml:space="preserve"> (art. 24)</w:t>
      </w:r>
      <w:r>
        <w:t>, la libertad de conciencia</w:t>
      </w:r>
      <w:r>
        <w:t xml:space="preserve"> (art. 16)</w:t>
      </w:r>
      <w:r>
        <w:t xml:space="preserve"> o la de expresión</w:t>
      </w:r>
      <w:r>
        <w:t xml:space="preserve"> (art. 20)</w:t>
      </w:r>
      <w:r>
        <w:t>. Cinco de ellos están, del todo o en parte, entre los «principios rectores», que no se pueden exigir ante un juez como los demás (véase el límite honesto).</w:t>
      </w:r>
    </w:p>
    <w:p>
      <w:r>
        <w:t>La tabla completa, artículo por artículo, se ve en el nivel completo.</w:t>
      </w:r>
    </w:p>
    <w:p>
      <w:r>
        <w:rPr>
          <w:b/>
        </w:rPr>
        <w:t>Con los derechos, los deberes.</w:t>
      </w:r>
      <w:r>
        <w:t xml:space="preserve"> La Declaración no habla solo de derechos: «Toda persona tiene deberes respecto a la comunidad, puesto que sólo en ella puede desarrollar libre y plenamente su personalidad»</w:t>
      </w:r>
      <w:r>
        <w:t xml:space="preserve"> (Declaración Universal, art. 29.1)</w:t>
      </w:r>
      <w:r>
        <w:t>.</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rPr>
          <w:b/>
        </w:rPr>
        <w:t>Lo dicen tradiciones sin contacto documentado entre sí:</w:t>
      </w:r>
    </w:p>
    <w:p>
      <w:pPr>
        <w:pStyle w:val="ListBullet"/>
      </w:pPr>
      <w:r>
        <w:rPr>
          <w:b/>
        </w:rPr>
        <w:t>La Biblia:</w:t>
      </w:r>
      <w:r>
        <w:t xml:space="preserve"> «crió Dios al hombre á su imagen»</w:t>
      </w:r>
      <w:r>
        <w:t xml:space="preserve"> (Gn 1:27)</w:t>
      </w:r>
      <w:r>
        <w:t>.</w:t>
      </w:r>
    </w:p>
    <w:p>
      <w:pPr>
        <w:pStyle w:val="ListBullet"/>
      </w:pPr>
      <w:r>
        <w:rPr>
          <w:b/>
        </w:rPr>
        <w:t>San Agustín:</w:t>
      </w:r>
      <w:r>
        <w:t xml:space="preserve"> Dios no quiso que el ser racional, hecho a su imagen, dominara sino sobre los seres irracionales: «no al hombre sobre el hombre, sino al hombre sobre el ganado»</w:t>
      </w:r>
      <w:r>
        <w:t xml:space="preserve"> (La ciudad de Dios XIX, 15)</w:t>
      </w:r>
      <w:r>
        <w:t>.</w:t>
      </w:r>
    </w:p>
    <w:p>
      <w:pPr>
        <w:pStyle w:val="ListBullet"/>
      </w:pPr>
      <w:r>
        <w:rPr>
          <w:b/>
        </w:rPr>
        <w:t>El budismo:</w:t>
      </w:r>
      <w:r>
        <w:t xml:space="preserve"> «uno mismo es el señor de uno mismo: ¿quién otro podría ser su señor?»</w:t>
      </w:r>
      <w:r>
        <w:t xml:space="preserve"> (Dhammapada 160)</w:t>
      </w:r>
      <w:r>
        <w:t>.</w:t>
      </w:r>
    </w:p>
    <w:p>
      <w:pPr>
        <w:pStyle w:val="ListBullet"/>
      </w:pPr>
      <w:r>
        <w:rPr>
          <w:b/>
        </w:rPr>
        <w:t>Confucio:</w:t>
      </w:r>
      <w:r>
        <w:t xml:space="preserve"> «a un gran ejército se le puede arrebatar su general; al hombre más sencillo no se le puede arrebatar su voluntad»</w:t>
      </w:r>
      <w:r>
        <w:t xml:space="preserve"> (Analectas 9.26)</w:t>
      </w:r>
      <w:r>
        <w:t>.</w:t>
      </w:r>
    </w:p>
    <w:p>
      <w:pPr>
        <w:pStyle w:val="ListBullet"/>
      </w:pPr>
      <w:r>
        <w:rPr>
          <w:b/>
        </w:rPr>
        <w:t>Mill:</w:t>
      </w:r>
      <w:r>
        <w:t xml:space="preserve"> «sobre sí mismo, sobre su propio cuerpo y su propia mente, el individuo es soberano»</w:t>
      </w:r>
      <w:r>
        <w:t xml:space="preserve"> (John Stuart Mill, Sobre la libertad, 1859, cap. I)</w:t>
      </w:r>
      <w:r>
        <w:t>.</w:t>
      </w:r>
    </w:p>
    <w:p>
      <w:pPr>
        <w:pStyle w:val="ListBullet"/>
      </w:pPr>
      <w:r>
        <w:rPr>
          <w:b/>
        </w:rPr>
        <w:t>La Constitución:</w:t>
      </w:r>
      <w:r>
        <w:t xml:space="preserve"> «La soberanía nacional reside en el pueblo español, del que emanan los poderes del Estado»</w:t>
      </w:r>
      <w:r>
        <w:t xml:space="preserve"> (Constitución, art. 1.2)</w:t>
      </w:r>
      <w:r>
        <w:t>.</w:t>
      </w:r>
    </w:p>
    <w:p>
      <w:pPr>
        <w:pStyle w:val="ListBullet"/>
      </w:pPr>
      <w:r>
        <w:t>Lo dicen también el judaísmo, el islam, la India, Mencio y Laozi; sus textos se ven en el nivel completo.</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Lo que niega es que venga de la naturaleza: «ese nombre lo mereció la culpa, no la naturaleza»</w:t>
      </w:r>
      <w:r>
        <w:t xml:space="preserve"> (La ciudad de Dios XIX, 15)</w:t>
      </w:r>
      <w:r>
        <w:t>.</w:t>
      </w:r>
    </w:p>
    <w:p>
      <w:pPr>
        <w:pStyle w:val="ListBullet"/>
      </w:pPr>
      <w:r>
        <w:t>La imagen no hace a nadie Dios: «como hombres moriréis»</w:t>
      </w:r>
      <w:r>
        <w:t xml:space="preserve"> (Sal 82:7; </w:t>
      </w:r>
      <w:r>
        <w:t>1.3</w:t>
      </w:r>
      <w:r>
        <w:t>)</w:t>
      </w:r>
      <w:r>
        <w:t>.</w:t>
      </w:r>
    </w:p>
    <w:p>
      <w:pPr>
        <w:pStyle w:val="ListBullet"/>
      </w:pPr>
      <w:r>
        <w:t>Las palabras no son las mismas: imagen, espíritu, señorío, voluntad o nobleza no significan exactamente «soberanía». Coincide la idea, no el término.</w:t>
      </w:r>
    </w:p>
    <w:p>
      <w:r>
        <w:rPr>
          <w:b/>
        </w:rPr>
        <w:t>El límite.</w:t>
      </w:r>
      <w:r>
        <w:t xml:space="preserve"> Mill lo pone en el mismo libro: «el único fin por el que se puede ejercer con derecho el poder sobre cualquier miembro de una comunidad civilizada, contra su voluntad, es impedir que dañe a otros»</w:t>
      </w:r>
      <w:r>
        <w:t xml:space="preserve"> (Sobre la libertad, cap. I)</w:t>
      </w:r>
      <w:r>
        <w:t>. Y cada uno responde de lo suyo: «El alma que pecare, esa morirá: el hijo no llevará por el pecado del padre, ni el padre llevará por el pecado del hijo»</w:t>
      </w:r>
      <w:r>
        <w:t xml:space="preserve"> (Ez 18:20)</w:t>
      </w:r>
      <w:r>
        <w:t>.</w:t>
      </w:r>
    </w:p>
    <w:p>
      <w:r>
        <w:rPr>
          <w:b/>
        </w:rPr>
        <w:t>Lectura del autor:</w:t>
      </w:r>
      <w:r>
        <w:t xml:space="preserve"> Dios nos creó a imagen y semejanza. De ahí viene la soberanía de cada uno sobre sí mismo, que ningún ente sin cuerpo puede dar ni quitar.</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t xml:space="preserve"> (Gn 1:27)</w:t>
      </w:r>
      <w:r>
        <w:t>. Y: «Varón y hembra los crió; y los bendijo, y llamó el nombre de ellos Adam»</w:t>
      </w:r>
      <w:r>
        <w:t xml:space="preserve"> (Gn 5:2)</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t xml:space="preserve"> (Brihadaranyaka Upanishad I, 4, 3)</w:t>
      </w:r>
      <w:r>
        <w:t>.</w:t>
      </w:r>
    </w:p>
    <w:p>
      <w:pPr>
        <w:pStyle w:val="ListBullet"/>
      </w:pPr>
      <w:r>
        <w:rPr>
          <w:b/>
        </w:rPr>
        <w:t>El islam:</w:t>
      </w:r>
      <w:r>
        <w:t xml:space="preserve"> «¡Hombres! ¡Temed a vuestro Señor, Que os ha creado de una sola persona, de la que ha creado a su cónyuge!»</w:t>
      </w:r>
      <w:r>
        <w:t xml:space="preserve"> (Corán 4:1, traducción de Julio Cortés)</w:t>
      </w:r>
      <w:r>
        <w:t>.</w:t>
      </w:r>
    </w:p>
    <w:p>
      <w:r>
        <w:rPr>
          <w:b/>
        </w:rPr>
        <w:t>Lo que dicen después, en el mismo libro o en el mismo relato:</w:t>
      </w:r>
    </w:p>
    <w:p>
      <w:pPr>
        <w:pStyle w:val="ListBullet"/>
      </w:pPr>
      <w:r>
        <w:rPr>
          <w:b/>
        </w:rPr>
        <w:t>La Biblia:</w:t>
      </w:r>
      <w:r>
        <w:t xml:space="preserve"> «Y de la costilla que Jehová Dios tomó del hombre, hizo una mujer»</w:t>
      </w:r>
      <w:r>
        <w:t xml:space="preserve"> (Gn 2:22)</w:t>
      </w:r>
      <w:r>
        <w:t>; «ésta será llamada Varona, porque del varón fué tomada»</w:t>
      </w:r>
      <w:r>
        <w:t xml:space="preserve"> (Gn 2:23)</w:t>
      </w:r>
      <w:r>
        <w:t>. Y, tras la caída, a la mujer: «á tu marido será tu deseo, y él se enseñoreará de ti»</w:t>
      </w:r>
      <w:r>
        <w:t xml:space="preserve"> (Gn 3:16)</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t xml:space="preserve"> (Corán 4:34, traducción de Julio Cortés)</w:t>
      </w:r>
      <w:r>
        <w:t>. El verso sigue: «¡Amonestad a aquéllas de quienes temáis que se rebelen, dejadlas solas en el lecho, pegadles!».</w:t>
      </w:r>
    </w:p>
    <w:p>
      <w:r>
        <w:t>Hay más pasajes: el judaísmo rabínico, Manu, el Banquete de Platón, Pablo, Hesíodo, Persia, el Norte de Europa, Mesopotamia, China, Japón y los iroqueses. Se ven en el nivel completo, y todos, con su clasificación, en el más hondo.</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t xml:space="preserve"> (Constitución, art. 17.4)</w:t>
      </w:r>
      <w:r>
        <w:t>. También protege «la vida y [...] la integridad física y moral»</w:t>
      </w:r>
      <w:r>
        <w:t xml:space="preserve"> (Constitución, art. 15)</w:t>
      </w:r>
      <w:r>
        <w:t>.</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t xml:space="preserve"> (Kant, ¿Qué es la Ilustración?, 1784)</w:t>
      </w:r>
      <w:r>
        <w:t xml:space="preserve">. Y su lema: </w:t>
      </w:r>
      <w:r>
        <w:rPr>
          <w:i/>
        </w:rPr>
        <w:t>Sapere aude!</w:t>
      </w:r>
      <w:r>
        <w:t>, «¡atrévete a saber! ¡Ten valor para servirte de tu propio entendimiento!»</w:t>
      </w:r>
      <w:r>
        <w:t>.</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t xml:space="preserve"> (Gn 1:31)</w:t>
      </w:r>
      <w:r>
        <w:t>.</w:t>
      </w:r>
    </w:p>
    <w:p>
      <w:pPr>
        <w:pStyle w:val="ListBullet"/>
      </w:pPr>
      <w:r>
        <w:t>Pablo: los que no tienen ley muestran «la obra de la ley escrita en sus corazones, dando testimonio juntamente sus conciencias»</w:t>
      </w:r>
      <w:r>
        <w:t xml:space="preserve"> (Rm 2:15)</w:t>
      </w:r>
      <w:r>
        <w:t>.</w:t>
      </w:r>
    </w:p>
    <w:p>
      <w:pPr>
        <w:pStyle w:val="ListBullet"/>
      </w:pPr>
      <w:r>
        <w:t>El Corán: «¡Por el alma y Quien le ha dado forma armoniosa, instruyéndole sobre su propensión al pecado y su temor de Dios!»</w:t>
      </w:r>
      <w:r>
        <w:t xml:space="preserve"> (Corán 91:7-8, traducción de Julio Cortés)</w:t>
      </w:r>
      <w:r>
        <w: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t xml:space="preserve"> (Kant, Fundamentación de la metafísica de las costumbres, 1785)</w:t>
      </w:r>
      <w:r>
        <w:t>. Lo que tiene precio se puede cambiar por otra cosa; lo que no admite nada a cambio tiene dignidad. Y de ahí su regla: «obra de tal modo que trates a la humanidad, tanto en tu persona como en la de cualquier otro, siempre a la vez como fin y nunca solo como medio»</w:t>
      </w:r>
      <w:r>
        <w:t xml:space="preserve"> (misma obra)</w:t>
      </w:r>
      <w:r>
        <w:t>. Es la idea de 2.2: la dignidad no se concede, se reconoce.</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t xml:space="preserve"> (Mt 7:16; </w:t>
      </w:r>
      <w:r>
        <w:t>0.5</w:t>
      </w:r>
      <w:r>
        <w:t>)</w:t>
      </w:r>
      <w:r>
        <w:t>. Si alguien dice una cosa y hace otra, el pacto se rompe solo, sin tribunal ni castigo. Coherencia es pensar, decir, sentir y hacer en la misma dirección.</w:t>
      </w:r>
    </w:p>
    <w:p>
      <w:r>
        <w:rPr>
          <w:b/>
        </w:rPr>
        <w:t>La objeción, con su respuesta.</w:t>
      </w:r>
      <w:r>
        <w:t xml:space="preserve"> El Estado diría que exigir avales es un filtro arbitrario: él reconoce los mismos derechos a todos, sin aval de nadie</w:t>
      </w:r>
      <w:r>
        <w:t xml:space="preserve"> (Constitución, art. 14)</w:t>
      </w:r>
      <w:r>
        <w:t>. Es una objeción seria, y la obra la recoge: su propuesta pública no usa avales, y el jurado del juicio popular se elige por sorteo (</w:t>
      </w:r>
      <w:r>
        <w:t>11.1</w:t>
      </w:r>
      <w:r>
        <w:t>). El aval es solo para una unión voluntaria, no para acceder a ningún derecho.</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t xml:space="preserve"> (Constitución, art. 22.1)</w:t>
      </w:r>
      <w:r>
        <w:t>. Quien quiera dar ese paso necesita asesoramiento profesional.</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t xml:space="preserve"> (Platón, Apología 21d)</w:t>
      </w:r>
      <w:r>
        <w:t>. Es lo que se resume en «solo sé que no sé nada».</w:t>
      </w:r>
    </w:p>
    <w:p>
      <w:pPr>
        <w:pStyle w:val="ListBullet"/>
      </w:pPr>
      <w:r>
        <w:rPr>
          <w:b/>
        </w:rPr>
        <w:t>Confucio:</w:t>
      </w:r>
      <w:r>
        <w:t xml:space="preserve"> «saber lo que se sabe, y saber que no se sabe lo que no se sabe: eso es saber»</w:t>
      </w:r>
      <w:r>
        <w:t xml:space="preserve"> (Analectas 2.17)</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t xml:space="preserve"> (Mt 18:3-4)</w:t>
      </w:r>
      <w:r>
        <w:t>.</w:t>
      </w:r>
    </w:p>
    <w:p>
      <w:pPr>
        <w:pStyle w:val="ListBullet"/>
      </w:pPr>
      <w:r>
        <w:t>Lo dicen también Laozi, el judaísmo, el islam y el libro de Job; sus textos se ven en el nivel completo.</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t xml:space="preserve"> (Rm 7:19)</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t xml:space="preserve"> (Fedro 246b)</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t xml:space="preserve"> (Xunzi 23)</w:t>
      </w:r>
      <w:r>
        <w:t>.</w:t>
      </w:r>
    </w:p>
    <w:p>
      <w:r>
        <w:t xml:space="preserve">Lo que pasa cuando un poder deja de sentirse aprendiz, y deja de corregirse, se verá en </w:t>
      </w:r>
      <w:r>
        <w:t>6.2</w:t>
      </w:r>
      <w:r>
        <w:t>.</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t xml:space="preserve"> (Heb 5:14)</w:t>
      </w:r>
      <w:r>
        <w:t>. No es un título. «Cuando yo era niño, hablaba como niño, pensaba como niño, juzgaba como niño, mas cuando ya fuí hombre hecho, dejé lo que era de niño»</w:t>
      </w:r>
      <w:r>
        <w:t xml:space="preserve"> (1 Co 13:11)</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en cambio, las que venían de la tierra, «habiendo sufrido ellas mismas y visto sufrir a otros, no se precipitaban al elegir»</w:t>
      </w:r>
      <w:r>
        <w:t xml:space="preserve"> (República X, 619c-d, traducción inglesa de Jowett)</w:t>
      </w:r>
      <w:r>
        <w:t>. El límite: que la dificultad enseñe no justifica a quien la causa. El daño al prójimo se sigue midiendo con la vara (</w:t>
      </w:r>
      <w:r>
        <w:t>0.5</w:t>
      </w:r>
      <w:r>
        <w:t>).</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(Platón, República X, 618c)</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t xml:space="preserve"> (Jn 8:44)</w:t>
      </w:r>
      <w:r>
        <w:t>. «Así, todo buen árbol lleva buenos frutos; mas el árbol maleado lleva malos frutos»</w:t>
      </w:r>
      <w:r>
        <w:t xml:space="preserve"> (Mt 7:17)</w:t>
      </w:r>
      <w:r>
        <w:t>. Con la condición del propio texto: «Dejad crecer juntamente lo uno y lo otro hasta la siega»</w:t>
      </w:r>
      <w:r>
        <w:t xml:space="preserve"> (Mt 13:30)</w:t>
      </w:r>
      <w:r>
        <w:t>, y «la siega es el fin del mundo, y los segadores son los ángeles»</w:t>
      </w:r>
      <w:r>
        <w:t xml:space="preserve"> (Mt 13:39)</w:t>
      </w:r>
      <w:r>
        <w:t>. Por eso la obra no arranca a nadie: discierne caso a caso, con pruebas, y la siega final no es nuestra. Que «ha llegado este tiempo» es lectura del autor: es el tiempo del desvelamiento y del discernimiento, no de la siega.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t xml:space="preserve"> (Código Civil, art. 434)</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t xml:space="preserve"> (Código Penal, art. 20.5.º)</w:t>
      </w:r>
      <w:r>
        <w:t>. Pero no responde igual quien sabe que quien no sabe: «á cualquiera que fué dado mucho, mucho será vuelto á demandar de él»</w:t>
      </w:r>
      <w:r>
        <w:t xml:space="preserve"> (Lc 12:48)</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t xml:space="preserve"> (Código Penal, art. 384)</w:t>
      </w:r>
      <w:r>
        <w:t>. No se ha encontrado ninguna sentencia española que nombre estas teorías por su nombre.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rPr>
          <w:b/>
        </w:rPr>
        <w:t>Lo que esta obra no es.</w:t>
      </w:r>
      <w:r>
        <w:t xml:space="preserve"> No exime de ninguna obligación vigente: «Los ciudadanos y los poderes públicos están sujetos a la Constitución y al resto del ordenamiento jurídico»</w:t>
      </w:r>
      <w:r>
        <w:t xml:space="preserve"> (Constitución, art. 9.1)</w:t>
      </w:r>
      <w:r>
        <w:t>. No invita a desobedecer. Su vía es la constancia escrita, la petición documentada y el juicio popular de la verdad, que juzga instituciones, no personas (</w:t>
      </w:r>
      <w:r>
        <w:t>0.2</w:t>
      </w:r>
      <w:r>
        <w:t>).</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t xml:space="preserve">. </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t xml:space="preserve"> (Constitución, art. 9.1)</w:t>
      </w:r>
      <w:r>
        <w:t xml:space="preserve">. </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r>
        <w:br w:type="page"/>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t xml:space="preserve"> (Ex 25:16)</w:t>
      </w:r>
      <w:r>
        <w:t>, y Moisés: «puse las tablas en el arca que había hecho; y allí están»</w:t>
      </w:r>
      <w:r>
        <w:t xml:space="preserve"> (Dt 10:5)</w:t>
      </w:r>
      <w:r>
        <w:t>. Las tablas eran «las palabras de la alianza, las diez palabras»</w:t>
      </w:r>
      <w:r>
        <w:t xml:space="preserve"> (Ex 34:28)</w:t>
      </w:r>
      <w:r>
        <w:t>, y en el arca no había «más de las dos tablas de piedra que había allí puesto Moisés en Horeb, donde Jehová hizo la alianza con los hijos de Israel»</w:t>
      </w:r>
      <w:r>
        <w:t xml:space="preserve"> (1 R 8:9)</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t xml:space="preserve"> (Tusculanas I, 30)</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t xml:space="preserve"> (Rm 2:14-15)</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rPr>
          <w:b/>
        </w:rPr>
        <w:t>Lectura del autor:</w:t>
      </w:r>
      <w:r>
        <w:t xml:space="preserve"> «Después de revisar toda la historia y los textos sagrados, recopilamos la información pertinente, y si existen muchas convergencias quiere decir que es la ley de Dios; no lo he inventado yo».</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t xml:space="preserve"> (Gn 3:19)</w:t>
      </w:r>
      <w:r>
        <w:t>;</w:t>
      </w:r>
    </w:p>
    <w:p>
      <w:pPr>
        <w:pStyle w:val="ListBullet"/>
      </w:pPr>
      <w:r>
        <w:rPr>
          <w:b/>
        </w:rPr>
        <w:t>Hesíodo:</w:t>
      </w:r>
      <w:r>
        <w:t xml:space="preserve"> «el trabajo no es ninguna deshonra; la ociosidad sí es deshonra»</w:t>
      </w:r>
      <w:r>
        <w:t xml:space="preserve"> (Trabajos y días 311)</w:t>
      </w:r>
      <w:r>
        <w:t>;</w:t>
      </w:r>
    </w:p>
    <w:p>
      <w:pPr>
        <w:pStyle w:val="ListBullet"/>
      </w:pPr>
      <w:r>
        <w:rPr>
          <w:b/>
        </w:rPr>
        <w:t>el Talmud:</w:t>
      </w:r>
      <w:r>
        <w:t xml:space="preserve"> «grande es el trabajo, que honra a quien lo hace»</w:t>
      </w:r>
      <w:r>
        <w:t xml:space="preserve"> (Nedarim 49b)</w:t>
      </w:r>
      <w:r>
        <w:t>;</w:t>
      </w:r>
    </w:p>
    <w:p>
      <w:pPr>
        <w:pStyle w:val="ListBullet"/>
      </w:pPr>
      <w:r>
        <w:rPr>
          <w:b/>
        </w:rPr>
        <w:t>el budismo:</w:t>
      </w:r>
      <w:r>
        <w:t xml:space="preserve"> el discípulo noble «deja el modo de vida torcido y se gana la vida con el recto»</w:t>
      </w:r>
      <w:r>
        <w:t xml:space="preserve"> (Samyutta Nikaya 45.8)</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t xml:space="preserve"> (Sahih al-Bujari 2072)</w:t>
      </w:r>
      <w:r>
        <w:t>.</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y eso, «por mala costumbre»</w:t>
      </w:r>
      <w:r>
        <w:t xml:space="preserve"> (Tusculanas I, 30)</w:t>
      </w:r>
      <w:r>
        <w:t>.</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t xml:space="preserve"> (Constitución de los Estados Unidos, Enmienda XIII, 1865)</w:t>
      </w:r>
      <w:r>
        <w:t>. La excepción del castigo penal sigue en el texto.</w:t>
      </w:r>
    </w:p>
    <w:p>
      <w:pPr>
        <w:pStyle w:val="ListBullet"/>
      </w:pPr>
      <w:r>
        <w:t>«Queda declarada extinguida, desde la fecha de esta ley, la esclavitud en Brasil»</w:t>
      </w:r>
      <w:r>
        <w:t xml:space="preserve"> (Ley Áurea, 13 de mayo de 1888, art. 1)</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t xml:space="preserve"> (Slavery Abolition Act, de 28 de agosto de 1833, secciones XII y XXIV)</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t xml:space="preserve"> (decretos de 16 pluvioso del año II y de 27 de abril de 1848; ley de 30 floreal del año X)</w:t>
      </w:r>
      <w:r>
        <w:t>.</w:t>
      </w:r>
    </w:p>
    <w:p>
      <w:pPr>
        <w:pStyle w:val="ListBullet"/>
      </w:pPr>
      <w:r>
        <w:t>España: «Queda abolida para siempre la esclavitud en la isla de Puerto-Rico»</w:t>
      </w:r>
      <w:r>
        <w:t xml:space="preserve"> (Ley de 22 de marzo de 1873, art. 1)</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t xml:space="preserve"> (Código Penal, art. 607 bis)</w:t>
      </w:r>
      <w:r>
        <w:t>.</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t xml:space="preserve"> (Xunzi, 大略)</w:t>
      </w:r>
      <w:r>
        <w:t>. Y Mencio: «El pueblo es lo más valioso; los altares del Estado le siguen; el gobernante es lo de menos», y «si un señor pone en peligro los altares del Estado, se le sustituye»</w:t>
      </w:r>
      <w:r>
        <w:t xml:space="preserve"> (Mencio 7B14)</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b/>
        </w:rPr>
        <w:t>América:</w:t>
      </w:r>
      <w:r>
        <w:t xml:space="preserve"> si un señor de la Confederación iroquesa no tiene en mente el bien del pueblo, se le amonesta tres veces y, si persiste, se le despoja de su título</w:t>
      </w:r>
      <w:r>
        <w:t xml:space="preserve"> (Gran Ley de la Paz, art. 19)</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t xml:space="preserve"> (P. G. Ramsden, «Haudenosaunee (Iroquois)», The Canadian Encyclopedia, ed. de 15-V-2024; fuente secundaria)</w:t>
      </w:r>
      <w:r>
        <w:t>; Britannica la sitúa entre 1570 y 1600</w:t>
      </w:r>
      <w:r>
        <w:t xml:space="preserve"> (Encyclopaedia Britannica, «Iroquois Confederacy»; fuente secundaria)</w:t>
      </w:r>
      <w:r>
        <w:t>. Se transmitió de palabra, con cinturones de wampum que servían para recordar cada ley, y los iroqueses no intentaron ponerla por escrito hasta hace poco: «Hasta hace poco los iroqueses no han intentado poner su código por escrito»</w:t>
      </w:r>
      <w:r>
        <w:t xml:space="preserve"> (A. C. Parker, The Constitution of the Five Nations, Albany, 1916, introducción)</w:t>
      </w:r>
      <w:r>
        <w:t>. La versión que aquí se cita es la de Parker, de 1916. La fecha del papel no prueba la del contenido.</w:t>
      </w:r>
    </w:p>
    <w:p>
      <w:pPr>
        <w:pStyle w:val="ListBullet"/>
      </w:pPr>
      <w:r>
        <w:rPr>
          <w:b/>
        </w:rPr>
        <w:t>La pata coja:</w:t>
      </w:r>
      <w:r>
        <w:t xml:space="preserve"> «pueblo débil, Estado fuerte; pueblo fuerte, Estado débil»</w:t>
      </w:r>
      <w:r>
        <w:t xml:space="preserve"> (Libro del señor Shang, 弱民)</w:t>
      </w:r>
      <w:r>
        <w:t>. Y el rey, aunque sea un niño, «es una gran deidad en forma humana»</w:t>
      </w:r>
      <w:r>
        <w:t xml:space="preserve"> (Leyes de Manu VII, 8)</w:t>
      </w:r>
      <w:r>
        <w:t>.</w:t>
      </w:r>
    </w:p>
    <w:p>
      <w:pPr>
        <w:pStyle w:val="Heading3"/>
      </w:pPr>
      <w:r>
        <w:t>P2. Impuestos moderados</w:t>
      </w:r>
    </w:p>
    <w:p>
      <w:pPr>
        <w:pStyle w:val="ListBullet"/>
      </w:pPr>
      <w:r>
        <w:rPr>
          <w:b/>
        </w:rPr>
        <w:t>China:</w:t>
      </w:r>
      <w:r>
        <w:t xml:space="preserve"> «El pueblo pasa hambre porque los de arriba consumen demasiados impuestos»</w:t>
      </w:r>
      <w:r>
        <w:t xml:space="preserve"> (Daodejing 75)</w:t>
      </w:r>
      <w:r>
        <w:t>.</w:t>
      </w:r>
    </w:p>
    <w:p>
      <w:pPr>
        <w:pStyle w:val="ListBullet"/>
      </w:pPr>
      <w:r>
        <w:rPr>
          <w:b/>
        </w:rPr>
        <w:t>Israel:</w:t>
      </w:r>
      <w:r>
        <w:t xml:space="preserve"> el profeta advierte de lo que hará el rey: «El diezmará vuestras simientes y vuestras viñas […] Diezmará también vuestro rebaño, y seréis sus siervos»</w:t>
      </w:r>
      <w:r>
        <w:t xml:space="preserve"> (1 Sam 8:15-17)</w:t>
      </w:r>
      <w:r>
        <w:t>. Un diezmo ya se describía como servidumbre. Y cuando Roboam respondió al pueblo: «Mi padre agravó vuestro yugo, pero yo añadiré á vuestro yugo», el reino se dividió</w:t>
      </w:r>
      <w:r>
        <w:t xml:space="preserve"> (1 R 12:14-16)</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t xml:space="preserve"> (Mahabharata 12.72)</w:t>
      </w:r>
      <w:r>
        <w:t>.</w:t>
      </w:r>
    </w:p>
    <w:p>
      <w:pPr>
        <w:pStyle w:val="ListBullet"/>
      </w:pPr>
      <w:r>
        <w:rPr>
          <w:b/>
        </w:rPr>
        <w:t>La pata coja:</w:t>
      </w:r>
      <w:r>
        <w:t xml:space="preserve"> subir la carga poco a poco, «como quien va aumentando poco a poco la carga de un novillo»</w:t>
      </w:r>
      <w:r>
        <w:t>, y sembrar la división entre el pueblo que soporta las cargas</w:t>
      </w:r>
      <w:r>
        <w:t xml:space="preserve"> (Mahabharata 12.89)</w:t>
      </w:r>
      <w:r>
        <w:t>; y el Arthashastra enseña a llenar el tesoro pidiendo contribuciones con falsos pretextos</w:t>
      </w:r>
      <w:r>
        <w:t xml:space="preserve"> (Arthashastra 5.2)</w:t>
      </w:r>
      <w:r>
        <w:t xml:space="preserve">. </w:t>
      </w:r>
      <w:r>
        <w:rPr>
          <w:b/>
        </w:rPr>
        <w:t>Un matiz:</w:t>
      </w:r>
      <w:r>
        <w:t xml:space="preserve"> Mencio rechaza también el impuesto demasiado bajo; el principio es la medida justa, no «cuanto menos, mejor».</w:t>
      </w:r>
    </w:p>
    <w:p>
      <w:pPr>
        <w:pStyle w:val="Heading3"/>
      </w:pPr>
      <w:r>
        <w:t>P3. No quitar al pueblo su tiempo</w:t>
      </w:r>
    </w:p>
    <w:p>
      <w:pPr>
        <w:pStyle w:val="ListBullet"/>
      </w:pPr>
      <w:r>
        <w:rPr>
          <w:b/>
        </w:rPr>
        <w:t>China:</w:t>
      </w:r>
      <w:r>
        <w:t xml:space="preserve"> «ellos roban al pueblo su tiempo, de modo que no puede arar para alimentar a sus padres»</w:t>
      </w:r>
      <w:r>
        <w:t xml:space="preserve"> (Mencio 1A5)</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t xml:space="preserve"> (Dt 5:14)</w:t>
      </w:r>
      <w:r>
        <w:t>.</w:t>
      </w:r>
    </w:p>
    <w:p>
      <w:pPr>
        <w:pStyle w:val="ListBullet"/>
      </w:pPr>
      <w:r>
        <w:rPr>
          <w:b/>
        </w:rPr>
        <w:t>Egipto:</w:t>
      </w:r>
      <w:r>
        <w:t xml:space="preserve"> «es aborrecible para el alma que se le quite su tiempo [de sosiego]»</w:t>
      </w:r>
      <w:r>
        <w:t xml:space="preserve"> (Ptahhotep, máxima 11)</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medida de la tradición:</w:t>
      </w:r>
      <w:r>
        <w:t xml:space="preserve"> las Leyes de Manu fijan para el artesano y el trabajador manual un día al mes de trabajo para el rey</w:t>
      </w:r>
      <w:r>
        <w:t xml:space="preserve"> (Leyes de Manu VII, 138)</w:t>
      </w:r>
      <w:r>
        <w:t xml:space="preserve">. Lo que hoy se lleva de cada jornada se mide en </w:t>
      </w:r>
      <w:r>
        <w:t>8.3</w:t>
      </w:r>
      <w:r>
        <w:t>.</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t xml:space="preserve"> (Garcilaso V, 11)</w:t>
      </w:r>
      <w:r>
        <w:t>.</w:t>
      </w:r>
    </w:p>
    <w:p>
      <w:pPr>
        <w:pStyle w:val="Heading3"/>
      </w:pPr>
      <w:r>
        <w:t>P4. Pesas y medidas justas</w:t>
      </w:r>
    </w:p>
    <w:p>
      <w:pPr>
        <w:pStyle w:val="ListBullet"/>
      </w:pPr>
      <w:r>
        <w:rPr>
          <w:b/>
        </w:rPr>
        <w:t>Egipto,</w:t>
      </w:r>
      <w:r>
        <w:t xml:space="preserve"> ante el tribunal de Maat: «no he disminuido la medida de grano […] no he añadido pesos a la balanza»</w:t>
      </w:r>
      <w:r>
        <w:t xml:space="preserve"> (Libro de los Muertos, cap. 125)</w:t>
      </w:r>
      <w:r>
        <w:t>.</w:t>
      </w:r>
    </w:p>
    <w:p>
      <w:pPr>
        <w:pStyle w:val="ListBullet"/>
      </w:pPr>
      <w:r>
        <w:rPr>
          <w:b/>
        </w:rPr>
        <w:t>Israel:</w:t>
      </w:r>
      <w:r>
        <w:t xml:space="preserve"> «Balanzas justas, pesas justas, epha justo, é hin justo tendréis»</w:t>
      </w:r>
      <w:r>
        <w:t xml:space="preserve"> (Lv 19:36)</w:t>
      </w:r>
      <w:r>
        <w:t>. «El peso falso abominación es á Jehová: Mas la pesa cabal le agrada»</w:t>
      </w:r>
      <w:r>
        <w:t xml:space="preserve"> (Pr 11:1)</w:t>
      </w:r>
      <w:r>
        <w:t>.</w:t>
      </w:r>
    </w:p>
    <w:p>
      <w:pPr>
        <w:pStyle w:val="ListBullet"/>
      </w:pPr>
      <w:r>
        <w:rPr>
          <w:b/>
        </w:rPr>
        <w:t>El islam:</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t xml:space="preserve"> (Arthashastra 2.6)</w:t>
      </w:r>
      <w:r>
        <w:t>.</w:t>
      </w:r>
    </w:p>
    <w:p>
      <w:pPr>
        <w:pStyle w:val="ListBullet"/>
      </w:pPr>
      <w:r>
        <w:rPr>
          <w:b/>
        </w:rPr>
        <w:t>Lectura del autor:</w:t>
      </w:r>
      <w:r>
        <w:t xml:space="preserve"> la medida de hoy es el dinero. Si pierde valor, es una pesa que se aligera. Se mide con datos en </w:t>
      </w:r>
      <w:r>
        <w:t>8.1</w:t>
      </w:r>
      <w:r>
        <w:t>.</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t xml:space="preserve"> (Corán 4:58, traducción de Julio Cortés)</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t xml:space="preserve"> (Ex 22:7-8)</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t xml:space="preserve"> (Leyes de Manu VIII, 180)</w:t>
      </w:r>
      <w:r>
        <w:t>.</w:t>
      </w:r>
    </w:p>
    <w:p>
      <w:pPr>
        <w:pStyle w:val="ListBullet"/>
      </w:pPr>
      <w:r>
        <w:t xml:space="preserve">Qué ha pasado con un depósito de todos, la hucha de las pensiones, se examina en </w:t>
      </w:r>
      <w:r>
        <w:t>8.6</w:t>
      </w:r>
      <w:r>
        <w:t>.</w:t>
      </w:r>
    </w:p>
    <w:p>
      <w:pPr>
        <w:pStyle w:val="ListBullet"/>
      </w:pPr>
      <w:r>
        <w:rPr>
          <w:b/>
        </w:rPr>
        <w:t>La pata coja:</w:t>
      </w:r>
      <w:r>
        <w:t xml:space="preserve"> el Arthashastra enseña a un espía a reunir depósitos y préstamos para después «hacerse robar la suma»</w:t>
      </w:r>
      <w:r>
        <w:t xml:space="preserve"> (Arthashastra 5.2)</w:t>
      </w:r>
      <w:r>
        <w:t>. Y Cicerón admite un caso en que devolver el depósito deja de ser justo: si quien lo pide ha enloquecido</w:t>
      </w:r>
      <w:r>
        <w:t xml:space="preserve"> (De officiis I, 31)</w:t>
      </w:r>
      <w:r>
        <w:t>.</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t xml:space="preserve"> (Dt 24:16)</w:t>
      </w:r>
      <w:r>
        <w:t>.</w:t>
      </w:r>
    </w:p>
    <w:p>
      <w:pPr>
        <w:pStyle w:val="ListBullet"/>
      </w:pPr>
      <w:r>
        <w:rPr>
          <w:b/>
        </w:rPr>
        <w:t>El islam:</w:t>
      </w:r>
      <w:r>
        <w:t xml:space="preserve"> «Nadie cargará con la carga ajena»</w:t>
      </w:r>
      <w:r>
        <w:t xml:space="preserve"> (Corán 6:164)</w:t>
      </w:r>
      <w:r>
        <w:t>. Y: «Si un malvado os trae una noticia, examinadla bien, no sea que lastiméis a gente por ignorancia»</w:t>
      </w:r>
      <w:r>
        <w:t xml:space="preserve"> (Corán 49:6)</w:t>
      </w:r>
      <w:r>
        <w:t>.</w:t>
      </w:r>
    </w:p>
    <w:p>
      <w:pPr>
        <w:pStyle w:val="ListBullet"/>
      </w:pPr>
      <w:r>
        <w:rPr>
          <w:b/>
        </w:rPr>
        <w:t>China:</w:t>
      </w:r>
      <w:r>
        <w:t xml:space="preserve"> aun cuando todo el pueblo diga que alguien merece la muerte, entonces hay que examinarlo</w:t>
      </w:r>
      <w:r>
        <w:t xml:space="preserve"> (Mencio 1B7)</w:t>
      </w:r>
      <w:r>
        <w:t>. Y: «padres, hijos y hermanos: sus delitos no se alcanzan unos a otros»</w:t>
      </w:r>
      <w:r>
        <w:t xml:space="preserve"> (Comentario de Zuo, duque Zhao)</w:t>
      </w:r>
      <w:r>
        <w:t>.</w:t>
      </w:r>
    </w:p>
    <w:p>
      <w:pPr>
        <w:pStyle w:val="ListBullet"/>
      </w:pPr>
      <w:r>
        <w:rPr>
          <w:b/>
        </w:rPr>
        <w:t>La pata coja:</w:t>
      </w:r>
      <w:r>
        <w:t xml:space="preserve"> si una casa mal hecha mata al hijo del dueño, «se dará muerte al hijo del constructor»</w:t>
      </w:r>
      <w:r>
        <w:t xml:space="preserve"> (Código de Hammurabi §230, traducción inglesa de King)</w:t>
      </w:r>
      <w:r>
        <w:t>. El Libro del señor Shang pide «castigo duro y culpa compartida»</w:t>
      </w:r>
      <w:r>
        <w:t xml:space="preserve"> (Libro del señor Shang, 墾令)</w:t>
      </w:r>
      <w:r>
        <w:t>. Y Séneca admite que, sin ira, la razón acabe con las familias dañinas para el Estado, «con sus mujeres e hijos»</w:t>
      </w:r>
      <w:r>
        <w:t xml:space="preserve"> (De ira I, 19)</w:t>
      </w:r>
      <w:r>
        <w:t>.</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t xml:space="preserve"> (Lc 3:13)</w:t>
      </w:r>
      <w:r>
        <w:t>. Y «No recibirás presente; porque el presente ciega á los que ven, y pervierte las palabras justas»</w:t>
      </w:r>
      <w:r>
        <w:t xml:space="preserve"> (Ex 23:8)</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t xml:space="preserve"> (Garcilaso, Comentarios reales II, 13)</w:t>
      </w:r>
      <w:r>
        <w:t>.</w:t>
      </w:r>
    </w:p>
    <w:p>
      <w:pPr>
        <w:pStyle w:val="ListBullet"/>
      </w:pPr>
      <w:r>
        <w:rPr>
          <w:b/>
        </w:rPr>
        <w:t>Roma:</w:t>
      </w:r>
      <w:r>
        <w:t xml:space="preserve"> una ley se endureció «para aumentar el erario»</w:t>
      </w:r>
      <w:r>
        <w:t>, con premios a los delatores, y arruinó muchas fortunas</w:t>
      </w:r>
      <w:r>
        <w:t xml:space="preserve"> (Tácito, Anales III, 25 y 28)</w:t>
      </w:r>
      <w:r>
        <w:t>. Es el texto más cercano a «el castigo como fuente de ingresos» de toda la búsqueda.</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t xml:space="preserve"> (Arthashastra 2.6)</w:t>
      </w:r>
      <w:r>
        <w:t>; entre los ashanti, las multas y tasas judiciales eran «otra fuente fructífera de ingresos»</w:t>
      </w:r>
      <w:r>
        <w:t xml:space="preserve"> (Rattray, Ashanti Law and Constitution, cap. XIV)</w:t>
      </w:r>
      <w:r>
        <w:t>.</w:t>
      </w:r>
    </w:p>
    <w:p>
      <w:pPr>
        <w:pStyle w:val="Heading3"/>
      </w:pPr>
      <w:r>
        <w:t>P9. Más leyes, más pobreza</w:t>
      </w:r>
    </w:p>
    <w:p>
      <w:pPr>
        <w:pStyle w:val="ListBullet"/>
      </w:pPr>
      <w:r>
        <w:rPr>
          <w:b/>
        </w:rPr>
        <w:t>China:</w:t>
      </w:r>
      <w:r>
        <w:t xml:space="preserve"> «cuantas más prohibiciones, más pobre el pueblo; cuanto más se exhiben las leyes, más ladrones hay»</w:t>
      </w:r>
      <w:r>
        <w:t xml:space="preserve"> (Daodejing 57)</w:t>
      </w:r>
      <w:r>
        <w:t>. Y: «cuando un Estado va a perecer, multiplica sus reglamentos»</w:t>
      </w:r>
      <w:r>
        <w:t xml:space="preserve"> (Comentario de Zuo, duque Zhao, año 6)</w:t>
      </w:r>
      <w:r>
        <w:t>.</w:t>
      </w:r>
    </w:p>
    <w:p>
      <w:pPr>
        <w:pStyle w:val="ListBullet"/>
      </w:pPr>
      <w:r>
        <w:rPr>
          <w:b/>
        </w:rPr>
        <w:t>Roma:</w:t>
      </w:r>
      <w:r>
        <w:t xml:space="preserve"> «cuanto más corrupto el Estado, más numerosas las leyes»</w:t>
      </w:r>
      <w:r>
        <w:t xml:space="preserve"> (Tácito, Anales III, 27)</w:t>
      </w:r>
      <w:r>
        <w:t>.</w:t>
      </w:r>
    </w:p>
    <w:p>
      <w:pPr>
        <w:pStyle w:val="ListBullet"/>
      </w:pPr>
      <w:r>
        <w:rPr>
          <w:b/>
        </w:rPr>
        <w:t>La tradición rabínica:</w:t>
      </w:r>
      <w:r>
        <w:t xml:space="preserve"> «no se decreta una norma sobre la comunidad si la mayoría no puede cumplirla»</w:t>
      </w:r>
      <w:r>
        <w:t xml:space="preserve"> (Talmud, Avodá Zará 36a)</w:t>
      </w:r>
      <w:r>
        <w:t>. Es la regla más directa de todas las tradiciones leídas.</w:t>
      </w:r>
    </w:p>
    <w:p>
      <w:pPr>
        <w:pStyle w:val="ListBullet"/>
      </w:pPr>
      <w:r>
        <w:rPr>
          <w:b/>
        </w:rPr>
        <w:t>El matiz:</w:t>
      </w:r>
      <w:r>
        <w:t xml:space="preserve"> sin leyes, «todo dependía de la voluntad o el capricho del rey»</w:t>
      </w:r>
      <w:r>
        <w:t xml:space="preserve"> (Malo, Antigüedades hawaianas XVIII, 38-39)</w:t>
      </w:r>
      <w:r>
        <w:t xml:space="preserve">. El principio es la medida justa de leyes, no su ausencia. Cuántas normas se publican hoy se examina en el </w:t>
      </w:r>
      <w:r>
        <w:t>cargo 8</w:t>
      </w:r>
      <w:r>
        <w:t>.</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t xml:space="preserve"> (Liddell y Scott, Greek-English Lexicon, ἁμαρτάνω)</w:t>
      </w:r>
      <w:r>
        <w:t>;</w:t>
      </w:r>
    </w:p>
    <w:p>
      <w:pPr>
        <w:pStyle w:val="ListBullet"/>
      </w:pPr>
      <w:r>
        <w:t>en hebreo, de los honderos de Benjamín se dice que «tiraban una piedra con la honda á un cabello, y no erraban»</w:t>
      </w:r>
      <w:r>
        <w:t xml:space="preserve"> (Jue 20:16)</w:t>
      </w:r>
      <w:r>
        <w:t>, y ese «no erraban» es el verbo del pecado</w:t>
      </w:r>
      <w:r>
        <w: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t xml:space="preserve"> (Urukagina, líneas 303-312)</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t xml:space="preserve"> (Código de Hammurabi §48)</w:t>
      </w:r>
      <w:r>
        <w:t>; y el siervo por deudas será liberado al cuarto año</w:t>
      </w:r>
      <w:r>
        <w:t xml:space="preserve"> (§117)</w:t>
      </w:r>
      <w:r>
        <w:t>.</w:t>
      </w:r>
    </w:p>
    <w:p>
      <w:pPr>
        <w:pStyle w:val="ListBullet"/>
      </w:pPr>
      <w:r>
        <w:rPr>
          <w:b/>
        </w:rPr>
        <w:t>Israel:</w:t>
      </w:r>
      <w:r>
        <w:t xml:space="preserve"> «AL cabo de siete años harás remisión. Y esta es la manera de la remisión: perdonará á su deudor todo aquél que hizo empréstito de su mano»</w:t>
      </w:r>
      <w:r>
        <w:t xml:space="preserve"> (Dt 15:1-2)</w:t>
      </w:r>
      <w:r>
        <w:t>. Y cada cincuenta años: «pregonaréis libertad en la tierra á todos sus moradores: este os será jubileo; y volveréis cada uno á su posesión»</w:t>
      </w:r>
      <w:r>
        <w:t xml:space="preserve"> (Lv 25:10)</w:t>
      </w:r>
      <w:r>
        <w:t>.</w:t>
      </w:r>
    </w:p>
    <w:p>
      <w:pPr>
        <w:pStyle w:val="ListBullet"/>
      </w:pPr>
      <w:r>
        <w:rPr>
          <w:b/>
        </w:rPr>
        <w:t>Atenas:</w:t>
      </w:r>
      <w:r>
        <w:t xml:space="preserve"> Solón «dio leyes por las que canceló todas las deudas, públicas y privadas»</w:t>
      </w:r>
      <w:r>
        <w:t xml:space="preserve">, la </w:t>
      </w:r>
      <w:r>
        <w:rPr>
          <w:i/>
        </w:rPr>
        <w:t>seisáchtheia</w:t>
      </w:r>
      <w:r>
        <w:t>, la descarga de fardos</w:t>
      </w:r>
      <w:r>
        <w:t xml:space="preserve"> (Constitución de los atenienses 6)</w:t>
      </w:r>
      <w:r>
        <w:t>.</w:t>
      </w:r>
    </w:p>
    <w:p>
      <w:pPr>
        <w:pStyle w:val="ListBullet"/>
      </w:pPr>
      <w:r>
        <w:rPr>
          <w:b/>
        </w:rPr>
        <w:t>El islam:</w:t>
      </w:r>
      <w:r>
        <w:t xml:space="preserve"> «Si está en apuro, concededle un respiro hasta que se alivie su situación. Y aún sería mejor para vosotros que le condonarais la deuda»</w:t>
      </w:r>
      <w:r>
        <w:t xml:space="preserve"> (Corán 2:280)</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t xml:space="preserve"> (Ex 22:25)</w:t>
      </w:r>
      <w:r>
        <w:t>. «No tomarás usura de él, ni aumento»</w:t>
      </w:r>
      <w:r>
        <w:t xml:space="preserve"> (Lv 25:36)</w:t>
      </w:r>
      <w:r>
        <w:t>.</w:t>
      </w:r>
    </w:p>
    <w:p>
      <w:pPr>
        <w:pStyle w:val="ListBullet"/>
      </w:pPr>
      <w:r>
        <w:rPr>
          <w:b/>
        </w:rPr>
        <w:t>Grecia:</w:t>
      </w:r>
      <w:r>
        <w:t xml:space="preserve"> «con toda razón se aborrece la usura, porque su ganancia sale del propio dinero y no de aquello para lo que se inventó»</w:t>
      </w:r>
      <w:r>
        <w:t>; el interés es «dinero nacido del dinero»</w:t>
      </w:r>
      <w:r>
        <w:t>, y por eso «de todos los modos de ganar, este es el más contrario a la naturaleza»</w:t>
      </w:r>
      <w:r>
        <w:t xml:space="preserve"> (Aristóteles, Política I, 1258b)</w:t>
      </w:r>
      <w:r>
        <w:t>.</w:t>
      </w:r>
    </w:p>
    <w:p>
      <w:pPr>
        <w:pStyle w:val="ListBullet"/>
      </w:pPr>
      <w:r>
        <w:rPr>
          <w:b/>
        </w:rPr>
        <w:t>El islam:</w:t>
      </w:r>
      <w:r>
        <w:t xml:space="preserve"> «Alá ha autorizado el comercio y prohibido la usura»</w:t>
      </w:r>
      <w:r>
        <w:t xml:space="preserve"> (Corán 2:275)</w:t>
      </w:r>
      <w:r>
        <w:t>.</w:t>
      </w:r>
    </w:p>
    <w:p>
      <w:pPr>
        <w:pStyle w:val="ListBullet"/>
      </w:pPr>
      <w:r>
        <w:rPr>
          <w:b/>
        </w:rPr>
        <w:t>La India:</w:t>
      </w:r>
      <w:r>
        <w:t xml:space="preserve"> Brahmā pesó en la balanza el asesinato de un sabio contra la usura, y «el usurero se hundió»</w:t>
      </w:r>
      <w:r>
        <w:t xml:space="preserve"> (Vasishtha 2.42)</w:t>
      </w:r>
      <w:r>
        <w:t>.</w:t>
      </w:r>
    </w:p>
    <w:p>
      <w:pPr>
        <w:pStyle w:val="ListBullet"/>
      </w:pPr>
      <w:r>
        <w:rPr>
          <w:b/>
        </w:rPr>
        <w:t>Etiopía:</w:t>
      </w:r>
      <w:r>
        <w:t xml:space="preserve"> «bienaventurados seréis si dais vuestros bienes sin usura y no como préstamo»</w:t>
      </w:r>
      <w:r>
        <w:t xml:space="preserve"> (Kebra Nagast, cap. 90)</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t xml:space="preserve"> (Concilio de Nicea, canon 17)</w:t>
      </w:r>
      <w:r>
        <w:t>.</w:t>
      </w:r>
    </w:p>
    <w:p>
      <w:pPr>
        <w:pStyle w:val="ListBullet"/>
      </w:pPr>
      <w:r>
        <w:rPr>
          <w:b/>
        </w:rPr>
        <w:t>España, siglo XVI:</w:t>
      </w:r>
      <w:r>
        <w:t xml:space="preserve"> «Regla general es, que quando se aguarda plazo, y por aguardar se interessa, es vsura»</w:t>
      </w:r>
      <w:r>
        <w:t xml:space="preserve"> (Tomás de Mercado, Tratos y contratos de mercaderes, Salamanca, 1569)</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t xml:space="preserve"> (Tomás de Mercado, Tratos y contratos de mercaderes, Salamanca, 1569)</w:t>
      </w:r>
      <w:r>
        <w:t>; «como dize el Euangelio»</w:t>
      </w:r>
      <w:r>
        <w:t xml:space="preserve"> (ídem)</w:t>
      </w:r>
      <w:r>
        <w:t>. Se dicen, pero no cuentan como tradiciones aparte.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t xml:space="preserve"> (Ley de 23 de julio de 1908, art. 1)</w:t>
      </w:r>
      <w:r>
        <w:t>.</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t xml:space="preserve"> (Dt 23:19-20)</w:t>
      </w:r>
      <w:r>
        <w:t>.</w:t>
      </w:r>
    </w:p>
    <w:p>
      <w:pPr>
        <w:pStyle w:val="ListBullet"/>
      </w:pPr>
      <w:r>
        <w:rPr>
          <w:b/>
        </w:rPr>
        <w:t>Las Leyes de Manu</w:t>
      </w:r>
      <w:r>
        <w:t xml:space="preserve"> no prohíben el interés: lo limitan</w:t>
      </w:r>
      <w:r>
        <w:t xml:space="preserve"> (Leyes de Manu VIII, 151-152)</w:t>
      </w:r>
      <w:r>
        <w:t>.</w:t>
      </w:r>
    </w:p>
    <w:p>
      <w:pPr>
        <w:pStyle w:val="ListBullet"/>
      </w:pPr>
      <w:r>
        <w:rPr>
          <w:b/>
        </w:rPr>
        <w:t>Entre los ashanti,</w:t>
      </w:r>
      <w:r>
        <w:t xml:space="preserve"> por una deuda «podía empeñarse a uno de los hijos»</w:t>
      </w:r>
      <w:r>
        <w:t xml:space="preserve"> (Rattray, pp. 53-54)</w:t>
      </w:r>
      <w:r>
        <w:t>.</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t xml:space="preserve"> (Shiji 68)</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t xml:space="preserve"> (Shiji 63)</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t xml:space="preserve"> (Arthashastra 15.1)</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t xml:space="preserve"> (Leyes de Manu VII, 133, y IX, 244)</w:t>
      </w:r>
      <w:r>
        <w:t>. Exime y beneficia al estamento que custodiaba esos textos.</w:t>
      </w:r>
    </w:p>
    <w:p>
      <w:pPr>
        <w:pStyle w:val="ListBullet"/>
      </w:pPr>
      <w:r>
        <w:rPr>
          <w:b/>
        </w:rPr>
        <w:t>Séneca</w:t>
      </w:r>
      <w:r>
        <w:t xml:space="preserve"> (acabar con familias enteras): era uno de los guías del joven Nerón</w:t>
      </w:r>
      <w:r>
        <w:t xml:space="preserve"> (Tácito, Anales XIII, 2)</w:t>
      </w:r>
      <w:r>
        <w:t>.</w:t>
      </w:r>
    </w:p>
    <w:p>
      <w:pPr>
        <w:pStyle w:val="ListBullet"/>
      </w:pPr>
      <w:r>
        <w:rPr>
          <w:b/>
        </w:rPr>
        <w:t>Hammurabi</w:t>
      </w:r>
      <w:r>
        <w:t xml:space="preserve"> (muere el hijo por la culpa del padre): es el código del propio rey.</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t xml:space="preserve"> (Rm 13:1)</w:t>
      </w:r>
      <w:r>
        <w:t>, acabó preso del mismo Imperio, «con un soldado que le guardase»</w:t>
      </w:r>
      <w:r>
        <w:t xml:space="preserve"> (Hch 28:16)</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t xml:space="preserve"> (Shiji 68)</w:t>
      </w:r>
      <w:r>
        <w:t>.</w:t>
      </w:r>
    </w:p>
    <w:p>
      <w:pPr>
        <w:pStyle w:val="ListBullet"/>
      </w:pPr>
      <w:r>
        <w:rPr>
          <w:b/>
        </w:rPr>
        <w:t>Han Fei:</w:t>
      </w:r>
      <w:r>
        <w:t xml:space="preserve"> Li Si le hizo llegar veneno para que se matara</w:t>
      </w:r>
      <w:r>
        <w:t xml:space="preserve"> (Shiji 63)</w:t>
      </w:r>
      <w:r>
        <w:t>.</w:t>
      </w:r>
    </w:p>
    <w:p>
      <w:pPr>
        <w:pStyle w:val="ListBullet"/>
      </w:pPr>
      <w:r>
        <w:rPr>
          <w:b/>
        </w:rPr>
        <w:t>Li Si:</w:t>
      </w:r>
      <w:r>
        <w:t xml:space="preserve"> le aplicaron las cinco penas, lo cortaron por la cintura en el mercado de Xianyang y exterminaron a sus tres clanes</w:t>
      </w:r>
      <w:r>
        <w:t xml:space="preserve"> (Shiji 87)</w:t>
      </w:r>
      <w:r>
        <w:t>.</w:t>
      </w:r>
    </w:p>
    <w:p>
      <w:pPr>
        <w:pStyle w:val="ListBullet"/>
      </w:pPr>
      <w:r>
        <w:rPr>
          <w:b/>
        </w:rPr>
        <w:t>La dinastía Qin,</w:t>
      </w:r>
      <w:r>
        <w:t xml:space="preserve"> que había unificado China en el 221 a. C., cayó en el 206 a. C. (las fechas, fuente secundaria); su último rey reinó cuarenta y seis días</w:t>
      </w:r>
      <w:r>
        <w:t xml:space="preserve"> (Shiji 6)</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t xml:space="preserve"> (P. Damerow, Cuneiform Digital Library Journal, 2006; fuente secundaria, especializada)</w:t>
      </w:r>
      <w:r>
        <w:t>.</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t xml:space="preserve"> (César, La guerra de las Galias VI, 14)</w:t>
      </w:r>
      <w:r>
        <w:t>. Después, el emperador Claudio abolió del todo su religión, a la que Roma acusaba de «atroz crueldad»</w:t>
      </w:r>
      <w:r>
        <w:t xml:space="preserve"> (Suetonio, Claudio 25)</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t xml:space="preserve"> (Mahābhārata 13.24.70, edición crítica de Pune)</w:t>
      </w:r>
      <w:r>
        <w:t>.</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(Decreto Gelasiano, en la traducción inglesa de la edición de von Dobschütz, 1912)</w:t>
      </w:r>
      <w:r>
        <w:t>; el editor de Jubileos, R. H. Charles, ve en ese libro el de los Jubileos, o una obra corta basada en él, y da la fecha de la lista por dudosa</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t xml:space="preserve"> (Jud 6)</w:t>
      </w:r>
      <w:r>
        <w:t>.</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t xml:space="preserve"> (Gn 2:15)</w:t>
      </w:r>
      <w:r>
        <w:t>. En hebreo, el verbo de labrar es el mismo de servir a Dios: «escogeos hoy á quién sirváis […] que yo y mi casa serviremos á Jehová»</w:t>
      </w:r>
      <w:r>
        <w:t xml:space="preserve"> (Jos 24:15)</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t xml:space="preserve"> (Mt 20:28)</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t xml:space="preserve"> (Daodejing 66)</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t xml:space="preserve"> (Daodejing 81)</w:t>
      </w:r>
      <w:r>
        <w:t>;</w:t>
      </w:r>
    </w:p>
    <w:p>
      <w:pPr>
        <w:pStyle w:val="ListBullet2"/>
      </w:pPr>
      <w:r>
        <w:t>la India: hay que obrar «mirando también por el bien del mundo»</w:t>
      </w:r>
      <w:r>
        <w:t xml:space="preserve"> (Bhagavad Gita 3.20)</w:t>
      </w:r>
      <w:r>
        <w:t>; y el Buda envía a sus monjes «por el bien de muchos, por la felicidad de muchos, por compasión del mundo»</w:t>
      </w:r>
      <w:r>
        <w:t xml:space="preserve"> (Vinaya, Mahāvagga 1.11)</w:t>
      </w:r>
      <w:r>
        <w:t>;</w:t>
      </w:r>
    </w:p>
    <w:p>
      <w:pPr>
        <w:pStyle w:val="ListBullet2"/>
      </w:pPr>
      <w:r>
        <w:t>el islam: «Ayudaos unos a otros a practicar la piedad y el temor de Alá, no el pecado y la violación de la ley»</w:t>
      </w:r>
      <w:r>
        <w:t xml:space="preserve"> (Corán 5:2, traducción de Julio Cortés)</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t xml:space="preserve"> (Mt 7:19)</w:t>
      </w:r>
      <w:r>
        <w:t>; «allegará su trigo en el alfolí, y quemará la paja»</w:t>
      </w:r>
      <w:r>
        <w:t xml:space="preserve"> (Mt 3:12)</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t xml:space="preserve"> (Mt 13:16)</w:t>
      </w:r>
      <w:r>
        <w:t>.</w:t>
      </w:r>
    </w:p>
    <w:p>
      <w:r>
        <w:rPr>
          <w:b/>
        </w:rPr>
        <w:t>La pata coja.</w:t>
      </w:r>
      <w:r>
        <w:t xml:space="preserve"> Lo contrario también está escrito: «pueblo débil, Estado fuerte» (</w:t>
      </w:r>
      <w:r>
        <w:t>3.2</w:t>
      </w:r>
      <w:r>
        <w:t>). Y casi siempre lo escribió quien mandaba (</w:t>
      </w:r>
      <w:r>
        <w:t>3.4</w:t>
      </w:r>
      <w:r>
        <w: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t xml:space="preserve"> (1 Co 6:2)</w:t>
      </w:r>
      <w:r>
        <w:t>; lo dice la primera carta a los corintios para que sus pleitos no vayan «delante de los injustos»</w:t>
      </w:r>
      <w:r>
        <w:t xml:space="preserve"> (1 Co 6:1)</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t xml:space="preserve"> (Ap 5:3)</w:t>
      </w:r>
      <w:r>
        <w:t>; lo abre «el león de la tribu de Judá, la raíz de David, que ha vencido»</w:t>
      </w:r>
      <w:r>
        <w:t xml:space="preserve"> (Ap 5:5)</w:t>
      </w:r>
      <w:r>
        <w:t>, y lo que se ve entonces es «un Cordero como inmolado»</w:t>
      </w:r>
      <w:r>
        <w:t xml:space="preserve"> (Ap 5:6)</w:t>
      </w:r>
      <w:r>
        <w:t>. En la Reina-Valera ha vencido «para abrir el libro, y desatar sus siete sellos»; el griego dice «abrir el libro y sus siete sellos», sin «desatar»</w:t>
      </w:r>
      <w:r>
        <w:t xml:space="preserve"> (Ap 5:5)</w:t>
      </w:r>
      <w:r>
        <w:t>. Al abrir los sellos, el verbo es «abrió»</w:t>
      </w:r>
      <w:r>
        <w:t xml:space="preserve"> (Ap 6:1 y 8:1)</w:t>
      </w:r>
      <w:r>
        <w:t>.</w:t>
      </w:r>
    </w:p>
    <w:p>
      <w:pPr>
        <w:pStyle w:val="ListBullet"/>
      </w:pPr>
      <w:r>
        <w:rPr>
          <w:b/>
        </w:rPr>
        <w:t>El séptimo sello es un silencio, no el final.</w:t>
      </w:r>
      <w:r>
        <w:t xml:space="preserve"> «Y CUANDO él abrió el séptimo sello, fué hecho silencio en el cielo casi por media hora»</w:t>
      </w:r>
      <w:r>
        <w:t xml:space="preserve"> (Ap 8:1)</w:t>
      </w:r>
      <w:r>
        <w:t>. Detrás vienen «los siete ángeles que estaban delante de Dios; y les fueron dadas siete trompetas»</w:t>
      </w:r>
      <w:r>
        <w:t xml:space="preserve"> (Ap 8:2)</w:t>
      </w:r>
      <w:r>
        <w:t>, y con la séptima llega «el tiempo de los muertos, para que sean juzgados»</w:t>
      </w:r>
      <w:r>
        <w:t xml:space="preserve"> (Ap 11:18)</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t xml:space="preserve"> (Ap 6:10)</w:t>
      </w:r>
      <w:r>
        <w:t>; los que se esconden piden que se los esconda «de la cara de aquél que está sentado sobre el trono, y de la ira del Cordero»</w:t>
      </w:r>
      <w:r>
        <w:t xml:space="preserve"> (Ap 6:16)</w:t>
      </w:r>
      <w:r>
        <w:t>; y de los muertos, «fué hecho juicio de cada uno según sus obras»</w:t>
      </w:r>
      <w:r>
        <w:t xml:space="preserve"> (Ap 20:13; el 20:12, arriba)</w:t>
      </w:r>
      <w:r>
        <w:t>. En la serie de los sellos y las trompetas no juzga ningún hombre. La otra cara: el mismo libro dice también «Y vi tronos, y se sentaron sobre ellos, y les fué dado juicio»</w:t>
      </w:r>
      <w:r>
        <w:t xml:space="preserve"> (Ap 20:4)</w:t>
      </w:r>
      <w:r>
        <w:t>. Converge con lo de arriba: la siega es de los ángeles (Mt 13:39).</w:t>
      </w:r>
    </w:p>
    <w:p>
      <w:pPr>
        <w:pStyle w:val="ListBullet"/>
      </w:pPr>
      <w:r>
        <w:rPr>
          <w:b/>
        </w:rPr>
        <w:t>El cuándo, en sus dos caras.</w:t>
      </w:r>
      <w:r>
        <w:t xml:space="preserve"> «el tiempo está cerca»</w:t>
      </w:r>
      <w:r>
        <w:t xml:space="preserve"> (Ap 1:3; y 22:10)</w:t>
      </w:r>
      <w:r>
        <w:t>; y, en el Evangelio, «del día y hora nadie sabe, ni aun los ángeles de los cielos, sino mi Padre solo»</w:t>
      </w:r>
      <w:r>
        <w:t xml:space="preserve"> (Mt 24:36)</w:t>
      </w:r>
      <w:r>
        <w:t>. De no saber la hora el texto no saca una fecha, sino velar: «Velad pues, porque no sabéis á qué hora ha de venir vuestro Señor»</w:t>
      </w:r>
      <w:r>
        <w:t xml:space="preserve"> (Mt 24:42)</w:t>
      </w:r>
      <w:r>
        <w:t>.</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t xml:space="preserve"> (Jn 1:41)</w:t>
      </w:r>
      <w:r>
        <w:t>; de Jesús dice que Dios lo «ha hecho Señor y Cristo»</w:t>
      </w:r>
      <w:r>
        <w:t xml:space="preserve"> (Hch 2:36)</w:t>
      </w:r>
      <w:r>
        <w:t xml:space="preserve"> y que «le ungió Dios de Espíritu Santo y de potencia»</w:t>
      </w:r>
      <w:r>
        <w:t xml:space="preserve"> (Hch 10:38)</w:t>
      </w:r>
      <w:r>
        <w:t>. En la Biblia hebrea, «ungido» se dice del sacerdote (Lv 4:3), del rey, «el ungido de Jehová»</w:t>
      </w:r>
      <w:r>
        <w:t xml:space="preserve"> (1 S 24:7)</w:t>
      </w:r>
      <w:r>
        <w:t>, y hasta de Ciro, rey de Persia: «á su ungido, á Ciro»</w:t>
      </w:r>
      <w:r>
        <w:t xml:space="preserve"> (Is 45:1)</w:t>
      </w:r>
      <w:r>
        <w:t>, «aunque no me conociste»</w:t>
      </w:r>
      <w:r>
        <w:t xml:space="preserve"> (Is 45:4)</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t xml:space="preserve"> (Ex 30:30)</w:t>
      </w:r>
      <w:r>
        <w:t>, al rey (1 S 10:1) y, por mandato, al profeta (1 R 19:16).</w:t>
      </w:r>
    </w:p>
    <w:p>
      <w:pPr>
        <w:pStyle w:val="ListBullet"/>
      </w:pPr>
      <w:r>
        <w:rPr>
          <w:b/>
        </w:rPr>
        <w:t>El Espíritu lo muda.</w:t>
      </w:r>
      <w:r>
        <w:t xml:space="preserve"> A Saúl, al ungirlo: «serás mudado en otro hombre»</w:t>
      </w:r>
      <w:r>
        <w:t xml:space="preserve"> (1 S 10:6)</w:t>
      </w:r>
      <w:r>
        <w:t>; a David, «desde aquel día en adelante el espíritu de Jehová tomó á David»</w:t>
      </w:r>
      <w:r>
        <w:t xml:space="preserve"> (1 S 16:13)</w:t>
      </w:r>
      <w:r>
        <w:t>. Y Isaías une unción, Espíritu y tarea: «EL espíritu del Señor Jehová es sobre mí, porque me ungió Jehová»</w:t>
      </w:r>
      <w:r>
        <w:t xml:space="preserve"> (Is 61:1)</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t xml:space="preserve"> (Nm 11:29)</w:t>
      </w:r>
      <w:r>
        <w:t>, y la promesa, «derramaré mi Espíritu sobre toda carne»</w:t>
      </w:r>
      <w:r>
        <w:t xml:space="preserve"> (Jl 2:28)</w:t>
      </w:r>
      <w:r>
        <w:t>, que Pedro cita (Hch 2:17). En el Nuevo Testamento, de todos los que creen: «la unción que vosotros habéis recibido de él, mora en vosotros»</w:t>
      </w:r>
      <w:r>
        <w:t xml:space="preserve"> (1 Jn 2:27)</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t xml:space="preserve"> (Mt 24:24)</w:t>
      </w:r>
      <w:r>
        <w:t>, y la prueba del que habla en nombre de Dios es que se cumpla (Dt 18:22); el Cielo ayuda solo al virtuoso (Shujing); y el sabio es difícil de hallar (Bhagavad Gita 7.19).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t xml:space="preserve"> (Antonio Machado, Poesías completas, Madrid, Publicaciones de la Residencia de Estudiantes, 1917, CXXXVI, «Proverbios y cantares», XXVIII)</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t xml:space="preserve"> (Flp 2:13)</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p>
    <w:p>
      <w:pPr>
        <w:pStyle w:val="ListBullet"/>
      </w:pPr>
      <w:r>
        <w:rPr>
          <w:b/>
        </w:rPr>
        <w:t>Hoy las leyes se publican gratis en el BOE, en español.</w:t>
      </w:r>
      <w:r>
        <w:t xml:space="preserve"> El latín ya no es la barrera; si lo es el volumen, se examina en el </w:t>
      </w:r>
      <w:r>
        <w:t>cargo 8</w:t>
      </w:r>
      <w:r>
        <w:t xml:space="preserve">. </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r>
        <w:br w:type="page"/>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t xml:space="preserve"> (Nm 22:22)</w:t>
      </w:r>
      <w:r>
        <w:t>. En el libro de Job, Satán dice de dónde viene: «De rodear la tierra, y de andar por ella»</w:t>
      </w:r>
      <w:r>
        <w:t xml:space="preserve"> (Job 1:7)</w:t>
      </w:r>
      <w:r>
        <w:t>.</w:t>
      </w:r>
    </w:p>
    <w:p>
      <w:pPr>
        <w:pStyle w:val="ListBullet"/>
      </w:pPr>
      <w:r>
        <w:rPr>
          <w:b/>
        </w:rPr>
        <w:t>Legión.</w:t>
      </w:r>
      <w:r>
        <w:t xml:space="preserve"> El espíritu que habla por boca de un hombre responde: «Legión me llamo; porque somos muchos»</w:t>
      </w:r>
      <w:r>
        <w:t xml:space="preserve"> (Mc 5:9)</w:t>
      </w:r>
      <w:r>
        <w:t>.</w:t>
      </w:r>
    </w:p>
    <w:p>
      <w:pPr>
        <w:pStyle w:val="ListBullet"/>
      </w:pPr>
      <w:r>
        <w:rPr>
          <w:b/>
        </w:rPr>
        <w:t>Mammón.</w:t>
      </w:r>
      <w:r>
        <w:t xml:space="preserve"> La riqueza puesta como un señor al que se sirve: «no podéis servir á Dios y á Mammón»</w:t>
      </w:r>
      <w:r>
        <w:t xml:space="preserve"> (Mt 6:24)</w:t>
      </w:r>
      <w:r>
        <w:t>.</w:t>
      </w:r>
    </w:p>
    <w:p>
      <w:pPr>
        <w:pStyle w:val="ListBullet"/>
      </w:pPr>
      <w:r>
        <w:rPr>
          <w:b/>
        </w:rPr>
        <w:t>Los ejércitos de Mara.</w:t>
      </w:r>
      <w:r>
        <w:t xml:space="preserve"> En el budismo, al tentador se le dice: «los deseos son tu primer ejército» y «este es tu ejército, Namuci»</w:t>
      </w:r>
      <w:r>
        <w:t xml:space="preserve"> (Sutta Nipata 3.2)</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t xml:space="preserve"> (Corán 114:4-6, traducción de Julio Cortés)</w:t>
      </w:r>
      <w:r>
        <w:t>. El que susurra puede ser también un hombre.</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w:t>
      </w:r>
    </w:p>
    <w:p>
      <w:pPr>
        <w:pStyle w:val="ListBullet"/>
      </w:pPr>
      <w:r>
        <w:t>«¿de dónde ha sacado tantos ojos con los que os espía, si no se los dais vosotros?»</w:t>
      </w:r>
      <w:r>
        <w:t>;</w:t>
      </w:r>
    </w:p>
    <w:p>
      <w:pPr>
        <w:pStyle w:val="ListBullet"/>
      </w:pPr>
      <w:r>
        <w:t>y lo que más enseña a servir es la costumbre, que «en nada tiene tanta fuerza como en enseñarnos a servir»</w:t>
      </w:r>
      <w:r>
        <w:t xml:space="preserve"> (La Boétie, Discurso de la servidumbre voluntaria, edición de 1922)</w:t>
      </w:r>
      <w:r>
        <w:t>.</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t xml:space="preserve"> (Ef 5:13)</w:t>
      </w:r>
      <w:r>
        <w:t>.</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t xml:space="preserve"> (Yasna 30:3)</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t xml:space="preserve"> (Ap 12:7-9)</w:t>
      </w:r>
      <w:r>
        <w:t>.</w:t>
      </w:r>
    </w:p>
    <w:p>
      <w:pPr>
        <w:pStyle w:val="ListBullet"/>
      </w:pPr>
      <w:r>
        <w:rPr>
          <w:b/>
        </w:rPr>
        <w:t>El islam.</w:t>
      </w:r>
      <w:r>
        <w:t xml:space="preserve"> El Demonio engañó a la primera pareja: «Les hizo, pues, caer dolosamente»</w:t>
      </w:r>
      <w:r>
        <w:t xml:space="preserve"> (Corán 7:22)</w:t>
      </w:r>
      <w:r>
        <w:t>. Y el aviso: «El Demonio es para vosotros un enemigo. Tenedle, pues, por tal»</w:t>
      </w:r>
      <w:r>
        <w:t xml:space="preserve"> (Corán 35:6, traducción de Julio Cortés)</w:t>
      </w:r>
      <w:r>
        <w:t>.</w:t>
      </w:r>
    </w:p>
    <w:p>
      <w:pPr>
        <w:pStyle w:val="ListBullet"/>
      </w:pPr>
      <w:r>
        <w:rPr>
          <w:b/>
        </w:rPr>
        <w:t>La India.</w:t>
      </w:r>
      <w:r>
        <w:t xml:space="preserve"> La Gita distingue dos condiciones en los seres: «la divina es para la liberación; la demoníaca, para la atadura»</w:t>
      </w:r>
      <w:r>
        <w:t xml:space="preserve"> (Bhagavad Gita 16.5)</w:t>
      </w:r>
      <w:r>
        <w:t>.</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w:t>
      </w:r>
    </w:p>
    <w:p>
      <w:r>
        <w:rPr>
          <w:b/>
        </w:rPr>
        <w:t>La pata coja: no toda guerra antigua es moral.</w:t>
      </w:r>
      <w:r>
        <w:t xml:space="preserve"> En Mesopotamia, los dioses dan a Marduk «la realeza sobre todo y sobre todos»</w:t>
      </w:r>
      <w:r>
        <w:t xml:space="preserve"> (Enuma Elish IV, 14)</w:t>
      </w:r>
      <w:r>
        <w:t xml:space="preserve"> para que venza a Tiamat. En la India, Indra «mató al dragón y abrió paso a las aguas»</w:t>
      </w:r>
      <w:r>
        <w:t xml:space="preserve"> (Rig Veda 1.32.1)</w:t>
      </w:r>
      <w:r>
        <w:t>. Son guerras de dioses por el orden del mundo y por el poder, no una elección del ser humano entre el bien y el mal.</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t xml:space="preserve"> (Dn 10:13 y 10:20)</w:t>
      </w:r>
      <w:r>
        <w:t>: un príncipe por cada reino.</w:t>
      </w:r>
    </w:p>
    <w:p>
      <w:pPr>
        <w:pStyle w:val="ListBullet"/>
      </w:pPr>
      <w:r>
        <w:rPr>
          <w:b/>
        </w:rPr>
        <w:t>El Evangelio.</w:t>
      </w:r>
      <w:r>
        <w:t xml:space="preserve"> Llama al diablo «el príncipe de este mundo»</w:t>
      </w:r>
      <w:r>
        <w:t xml:space="preserve"> (Jn 12:31 y 14:30)</w:t>
      </w:r>
      <w:r>
        <w:t>.</w:t>
      </w:r>
    </w:p>
    <w:p>
      <w:pPr>
        <w:pStyle w:val="ListBullet"/>
      </w:pPr>
      <w:r>
        <w:rPr>
          <w:b/>
        </w:rPr>
        <w:t>Pablo.</w:t>
      </w:r>
      <w:r>
        <w:t xml:space="preserve"> «el dios de este siglo cegó los entendimientos de los incrédulos»</w:t>
      </w:r>
      <w:r>
        <w:t xml:space="preserve"> (2 Co 4:4)</w:t>
      </w:r>
      <w:r>
        <w:t>. Y: «no tenemos lucha contra sangre y carne; sino contra principados, contra potestades, contra señores del mundo, gobernadores de estas tinieblas, contra malicias espirituales en los aires»</w:t>
      </w:r>
      <w:r>
        <w:t xml:space="preserve"> (Ef 6:12)</w:t>
      </w:r>
      <w:r>
        <w:t>.</w:t>
      </w:r>
    </w:p>
    <w:p>
      <w:pPr>
        <w:pStyle w:val="ListBullet"/>
      </w:pPr>
      <w:r>
        <w:rPr>
          <w:b/>
        </w:rPr>
        <w:t>Persia.</w:t>
      </w:r>
      <w:r>
        <w:t xml:space="preserve"> Tampoco los daevas eligieron bien, y «se lanzaron juntos a la violencia, para debilitar el mundo de los hombres»</w:t>
      </w:r>
      <w:r>
        <w:t xml:space="preserve"> (Yasna 30:6)</w:t>
      </w:r>
      <w:r>
        <w:t>.</w:t>
      </w:r>
    </w:p>
    <w:p>
      <w:pPr>
        <w:pStyle w:val="ListBullet"/>
      </w:pPr>
      <w:r>
        <w:rPr>
          <w:b/>
        </w:rPr>
        <w:t>La India.</w:t>
      </w:r>
      <w:r>
        <w:t xml:space="preserve"> El de condición demoníaca se ensalza a sí mismo: «yo soy señor, yo el que disfruta; soy perfecto, fuerte y feliz» y «¿quién hay igual a mí?»</w:t>
      </w:r>
      <w:r>
        <w:t xml:space="preserve"> (Bhagavad Gita 16.14-15)</w:t>
      </w:r>
      <w:r>
        <w:t>.</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w:t>
      </w:r>
    </w:p>
    <w:p>
      <w:r>
        <w:rPr>
          <w:b/>
        </w:rPr>
        <w:t>El relato de la caída, tal como está escrito.</w:t>
      </w:r>
      <w:r>
        <w:t xml:space="preserve"> El Génesis cuenta que había dos árboles en medio del huerto: «también el árbol de vida en medio del huerto, y el árbol de ciencia del bien y del mal»</w:t>
      </w:r>
      <w:r>
        <w:t xml:space="preserve"> (Gn 2:9)</w:t>
      </w:r>
      <w:r>
        <w:t>. La orden era una sola: «De todo árbol del huerto comerás»</w:t>
      </w:r>
      <w:r>
        <w:t xml:space="preserve"> (Gn 2:16)</w:t>
      </w:r>
      <w:r>
        <w:t>; «Mas del árbol de ciencia del bien y del mal no comerás de él; porque el día que de él comieres, morirás»</w:t>
      </w:r>
      <w:r>
        <w:t xml:space="preserve"> (Gn 2:17)</w:t>
      </w:r>
      <w:r>
        <w:t>. La serpiente empieza por darle la vuelta: «¿Conque Dios os ha dicho: No comáis de todo árbol del huerto?»</w:t>
      </w:r>
      <w:r>
        <w:t xml:space="preserve"> (Gn 3:1)</w:t>
      </w:r>
      <w:r>
        <w:t>. La mujer responde, y añade algo que en la orden no estaba: «ni le tocaréis»</w:t>
      </w:r>
      <w:r>
        <w:t xml:space="preserve"> (Gn 3:3)</w:t>
      </w:r>
      <w:r>
        <w:t>. La serpiente niega la consecuencia sin dar un dato, «No moriréis»</w:t>
      </w:r>
      <w:r>
        <w:t xml:space="preserve"> (Gn 3:4)</w:t>
      </w:r>
      <w:r>
        <w:t>, y atribuye un motivo: «Mas sabe Dios que el día que comiereis de él, serán abiertos vuestros ojos, y seréis como dioses sabiendo el bien y el mal»</w:t>
      </w:r>
      <w:r>
        <w:t xml:space="preserve"> (Gn 3:5)</w:t>
      </w:r>
      <w:r>
        <w:t>. La mujer decide por lo que ve: el árbol era «bueno para comer, y que era agradable á los ojos, y árbol codiciable para alcanzar la sabiduría»</w:t>
      </w:r>
      <w:r>
        <w:t xml:space="preserve"> (Gn 3:6)</w:t>
      </w:r>
      <w:r>
        <w:t>. Los frutos vienen enseguida: «tuve miedo, porque estaba desnudo; y escondíme»</w:t>
      </w:r>
      <w:r>
        <w:t xml:space="preserve"> (Gn 3:10)</w:t>
      </w:r>
      <w:r>
        <w:t>; el hombre culpa a la mujer, y la mujer, a la serpiente</w:t>
      </w:r>
      <w:r>
        <w:t xml:space="preserve"> (Gn 3:12-13)</w:t>
      </w:r>
      <w:r>
        <w:t>. Y Dios dice: «He aquí el hombre es como uno de Nos sabiendo el bien y el mal: ahora, pues, porque no alargue su mano, y tome también del árbol de la vida, y coma, y viva para siempre»</w:t>
      </w:r>
      <w:r>
        <w:t xml:space="preserve"> (Gn 3:22)</w:t>
      </w:r>
      <w:r>
        <w:t>. Echó al hombre del huerto y puso «querubines, y una espada encendida que se revolvía á todos lados, para guardar el camino del árbol de la vida»</w:t>
      </w:r>
      <w:r>
        <w:t xml:space="preserve"> (Gn 3:24)</w:t>
      </w:r>
      <w:r>
        <w:t>.</w:t>
      </w:r>
    </w:p>
    <w:p>
      <w:r>
        <w:rPr>
          <w:b/>
        </w:rPr>
        <w:t>Lo que el texto no dice.</w:t>
      </w:r>
      <w:r>
        <w:t xml:space="preserve"> No dice «manzana»: dice «del fruto del árbol que está en medio del huerto»</w:t>
      </w:r>
      <w:r>
        <w:t xml:space="preserve"> (Gn 3:3)</w:t>
      </w:r>
      <w:r>
        <w:t>. No llama diablo ni Satanás a la serpiente: esa identificación es posterior (Ap 12:9, arriba). Tampoco está la palabra «satán», que en hebreo es «adversario» (</w:t>
      </w:r>
      <w:r>
        <w:t>4.1</w:t>
      </w:r>
      <w:r>
        <w:t>): en todo el Génesis no aparece ni una vez</w:t>
      </w:r>
      <w:r>
        <w:t xml:space="preserve"> (Gn 1-50, en hebreo (códice de Leningrado, OSHB), la palabra שָׂטָן contada por programa el 10-oct-2026: 0 veces)</w:t>
      </w:r>
      <w:r>
        <w:t>; en los libros históricos nombra a adversarios de carne y hueso: «Jehová suscitó un adversario á Salomón, á Adad, Idumeo»</w:t>
      </w:r>
      <w:r>
        <w:t xml:space="preserve"> (1 R 11:14)</w:t>
      </w:r>
      <w:r>
        <w:t>, «Despertóle también Dios por adversario á Rezón»</w:t>
      </w:r>
      <w:r>
        <w:t xml:space="preserve"> (1 R 11:23)</w:t>
      </w:r>
      <w:r>
        <w:t>; y la Reina-Valera la traduce «adversario» seis veces</w:t>
      </w:r>
      <w:r>
        <w:t xml:space="preserve"> (Nm 22:22; 2 Sam 19:22; 1 R 5:4, 11:14, 11:23 y 11:25)</w:t>
      </w:r>
      <w:r>
        <w:t>. Y no dice que el hombre fuera inmortal por naturaleza: la vida para siempre depende del árbol de la vida</w:t>
      </w:r>
      <w:r>
        <w:t xml:space="preserve"> (Gn 3:22)</w:t>
      </w:r>
      <w:r>
        <w:t>, y la consecuencia anunciada es «morirás»</w:t>
      </w:r>
      <w:r>
        <w:t xml:space="preserve"> (Gn 2:17)</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t xml:space="preserve"> (Corán 20:120, traducción de Julio Cortés)</w:t>
      </w:r>
      <w:r>
        <w:t xml:space="preserve"> y le dice que el árbol se prohibió «por temor de que os convirtáis en ángeles u os hagáis inmortales»</w:t>
      </w:r>
      <w:r>
        <w:t xml:space="preserve"> (Corán 7:20, traducción de Julio Cortés)</w:t>
      </w:r>
      <w:r>
        <w:t xml:space="preserve"> es «el Demonio» que le insinúa el mal, como la serpiente con «No moriréis»</w:t>
      </w:r>
      <w:r>
        <w:t xml:space="preserve"> (Gn 3:4)</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t xml:space="preserve"> (Kaliman y otros, Psychoneuroendocrinology 40, 2014; Buric y otros, Frontiers in Immunology 8, 2017)</w:t>
      </w:r>
      <w:r>
        <w:t>, y vivir con un propósito se asocia a vivir algo más</w:t>
      </w:r>
      <w:r>
        <w:t xml:space="preserve"> (Cohen y otros, Psychosomatic Medicine 78, 2016, resumen; fuente secundaria)</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t xml:space="preserve"> (Gn 6:2 y 6:4)</w:t>
      </w:r>
      <w:r>
        <w:t>. El Nuevo Testamento recuerda a «los ángeles que no guardaron su dignidad, mas dejaron su habitación»</w:t>
      </w:r>
      <w:r>
        <w:t xml:space="preserve"> (Jud 6)</w:t>
      </w:r>
      <w:r>
        <w:t>, y que «Dios no perdonó á los ángeles que habían pecado»</w:t>
      </w:r>
      <w:r>
        <w:t xml:space="preserve"> (2 Pe 2:4)</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t xml:space="preserve"> (1 Enoc 8:1-2)</w:t>
      </w:r>
      <w:r>
        <w:t>;</w:t>
      </w:r>
    </w:p>
    <w:p>
      <w:pPr>
        <w:pStyle w:val="ListBullet"/>
      </w:pPr>
      <w:r>
        <w:t>de los gigantes nacen espíritus que «afligen, oprimen, destruyen, atacan, hacen la guerra»</w:t>
      </w:r>
      <w:r>
        <w:t xml:space="preserve"> (1 Enoc 15:11)</w:t>
      </w:r>
      <w:r>
        <w:t>;</w:t>
      </w:r>
    </w:p>
    <w:p>
      <w:pPr>
        <w:pStyle w:val="ListBullet"/>
      </w:pPr>
      <w:r>
        <w:t>y esos espíritus, «tomando muchas formas distintas», corrompen a la humanidad y la llevan a sacrificar a los demonios «como a dioses»</w:t>
      </w:r>
      <w:r>
        <w:t xml:space="preserve"> (1 Enoc 19:1)</w:t>
      </w:r>
      <w:r>
        <w:t>;</w:t>
      </w:r>
    </w:p>
    <w:p>
      <w:pPr>
        <w:pStyle w:val="ListBullet"/>
      </w:pPr>
      <w:r>
        <w:t>en Jubileos, el jefe de los espíritus, Mastema, pide que algunos queden con él para obedecer su voz, y se le concede «la décima parte»</w:t>
      </w:r>
      <w:r>
        <w:t xml:space="preserve"> (Jub 10:8-9)</w:t>
      </w:r>
      <w:r>
        <w:t>.</w:t>
      </w:r>
    </w:p>
    <w:p>
      <w:r>
        <w:rPr>
          <w:b/>
        </w:rPr>
        <w:t>La Biblia común, con el mismo aviso:</w:t>
      </w:r>
    </w:p>
    <w:p>
      <w:pPr>
        <w:pStyle w:val="ListBullet"/>
      </w:pPr>
      <w:r>
        <w:t>«Sacrificaron á los diablos, no á Dios»</w:t>
      </w:r>
      <w:r>
        <w:t xml:space="preserve"> (Dt 32:17)</w:t>
      </w:r>
      <w:r>
        <w:t>;</w:t>
      </w:r>
    </w:p>
    <w:p>
      <w:pPr>
        <w:pStyle w:val="ListBullet"/>
      </w:pPr>
      <w:r>
        <w:t>«lo que los Gentiles sacrifican, á los demonios lo sacrifican, y no á Dios»</w:t>
      </w:r>
      <w:r>
        <w:t xml:space="preserve"> (1 Co 10:20)</w:t>
      </w:r>
      <w:r>
        <w:t>;</w:t>
      </w:r>
    </w:p>
    <w:p>
      <w:pPr>
        <w:pStyle w:val="ListBullet"/>
      </w:pPr>
      <w:r>
        <w:t>«el mismo Satanás se transfigura en ángel de luz»</w:t>
      </w:r>
      <w:r>
        <w:t xml:space="preserve"> (2 Co 11:14)</w:t>
      </w:r>
      <w:r>
        <w:t>.</w:t>
      </w:r>
    </w:p>
    <w:p>
      <w:r>
        <w:t>Por eso se pide probar los espíritus (</w:t>
      </w:r>
      <w:r>
        <w:t>1.3</w:t>
      </w:r>
      <w:r>
        <w:t>).</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t xml:space="preserve"> (Jub 11:2-5)</w:t>
      </w:r>
      <w:r>
        <w:t>. La Biblia común guarda el mismo aviso: cuando Israel pidió un rey, Dios dijo a Samuel: «no te han desechado á ti, sino á mí me han desechado, para que no reine sobre ellos»</w:t>
      </w:r>
      <w:r>
        <w:t xml:space="preserve"> (1 Sam 8:7)</w:t>
      </w:r>
      <w:r>
        <w:t>. Es el paso del aprendiz al ser superior: un poder humano que se pone en el lugar de la ley de Dios. Esto apunta hacia el padre de la mentira (Jn 8:44).</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t xml:space="preserve"> (1 Enoc 10:12)</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t xml:space="preserve"> (1 Enoc 15:8)</w:t>
      </w:r>
      <w:r>
        <w:t>; «se levantarán contra los hijos de los hombres y contra las mujeres»</w:t>
      </w:r>
      <w:r>
        <w:t xml:space="preserve"> (1 Enoc 15:12)</w:t>
      </w:r>
      <w:r>
        <w:t>; y destruirán «hasta el día de la consumación»</w:t>
      </w:r>
      <w:r>
        <w:t xml:space="preserve"> (1 Enoc 16:1)</w:t>
      </w:r>
      <w:r>
        <w:t>. En Jubileos, nueve partes fueron atadas, «y dejamos una décima parte de ellos, para que estuvieran sujetos a Satán en la tierra»</w:t>
      </w:r>
      <w:r>
        <w:t xml:space="preserve"> (Jub 10:11)</w:t>
      </w:r>
      <w:r>
        <w:t>.</w:t>
      </w:r>
    </w:p>
    <w:p>
      <w:pPr>
        <w:pStyle w:val="ListBullet"/>
      </w:pPr>
      <w:r>
        <w:rPr>
          <w:b/>
        </w:rPr>
        <w:t>Y Satán y sus ángeles fueron arrojados a la tierra.</w:t>
      </w:r>
      <w:r>
        <w:t xml:space="preserve"> El dragón «fué arrojado en tierra, y sus ángeles fueron arrojados con él»</w:t>
      </w:r>
      <w:r>
        <w:t xml:space="preserve"> (Ap 12:9)</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t xml:space="preserve"> (1 Pe 5:8-9)</w:t>
      </w:r>
      <w:r>
        <w:t>; y «Velad y orad, para que no entréis en tentación»</w:t>
      </w:r>
      <w:r>
        <w:t xml:space="preserve"> (Mt 26:41)</w:t>
      </w:r>
      <w:r>
        <w:t>;</w:t>
      </w:r>
    </w:p>
    <w:p>
      <w:pPr>
        <w:pStyle w:val="ListBullet"/>
      </w:pPr>
      <w:r>
        <w:rPr>
          <w:b/>
        </w:rPr>
        <w:t>no darle sitio:</w:t>
      </w:r>
      <w:r>
        <w:t xml:space="preserve"> «Ni deis lugar al diablo»</w:t>
      </w:r>
      <w:r>
        <w:t xml:space="preserve"> (Ef 4:27)</w:t>
      </w:r>
      <w:r>
        <w:t>; «resistid al diablo, y de vosotros huirá»</w:t>
      </w:r>
      <w:r>
        <w:t xml:space="preserve"> (Stg 4:7)</w:t>
      </w:r>
      <w:r>
        <w:t>;</w:t>
      </w:r>
    </w:p>
    <w:p>
      <w:pPr>
        <w:pStyle w:val="ListBullet"/>
      </w:pPr>
      <w:r>
        <w:rPr>
          <w:b/>
        </w:rPr>
        <w:t>conocer sus maniobras:</w:t>
      </w:r>
      <w:r>
        <w:t xml:space="preserve"> «no ignoramos sus maquinaciones»</w:t>
      </w:r>
      <w:r>
        <w:t xml:space="preserve"> (2 Co 2:11)</w:t>
      </w:r>
      <w:r>
        <w:t>; y vestir «toda la armadura de Dios, para que podáis estar firmes contra las asechanzas del diablo»</w:t>
      </w:r>
      <w:r>
        <w:t xml:space="preserve"> (Ef 6:11)</w:t>
      </w:r>
      <w:r>
        <w:t>;</w:t>
      </w:r>
    </w:p>
    <w:p>
      <w:pPr>
        <w:pStyle w:val="ListBullet"/>
      </w:pPr>
      <w:r>
        <w:rPr>
          <w:b/>
        </w:rPr>
        <w:t>refugiarse en Dios:</w:t>
      </w:r>
      <w:r>
        <w:t xml:space="preserve"> «Si el Demonio te incita al mal, busca refugio en Alá»</w:t>
      </w:r>
      <w:r>
        <w:t xml:space="preserve"> (Corán 7:200)</w:t>
      </w:r>
      <w:r>
        <w:t>; y «Cuando los que temen a Alá sufren una aparición del Demonio, se dejan amonestar y ven claro»</w:t>
      </w:r>
      <w:r>
        <w:t xml:space="preserve"> (Corán 7:201)</w:t>
      </w:r>
      <w:r>
        <w:t>;</w:t>
      </w:r>
    </w:p>
    <w:p>
      <w:pPr>
        <w:pStyle w:val="ListBullet"/>
      </w:pPr>
      <w:r>
        <w:rPr>
          <w:b/>
        </w:rPr>
        <w:t>no consentir:</w:t>
      </w:r>
      <w:r>
        <w:t xml:space="preserve"> «Él no puede nada contra los que creen y confían en su Señor. Sólo tiene poder contra los que traban amistad con él»</w:t>
      </w:r>
      <w:r>
        <w:t xml:space="preserve"> (Corán 16:99-100, traducción de Julio Cortés)</w:t>
      </w:r>
      <w:r>
        <w:t>;</w:t>
      </w:r>
    </w:p>
    <w:p>
      <w:pPr>
        <w:pStyle w:val="ListBullet"/>
      </w:pPr>
      <w:r>
        <w:rPr>
          <w:b/>
        </w:rPr>
        <w:t>la sabiduría:</w:t>
      </w:r>
      <w:r>
        <w:t xml:space="preserve"> ante el ejército de Mara, que el mundo no vence, el Buda dice: «lo romperé con la sabiduría, como una piedra rompe una vasija sin cocer»</w:t>
      </w:r>
      <w:r>
        <w:t xml:space="preserve"> (Sutta Nipata 3.2)</w:t>
      </w:r>
      <w:r>
        <w:t>;</w:t>
      </w:r>
    </w:p>
    <w:p>
      <w:pPr>
        <w:pStyle w:val="ListBullet"/>
      </w:pPr>
      <w:r>
        <w:rPr>
          <w:b/>
        </w:rPr>
        <w:t>cerrar las tres puertas:</w:t>
      </w:r>
      <w:r>
        <w:t xml:space="preserve"> «Triple es esta puerta del infierno, que destruye el alma: el deseo, la ira y la codicia; por eso hay que dejar las tres»</w:t>
      </w:r>
      <w:r>
        <w:t xml:space="preserve"> (Bhagavad Gita 16.21)</w:t>
      </w:r>
      <w:r>
        <w:t>;</w:t>
      </w:r>
    </w:p>
    <w:p>
      <w:pPr>
        <w:pStyle w:val="ListBullet"/>
      </w:pPr>
      <w:r>
        <w:rPr>
          <w:b/>
        </w:rPr>
        <w:t>y el conocimiento, como medicina:</w:t>
      </w:r>
      <w:r>
        <w:t xml:space="preserve"> a Noé se le explicaron «todas las medicinas de sus males, junto con sus seducciones», para que pudiera curarlos</w:t>
      </w:r>
      <w:r>
        <w:t xml:space="preserve"> (Jub 10:12)</w:t>
      </w:r>
      <w:r>
        <w:t>.</w:t>
      </w:r>
    </w:p>
    <w:p>
      <w:r>
        <w:t>Y el criterio de siempre: probar los espíritus (</w:t>
      </w:r>
      <w:r>
        <w:t>1.3</w:t>
      </w:r>
      <w:r>
        <w:t>) y mirar los frutos (</w:t>
      </w:r>
      <w:r>
        <w:t>0.5</w:t>
      </w:r>
      <w:r>
        <w:t>).</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t xml:space="preserve"> (Ez 33:11)</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t xml:space="preserve"> (Gn 3:4)</w:t>
      </w:r>
      <w:r>
        <w:t>. Dos: sin autoridad, porque quien propone no es el autor de la orden y promete lo que solo la autoridad original podría dar: «seréis como dioses»</w:t>
      </w:r>
      <w:r>
        <w:t xml:space="preserve"> (Gn 3:5)</w:t>
      </w:r>
      <w:r>
        <w:t>. Tres: un motivo atribuido y no comprobable, «Mas sabe Dios que…»</w:t>
      </w:r>
      <w:r>
        <w:t xml:space="preserve"> (Gn 3:5)</w:t>
      </w:r>
      <w:r>
        <w:t>. Cuatro: los frutos, que son miedo, escondite, acusación en cadena y expulsión</w:t>
      </w:r>
      <w:r>
        <w:t xml:space="preserve"> (Gn 3:7-24)</w:t>
      </w:r>
      <w:r>
        <w:t>: daña, y no hay reciprocidad ni beneficio mutuo. Además, el texto no muestra ninguna necesidad: tenían todos los demás árboles, «De todo árbol del huerto comerás»</w:t>
      </w:r>
      <w:r>
        <w:t xml:space="preserve"> (Gn 2:16)</w:t>
      </w:r>
      <w:r>
        <w:t>; lo que mueve es el deseo, «agradable á los ojos»</w:t>
      </w:r>
      <w:r>
        <w:t xml:space="preserve"> (Gn 3:6)</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t xml:space="preserve"> (Gn 2:16)</w:t>
      </w:r>
      <w:r>
        <w:t>. Un juego con criba selecciona por poder, que es la lógica de Nimrod, «vigoroso cazador delante de Jehová»</w:t>
      </w:r>
      <w:r>
        <w:t xml:space="preserve"> (Gn 10:9)</w:t>
      </w:r>
      <w:r>
        <w:t>, y la de Babel: «hagámonos un nombre»</w:t>
      </w:r>
      <w:r>
        <w:t xml:space="preserve"> (Gn 11:4)</w:t>
      </w:r>
      <w:r>
        <w:t>. Es lectura, no dato: el texto no habla de niveles ni de un juego.</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t xml:space="preserve"> (2 Co 11:14)</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t xml:space="preserve"> (Aristóteles, Ética a Nicómaco II, 6, 1106b36 a 1107a2, en el griego de la edición de Bywater (Oxford, 1894), Perseus Digital Library; traducción de la edición)</w:t>
      </w:r>
      <w:r>
        <w:t>;</w:t>
      </w:r>
    </w:p>
    <w:p>
      <w:pPr>
        <w:pStyle w:val="ListBullet"/>
      </w:pPr>
      <w:r>
        <w:t>«errar es posible de muchas maneras […]; acertar, de una sola»</w:t>
      </w:r>
      <w:r>
        <w:t xml:space="preserve"> (Aristóteles, Ética a Nicómaco II, 6, 1106b28 a 1106b32, ídem; traducción de la edición)</w:t>
      </w:r>
      <w:r>
        <w:t>;</w:t>
      </w:r>
    </w:p>
    <w:p>
      <w:pPr>
        <w:pStyle w:val="ListBullet"/>
      </w:pPr>
      <w:r>
        <w:t>y da dos ejemplos: en el miedo y la confianza, el término medio es la valentía, y los extremos, el temerario y el cobarde; en el dar y recibir dinero, es la generosidad, y los extremos, el derroche y la tacañería</w:t>
      </w:r>
      <w:r>
        <w:t xml:space="preserve"> (Aristóteles, Ética a Nicómaco II, 7, 1107a33 a 1107b8, en el griego de la edición de Bywater (Oxford, 1894), Perseus Digital Library; traducción de la edición)</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t xml:space="preserve"> (Jn 8:44)</w:t>
      </w:r>
      <w:r>
        <w:t>.</w:t>
      </w:r>
    </w:p>
    <w:p>
      <w:r>
        <w:rPr>
          <w:b/>
        </w:rPr>
        <w:t>La mentira, del lado del mal, en otras tradiciones:</w:t>
      </w:r>
    </w:p>
    <w:p>
      <w:pPr>
        <w:pStyle w:val="ListBullet"/>
      </w:pPr>
      <w:r>
        <w:rPr>
          <w:b/>
        </w:rPr>
        <w:t>Persia:</w:t>
      </w:r>
      <w:r>
        <w:t xml:space="preserve"> de los dos espíritus, «el que siguió la Mentira eligió hacer lo peor»</w:t>
      </w:r>
      <w:r>
        <w:t xml:space="preserve"> (Yasna 30:5)</w:t>
      </w:r>
      <w:r>
        <w:t>;</w:t>
      </w:r>
    </w:p>
    <w:p>
      <w:pPr>
        <w:pStyle w:val="ListBullet"/>
      </w:pPr>
      <w:r>
        <w:rPr>
          <w:b/>
        </w:rPr>
        <w:t>la India:</w:t>
      </w:r>
      <w:r>
        <w:t xml:space="preserve"> los de condición demoníaca dicen que el mundo «no tiene verdad, ni fundamento, ni Señor»</w:t>
      </w:r>
      <w:r>
        <w:t xml:space="preserve"> (Bhagavad Gita 16.8)</w:t>
      </w:r>
      <w:r>
        <w:t>; y la Upanishad responde: «solo la verdad vence, no la mentira»</w:t>
      </w:r>
      <w:r>
        <w:t xml:space="preserve"> (Mundaka Upanishad 3.1.6)</w:t>
      </w:r>
      <w:r>
        <w:t>;</w:t>
      </w:r>
    </w:p>
    <w:p>
      <w:pPr>
        <w:pStyle w:val="ListBullet"/>
      </w:pPr>
      <w:r>
        <w:rPr>
          <w:b/>
        </w:rPr>
        <w:t>el budismo:</w:t>
      </w:r>
      <w:r>
        <w:t xml:space="preserve"> «vence al mentiroso con la verdad»</w:t>
      </w:r>
      <w:r>
        <w:t xml:space="preserve"> (Dhammapada 223)</w:t>
      </w:r>
      <w:r>
        <w:t>;</w:t>
      </w:r>
    </w:p>
    <w:p>
      <w:pPr>
        <w:pStyle w:val="ListBullet"/>
      </w:pPr>
      <w:r>
        <w:rPr>
          <w:b/>
        </w:rPr>
        <w:t>el islam:</w:t>
      </w:r>
      <w:r>
        <w:t xml:space="preserve"> «¡Ha venido la Verdad y se ha disipado lo falso! ¡Lo falso tiene que disiparse!»</w:t>
      </w:r>
      <w:r>
        <w:t xml:space="preserve"> (Corán 17:81, traducción de Julio Cortés)</w:t>
      </w:r>
      <w:r>
        <w:t>.</w:t>
      </w:r>
    </w:p>
    <w:p>
      <w:r>
        <w:t>Y la verdad libera, pero con una condición: «Si vosotros permaneciereis en mi palabra, seréis verdaderamente mis discípulos; Y conoceréis la verdad, y la verdad os libertará»</w:t>
      </w:r>
      <w:r>
        <w:t xml:space="preserve"> (Jn 8:31-32)</w:t>
      </w:r>
      <w:r>
        <w:t>.</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t xml:space="preserve"> (Aristóteles, Ética a Nicómaco II, 1, 1103b)</w:t>
      </w:r>
      <w:r>
        <w:t>;</w:t>
      </w:r>
    </w:p>
    <w:p>
      <w:pPr>
        <w:pStyle w:val="ListBullet"/>
      </w:pPr>
      <w:r>
        <w:rPr>
          <w:b/>
        </w:rPr>
        <w:t>el Evangelio:</w:t>
      </w:r>
      <w:r>
        <w:t xml:space="preserve"> «todo aquel que hace pecado, es siervo de pecado»</w:t>
      </w:r>
      <w:r>
        <w:t xml:space="preserve"> (Jn 8:34)</w:t>
      </w:r>
      <w:r>
        <w:t>; y Pablo: «sois siervos de aquel á quien obedecéis»</w:t>
      </w:r>
      <w:r>
        <w:t xml:space="preserve"> (Rm 6:16)</w:t>
      </w:r>
      <w:r>
        <w:t>. De los que hablan mentira dice que acaban «teniendo cauterizada la conciencia»</w:t>
      </w:r>
      <w:r>
        <w:t xml:space="preserve"> (1 Tim 4:2)</w:t>
      </w:r>
      <w:r>
        <w:t>;</w:t>
      </w:r>
    </w:p>
    <w:p>
      <w:pPr>
        <w:pStyle w:val="ListBullet"/>
      </w:pPr>
      <w:r>
        <w:rPr>
          <w:b/>
        </w:rPr>
        <w:t>el islam:</w:t>
      </w:r>
      <w:r>
        <w:t xml:space="preserve"> «Lo que han cometido ha cubierto de herrumbre sus corazones»</w:t>
      </w:r>
      <w:r>
        <w:t xml:space="preserve"> (Corán 83:14, traducción de Julio Cortés)</w:t>
      </w:r>
      <w:r>
        <w:t>;</w:t>
      </w:r>
    </w:p>
    <w:p>
      <w:pPr>
        <w:pStyle w:val="ListBullet"/>
      </w:pPr>
      <w:r>
        <w:rPr>
          <w:b/>
        </w:rPr>
        <w:t>el budismo:</w:t>
      </w:r>
      <w:r>
        <w:t xml:space="preserve"> «No tengas en poco el mal […]: gota a gota se llena la jarra de agua; el necio se llena de mal, juntándolo poco a poco»</w:t>
      </w:r>
      <w:r>
        <w:t xml:space="preserve"> (Dhammapada 121)</w:t>
      </w:r>
      <w:r>
        <w:t>.</w:t>
      </w:r>
    </w:p>
    <w:p>
      <w:r>
        <w:t>Y lo mismo vale para el bien: el grano, por repetición, hace el bien (</w:t>
      </w:r>
      <w:r>
        <w:t>2.5</w:t>
      </w:r>
      <w:r>
        <w:t>).</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t xml:space="preserve"> (Lv 19:18)</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p>
    <w:p>
      <w:pPr>
        <w:pStyle w:val="ListBullet"/>
      </w:pPr>
      <w:r>
        <w:rPr>
          <w:b/>
        </w:rPr>
        <w:t>El Estado actúa por cargos con nombre, y la ley prevé que respondan.</w:t>
      </w:r>
      <w:r>
        <w:t xml:space="preserve"> Esa defensa, con sus artículos, se oye en las cuestiones previas (</w:t>
      </w:r>
      <w:r>
        <w:t>11.2</w:t>
      </w:r>
      <w:r>
        <w:t xml:space="preserve">). </w:t>
      </w:r>
    </w:p>
    <w:p>
      <w:pPr>
        <w:pStyle w:val="ListBullet"/>
      </w:pPr>
      <w:r>
        <w:rPr>
          <w:b/>
        </w:rPr>
        <w:t>Que el Estado solo exista porque se cree en él es una posición doctrinal,</w:t>
      </w:r>
      <w:r>
        <w:t xml:space="preserve"> no un consenso. Las conclusiones de la obra no dependen de ella, sino de hechos que se pueden comprobar. </w:t>
      </w:r>
    </w:p>
    <w:p>
      <w:pPr>
        <w:pStyle w:val="ListBullet"/>
      </w:pPr>
      <w:r>
        <w:rPr>
          <w:b/>
        </w:rPr>
        <w:t>El dualismo puro es la excepción:</w:t>
      </w:r>
      <w:r>
        <w:t xml:space="preserve"> solo dos de las nueve tradiciones lo sostienen. Presentarlo todo como una guerra de dos poderes iguales sería falsear las fuentes. </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r>
        <w:br w:type="page"/>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t xml:space="preserve"> (Ley General de la Seguridad Social, art. 110.1)</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t xml:space="preserve"> (Ley General de la Seguridad Social, art. 122)</w:t>
      </w:r>
      <w:r>
        <w:t>, y hoy «está compuesta, exclusivamente, por deuda pública española»</w:t>
      </w:r>
      <w:r>
        <w:t xml:space="preserve"> (Fondo de Reserva, informe a las Cortes Generales, 2025)</w:t>
      </w:r>
      <w:r>
        <w:t>. En el comité que decide se sienta el Director General del Tesoro</w:t>
      </w:r>
      <w:r>
        <w:t xml:space="preserve"> (art. 123.2.d)</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t xml:space="preserve"> (Eurostat, cuentas de las administraciones públicas)</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t xml:space="preserve"> (Ley 35/2006, art. 63)</w:t>
      </w:r>
      <w:r>
        <w:t>, y «El mínimo del contribuyente será, con carácter general, de 5.550 euros anuales»</w:t>
      </w:r>
      <w:r>
        <w:t xml:space="preserve"> (art. 57.1)</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t xml:space="preserve"> (texto refundido de la Ley Concursal, art. 1.3)</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t xml:space="preserve"> (Constitución, art. 135.3)</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t xml:space="preserve"> (STC 73/2017)</w:t>
      </w:r>
      <w:r>
        <w:t xml:space="preserve"> y el cálculo de la plusvalía municipal</w:t>
      </w:r>
      <w:r>
        <w:t xml:space="preserve"> (STC 182/2021)</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t xml:space="preserve"> (Banco de Inglaterra, «Money creation in the modern economy» (La creación del dinero en la economía moderna), Quarterly Bulletin (Boletín trimestral), 2014)</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t xml:space="preserve"> (Ley 46/1998, art. 3)</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t xml:space="preserve"> (Tratado de Funcionamiento de la Unión Europea, art. 3.1.c)</w:t>
      </w:r>
      <w:r>
        <w:t>. (</w:t>
      </w:r>
      <w:r>
        <w:t>8.2</w:t>
      </w:r>
      <w:r>
        <w:t xml:space="preserve"> y </w:t>
      </w:r>
      <w:r>
        <w:t>8.3</w:t>
      </w:r>
      <w:r>
        <w:t>)</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t xml:space="preserve"> (Código Civil, art. 1261)</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t xml:space="preserve"> (Constitución, art. 86.1)</w:t>
      </w:r>
      <w:r>
        <w:t>, y el Constitucional ha anulado al menos cinco veces decretos-leyes por no justificar esa urgencia: uno entero, en 2007</w:t>
      </w:r>
      <w:r>
        <w:t xml:space="preserve"> (STC 68/2007, de 28-III)</w:t>
      </w:r>
      <w:r>
        <w:t>, y partes de otros cuatro: dos en 2011</w:t>
      </w:r>
      <w:r>
        <w:t xml:space="preserve"> (STC 31/2011, de 17-III; STC 137/2011, de 14-IX)</w:t>
      </w:r>
      <w:r>
        <w:t>, uno en 2018</w:t>
      </w:r>
      <w:r>
        <w:t xml:space="preserve"> (STC 61/2018, de 7-VI)</w:t>
      </w:r>
      <w:r>
        <w:t xml:space="preserve"> y otro en 2020</w:t>
      </w:r>
      <w:r>
        <w:t xml:space="preserve"> (STC 14/2020, de 28-I)</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t xml:space="preserve"> (Ley 39/2015, art. 98.1)</w:t>
      </w:r>
      <w:r>
        <w:t>, y ella misma puede ejecutarlos</w:t>
      </w:r>
      <w:r>
        <w:t xml:space="preserve"> (art. 99)</w:t>
      </w:r>
      <w:r>
        <w:t>: embarga sin juez previo. Un particular necesita siempre un título, porque «La acción ejecutiva deberá fundarse en un título que tenga aparejada ejecución»</w:t>
      </w:r>
      <w:r>
        <w:t xml:space="preserve"> (Ley de Enjuiciamiento Civil, art. 517.1)</w:t>
      </w:r>
      <w:r>
        <w:t>: una sentencia, un laudo o una escritura. Al ciudadano que paga tarde se le aplica un recargo del 5, el 10 o el 20 %</w:t>
      </w:r>
      <w:r>
        <w:t xml:space="preserve"> (Ley General Tributaria, art. 28)</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t xml:space="preserve"> (Constitución, art. 53.3)</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t xml:space="preserve"> (Constitución, art. 67.2)</w:t>
      </w:r>
      <w:r>
        <w:t>, y durante el mandato nadie los puede apartar, salvo en los casos tasados del Reglamento</w:t>
      </w:r>
      <w:r>
        <w:t xml:space="preserve"> (Reglamento del Congreso, art. 22)</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t xml:space="preserve"> (Ley Orgánica 6/2002, art. 7.1)</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t xml:space="preserve"> (Tribunal Constitucional, Memoria 2025)</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y llamaba «inflacionista» a quien «favorece una emisión aumentada o muy grande de papel moneda»</w:t>
      </w:r>
      <w:r>
        <w:t xml:space="preserve"> (Webster's Revised Unabridged Dictionary (Diccionario Webster revisado e íntegro), 1913, Proyecto Gutenberg n.º 29765, s. v. «inflation» e «inflationist»)</w:t>
      </w:r>
      <w:r>
        <w:t>.</w:t>
      </w:r>
    </w:p>
    <w:p>
      <w:pPr>
        <w:pStyle w:val="ListBullet2"/>
      </w:pPr>
      <w:r>
        <w:t>En español, en 1914, «inflación» solo era «Acción y efecto de inflar» y, en sentido figurado, «Engreimiento y vanidad»</w:t>
      </w:r>
      <w:r>
        <w:t xml:space="preserve"> (Real Academia Española, Diccionario de la lengua castellana, 14.ª edición, 1914)</w:t>
      </w:r>
      <w:r>
        <w:t>.</w:t>
      </w:r>
    </w:p>
    <w:p>
      <w:pPr>
        <w:pStyle w:val="ListBullet2"/>
      </w:pPr>
      <w:r>
        <w:t>En 2001, la Academia la definía en economía como «Elevación notable del nivel de precios con efectos desfavorables para la economía de un país»</w:t>
      </w:r>
      <w:r>
        <w:t xml:space="preserve"> (Diccionario de la lengua española, 22.ª edición, 2001)</w:t>
      </w:r>
      <w:r>
        <w:t>.</w:t>
      </w:r>
    </w:p>
    <w:p>
      <w:pPr>
        <w:pStyle w:val="ListBullet2"/>
      </w:pPr>
      <w:r>
        <w:t>Hoy, como «Elevación del nivel general de precios»</w:t>
      </w:r>
      <w:r>
        <w:t xml:space="preserve"> (Diccionario de la lengua española, edición actual)</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t xml:space="preserve"> (INE, Tabla de Pensiones 2021)</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t xml:space="preserve"> (Ley 39/2015, art. 21.1)</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t xml:space="preserve"> (Ley 39/2015, art. 129.4)</w:t>
      </w:r>
      <w:r>
        <w:t>, y una información de transparencia publicada «de una manera clara, estructurada y entendible» y «comprensible, de acceso fácil y gratuito»</w:t>
      </w:r>
      <w:r>
        <w:t xml:space="preserve"> (Ley 19/2013, art. 5.4 y 5.5)</w:t>
      </w:r>
      <w:r>
        <w:t>. La obra no ha buscado en todo el ordenamiento una obligación expresa de explicar las normas en lenguaje llano a quien no es jurista.</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y cargando a los que vienen con deudas que les roban el futuro. Si Dios es lo natural, lo que tuerce lo natural para protegerse va contra Él: esto apunta hacia el padre de la mentira (Jn 8:44). «Por sus frutos los conoceréis» (Mt 7:16).</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En el derecho es, además, una regla: la ley manda tener algo por cierto mientras no se pruebe lo contrario, y así decide quién tiene que probar. Por eso cada presunción reparte una carga: la de la prueba.</w:t>
      </w:r>
    </w:p>
    <w:p>
      <w:r>
        <w:rPr>
          <w:b/>
        </w:rPr>
        <w:t>Contra natura.</w:t>
      </w:r>
      <w:r>
        <w:t xml:space="preserve"> Desde aquí, la edición llama «contra natura» a lo que va contra la ley natural (</w:t>
      </w:r>
      <w:r>
        <w:t>1.4</w:t>
      </w:r>
      <w:r>
        <w:t>). Se dice solo de normas e instituciones, nunca de personas ni de la conducta de ningún colectivo.</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t xml:space="preserve"> (Mt 22:21)</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t xml:space="preserve"> (Mt 23:23)</w:t>
      </w:r>
      <w:r>
        <w:t>. La letra sin justicia deja fuera lo más importante.</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t xml:space="preserve"> (Constitución, art. 1.2)</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t xml:space="preserve"> (Constitución, art. 168)</w:t>
      </w:r>
      <w:r>
        <w:t xml:space="preserve">. </w:t>
      </w:r>
    </w:p>
    <w:p>
      <w:pPr>
        <w:pStyle w:val="ListBullet"/>
      </w:pPr>
      <w:r>
        <w:rPr>
          <w:b/>
        </w:rPr>
        <w:t>El contrato social.</w:t>
      </w:r>
      <w:r>
        <w:t xml:space="preserve"> Se presume que existe un pacto que todos aceptamos. Ya se vio: nadie lo firmó (</w:t>
      </w:r>
      <w:r>
        <w:t>5.1</w:t>
      </w:r>
      <w:r>
        <w:t xml:space="preserve">, n.º 13). </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 Y Mencio: el pueblo es lo más valioso; el gobernante, lo de menos (</w:t>
      </w:r>
      <w:r>
        <w:t>3.2</w:t>
      </w:r>
      <w:r>
        <w:t>, P1).</w:t>
      </w:r>
    </w:p>
    <w:p>
      <w:pPr>
        <w:pStyle w:val="ListBullet"/>
      </w:pPr>
      <w:r>
        <w:t>A la segunda: «Mas sea vuestro hablar: Sí, sí; No, no; porque lo que es más de esto, de mal procede»</w:t>
      </w:r>
      <w:r>
        <w:t xml:space="preserve"> (Mt 5:37)</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p>
    <w:p>
      <w:pPr>
        <w:pStyle w:val="ListBullet"/>
      </w:pPr>
      <w:r>
        <w:rPr>
          <w:b/>
        </w:rPr>
        <w:t>Todos conocen todas las leyes.</w:t>
      </w:r>
      <w:r>
        <w:t xml:space="preserve"> Se presume que cada persona conoce el ordenamiento entero. «La ignorancia de las leyes no excusa de su cumplimiento»</w:t>
      </w:r>
      <w:r>
        <w:t xml:space="preserve"> (Código Civil, art. 6.1)</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t xml:space="preserve"> (Lc 11:46)</w:t>
      </w:r>
      <w:r>
        <w:t>. Y en China y en Roma, más leyes, más pobreza y más corrupción (</w:t>
      </w:r>
      <w:r>
        <w:t>3.2</w:t>
      </w:r>
      <w:r>
        <w:t>, P9).</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t xml:space="preserve"> (Ley 39/2015, art. 39.1)</w:t>
      </w:r>
      <w:r>
        <w:t xml:space="preserve">. </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t xml:space="preserve"> (Ley 39/2015, art. 77.5)</w:t>
      </w:r>
      <w:r>
        <w:t xml:space="preserve">: es el ciudadano quien tiene que demostrar que no es así. </w:t>
      </w:r>
    </w:p>
    <w:p>
      <w:pPr>
        <w:pStyle w:val="ListBullet"/>
      </w:pPr>
      <w:r>
        <w:rPr>
          <w:b/>
        </w:rPr>
        <w:t>El cobro sin juez.</w:t>
      </w:r>
      <w:r>
        <w:t xml:space="preserve"> Se presume que el Estado puede ejecutar por sí mismo lo que reclama. Ya se vio (</w:t>
      </w:r>
      <w:r>
        <w:t>5.1</w:t>
      </w:r>
      <w:r>
        <w:t xml:space="preserve">, n.º 15). </w:t>
      </w:r>
    </w:p>
    <w:p>
      <w:pPr>
        <w:pStyle w:val="ListBullet"/>
      </w:pPr>
      <w:r>
        <w:rPr>
          <w:b/>
        </w:rPr>
        <w:t>La urgencia.</w:t>
      </w:r>
      <w:r>
        <w:t xml:space="preserve"> Se presume que el Gobierno legisla por decreto solo cuando hay urgencia. Ya se vio (</w:t>
      </w:r>
      <w:r>
        <w:t>5.1</w:t>
      </w:r>
      <w:r>
        <w:t xml:space="preserve">, n.º 14). </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t xml:space="preserve"> (Dt 19:15)</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t xml:space="preserve"> (Dt 24:10-11)</w:t>
      </w:r>
      <w:r>
        <w:t>. La ley de Dios no deja ni al acreedor entrar en casa del deudor a tomar la prenda.</w:t>
      </w:r>
    </w:p>
    <w:p>
      <w:pPr>
        <w:pStyle w:val="ListBullet"/>
      </w:pPr>
      <w:r>
        <w:t>A la cuarta: «todo presuroso, indefectiblemente á pobreza»</w:t>
      </w:r>
      <w:r>
        <w:t xml:space="preserve"> (Pr 21:5)</w:t>
      </w:r>
      <w:r>
        <w:t>.</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t xml:space="preserve"> (Constitución, art. 50)</w:t>
      </w:r>
      <w:r>
        <w:t xml:space="preserve">. </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t xml:space="preserve"> (Pr 20:10)</w:t>
      </w:r>
      <w:r>
        <w:t>. Y Confucio pone el cuidado de las pesas y medidas como primera tarea del buen gobierno (</w:t>
      </w:r>
      <w:r>
        <w:t>3.2</w:t>
      </w:r>
      <w:r>
        <w:t>, P4).</w:t>
      </w:r>
    </w:p>
    <w:p>
      <w:pPr>
        <w:pStyle w:val="ListBullet"/>
      </w:pPr>
      <w:r>
        <w:t>A la inflación: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t xml:space="preserve"> (Mt 6:19)</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t xml:space="preserve"> (Lv 6:4-5)</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t xml:space="preserve"> (Pr 22:7)</w:t>
      </w:r>
      <w:r>
        <w:t>. La presunción da a la deuda prioridad absoluta y sin final; la ley de Dios le pone un límite.</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t xml:space="preserve"> (Jer 31:29-30)</w:t>
      </w:r>
      <w:r>
        <w:t>. La ley de Dios no hace pagar a los hijos lo que comieron los padres.</w:t>
      </w:r>
    </w:p>
    <w:p>
      <w:pPr>
        <w:pStyle w:val="ListBullet"/>
      </w:pPr>
      <w:r>
        <w:t>A la segunda: «Da cuenta de tu mayordomía, porque ya no podrás más ser mayordomo»</w:t>
      </w:r>
      <w:r>
        <w:t xml:space="preserve"> (Lc 16:2)</w:t>
      </w:r>
      <w:r>
        <w:t>. La ley de Dios pide cuentas al administrador, y lo aparta si no las da.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p>
    <w:p>
      <w:r>
        <w:rPr>
          <w:b/>
        </w:rPr>
        <w:t>Frente a ellas, la ley de Dios:</w:t>
      </w:r>
    </w:p>
    <w:p>
      <w:pPr>
        <w:pStyle w:val="ListBullet"/>
      </w:pPr>
      <w:r>
        <w:t>A la primera: «Porque nada hay encubierto, que no haya de ser descubierto; ni oculto, que no haya de ser sabido»</w:t>
      </w:r>
      <w:r>
        <w:t xml:space="preserve"> (Lc 12:2)</w:t>
      </w:r>
      <w:r>
        <w:t>.</w:t>
      </w:r>
    </w:p>
    <w:p>
      <w:pPr>
        <w:pStyle w:val="ListBullet"/>
      </w:pPr>
      <w:r>
        <w:t>A la segunda: «Delante de las canas te levantarás, y honrarás el rostro del anciano»</w:t>
      </w:r>
      <w:r>
        <w:t xml:space="preserve"> (Lv 19:32)</w:t>
      </w:r>
      <w:r>
        <w:t>. La presunción mezcla en la «vejez» lo que pagaron unos y lo que pagan otros; la ley de Dios manda honrar al anciano.</w:t>
      </w:r>
    </w:p>
    <w:p>
      <w:pPr>
        <w:pStyle w:val="ListBullet"/>
      </w:pPr>
      <w:r>
        <w:t>A la tercera: «Así también la fe, si no tuviere obras, es muerta en sí misma»</w:t>
      </w:r>
      <w:r>
        <w:t xml:space="preserve"> (Stg 2:17)</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con sus dos cautelas). Por eso el primer paso es devolver las leyes a su orden: la ley de Dios, la ley natural, la costumbre y, por último, la ley humana.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Su ejemplo: un trozo de papel cuenta como dinero. Del mismo modo, un territorio y una población cuentan como Estado</w:t>
      </w:r>
      <w:r>
        <w:t xml:space="preserve"> (John Searle, The Construction of Social Reality (La construcción de la realidad social), 1995; fuente secundaria: Stanford Encyclopedia of Philosophy (Enciclopedia de Filosofía de Stanford), «Social Ontology» (Ontología social))</w:t>
      </w:r>
      <w:r>
        <w:t>.</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Es lo que 2.1 anunciaba: cómo llega el derecho a tratar como persona a lo que no tiene cuerpo.</w:t>
      </w:r>
    </w:p>
    <w:p>
      <w:r>
        <w:rPr>
          <w:b/>
        </w:rPr>
        <w:t>La máscara.</w:t>
      </w:r>
      <w:r>
        <w:t xml:space="preserve"> En latín, </w:t>
      </w:r>
      <w:r>
        <w:rPr>
          <w:i/>
        </w:rPr>
        <w:t>persona</w:t>
      </w:r>
      <w:r>
        <w:t xml:space="preserve"> era ante todo la máscara del actor</w:t>
      </w:r>
      <w:r>
        <w:t xml:space="preserve"> (Lewis y Short, A Latin Dictionary (Diccionario latino), s. v. «persona»)</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es el mismo ser humano, visto por el derecho. Tiene una función legítima, porque permite actuar en derecho, heredar, contratar y ser protegido por la ley. Pero, como toda herramienta, tiene dos filos.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t xml:space="preserve"> (Montaigne, Ensayos III, 13)</w:t>
      </w:r>
      <w:r>
        <w:t>. Pascal lo dijo de la costumbre: «La costumbre hace toda la equidad, por la sola razón de que es recibida: es el fundamento místico de su autoridad. Quien la lleva a su principio, la aniquila»</w:t>
      </w:r>
      <w:r>
        <w:t xml:space="preserve"> (Pascal, Pensamientos, fr. 294, edición de Brunschvicg)</w:t>
      </w:r>
      <w:r>
        <w:t>.</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t xml:space="preserve"> (Robert D. Putnam, Bowling Alone (Jugar a los bolos solo), 2000; fuente secundaria)</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Yo soy otro tú.</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t xml:space="preserve"> (Ley 20/2011, del Registro Civil, art. 45)</w:t>
      </w:r>
      <w:r>
        <w:t>.</w:t>
      </w:r>
    </w:p>
    <w:p>
      <w:pPr>
        <w:pStyle w:val="ListBullet"/>
      </w:pPr>
      <w:r>
        <w:rPr>
          <w:b/>
        </w:rPr>
        <w:t>En qué plazo.</w:t>
      </w:r>
      <w:r>
        <w:t xml:space="preserve"> Esa dirección «comunicará en el plazo de setenta y dos horas a la Oficina del Registro Civil» cada nacimiento</w:t>
      </w:r>
      <w:r>
        <w:t xml:space="preserve"> (art. 46, en la redacción de la Ley 19/2015)</w:t>
      </w:r>
      <w:r>
        <w:t>.</w:t>
      </w:r>
    </w:p>
    <w:p>
      <w:pPr>
        <w:pStyle w:val="ListBullet"/>
      </w:pPr>
      <w:r>
        <w:rPr>
          <w:b/>
        </w:rPr>
        <w:t>Qué se abre.</w:t>
      </w:r>
      <w:r>
        <w:t xml:space="preserve"> «El registro individual se abrirá con la inscripción de nacimiento»</w:t>
      </w:r>
      <w:r>
        <w:t xml:space="preserve"> (art. 5.2)</w:t>
      </w:r>
      <w:r>
        <w:t>, y a cada registro «se le asignará un código personal […] que será única e invariable en el tiempo»</w:t>
      </w:r>
      <w:r>
        <w:t xml:space="preserve"> (art. 6)</w:t>
      </w:r>
      <w:r>
        <w:t>.</w:t>
      </w:r>
    </w:p>
    <w:p>
      <w:pPr>
        <w:pStyle w:val="ListBullet"/>
      </w:pPr>
      <w:r>
        <w:rPr>
          <w:b/>
        </w:rPr>
        <w:t>Ni el abandonado queda fuera.</w:t>
      </w:r>
      <w:r>
        <w:t xml:space="preserve"> Las entidades públicas «deberán promover sin demora la inscripción de menores en situación de desamparo por abandono»</w:t>
      </w:r>
      <w:r>
        <w:t xml:space="preserve"> (art. 48.1)</w:t>
      </w:r>
      <w:r>
        <w:t>.</w:t>
      </w:r>
    </w:p>
    <w:p>
      <w:r>
        <w:t>Nadie preguntó. Y nadie podía preguntar: el interesado tenía cero días.</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t xml:space="preserve"> (Rousseau, Del contrato social I, 4, edición de 1762)</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Por eso, «la primera razón de la servidumbre voluntaria es la costumbre»</w:t>
      </w:r>
      <w:r>
        <w:t xml:space="preserve"> (La Boétie, Discurso de la servidumbre voluntaria, edición de 1922)</w:t>
      </w:r>
      <w:r>
        <w:t>. No la fuerza, sino no haber conocido nunca otra cosa (</w:t>
      </w:r>
      <w:r>
        <w:t>4.1</w:t>
      </w:r>
      <w:r>
        <w:t>).</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Esto apunta hacia el padre de la mentira (Jn 8:44). «Por sus frutos los conoceréis» (Mt 7:16).</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t xml:space="preserve"> (Código Civil, art. 6.1)</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t xml:space="preserve"> (Mt 7:25)</w:t>
      </w:r>
      <w:r>
        <w:t>; y la casa sobre la arena, que «cayó, y fué grande su ruina»</w:t>
      </w:r>
      <w:r>
        <w:t xml:space="preserve"> (Mt 7:27)</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t xml:space="preserve"> (Aristóteles, Ética a Nicómaco II, 1, 1103b)</w:t>
      </w:r>
      <w:r>
        <w:t>. El verbo de «yerran» es el de errar el blanco (</w:t>
      </w:r>
      <w:r>
        <w:t>3.2</w:t>
      </w:r>
      <w:r>
        <w:t>). La costumbre que da la ley forma: para el bien, o para lo contrario.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r>
        <w:br w:type="page"/>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t xml:space="preserve"> (Real Academia Española, Diccionario de la lengua española, «contrato»)</w:t>
      </w:r>
      <w:r>
        <w:t xml:space="preserve">. Y sin consentimiento, objeto y causa no hay contrato (Código Civil, art. 1261; </w:t>
      </w:r>
      <w:r>
        <w:t>5.1</w:t>
      </w:r>
      <w:r>
        <w:t>, n.º 13).</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w:t>
      </w:r>
    </w:p>
    <w:p>
      <w:r>
        <w:t>Sirvió para dos cosas. Justificó el poder sin apelar al derecho divino de los reyes. Y dejó una consecuencia: si el poder nace de un pacto, se puede retirar cuando el pacto se rompe.</w:t>
      </w:r>
    </w:p>
    <w:p>
      <w:pPr>
        <w:pStyle w:val="Heading3"/>
      </w:pPr>
      <w:r>
        <w:t>Tres maneras de rellenar la misma idea</w:t>
      </w:r>
    </w:p>
    <w:p>
      <w:r>
        <w:t>Los tres autores parten del mismo problema, por qué obedecer, y llegan a soluciones que no casan entre sí, según cómo imaginaron el punto de partida.</w:t>
      </w:r>
    </w:p>
    <w:p>
      <w:r>
        <w:rPr>
          <w:b/>
        </w:rPr>
        <w:t>Hobbes (1651): el miedo.</w:t>
      </w:r>
      <w:r>
        <w:t xml:space="preserve"> Sin un poder común que los mantenga a raya, los hombres están en guerra, «una guerra de cada hombre contra cada hombre»</w:t>
      </w:r>
      <w:r>
        <w:t>, y la vida del hombre es «solitaria, pobre, desagradable, brutal y corta»</w:t>
      </w:r>
      <w:r>
        <w:t xml:space="preserve"> (Hobbes, Leviatán, cap. XIII)</w:t>
      </w:r>
      <w:r>
        <w:t>.</w:t>
      </w:r>
    </w:p>
    <w:p>
      <w:pPr>
        <w:pStyle w:val="ListBullet"/>
      </w:pPr>
      <w:r>
        <w:rPr>
          <w:b/>
        </w:rPr>
        <w:t>El pacto.</w:t>
      </w:r>
      <w:r>
        <w:t xml:space="preserve"> Se hace «por pacto de cada hombre con cada hombre»</w:t>
      </w:r>
      <w:r>
        <w:t xml:space="preserve"> (cap. XVII)</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t xml:space="preserve"> (cap. XVIII)</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t xml:space="preserve"> (cap. XVII)</w:t>
      </w:r>
      <w:r>
        <w:t>. Desde la primera página lo había definido como «un hombre artificial»</w:t>
      </w:r>
      <w:r>
        <w:t xml:space="preserve"> (Introducción)</w:t>
      </w:r>
      <w:r>
        <w:t>.</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w:t>
      </w:r>
    </w:p>
    <w:p>
      <w:r>
        <w:rPr>
          <w:b/>
        </w:rPr>
        <w:t>Rousseau (1762): la voluntad general.</w:t>
      </w:r>
      <w:r>
        <w:t xml:space="preserve"> «El hombre ha nacido libre, y en todas partes está encadenado»</w:t>
      </w:r>
      <w:r>
        <w:t xml:space="preserve"> (Rousseau, Del contrato social I, 1)</w:t>
      </w:r>
      <w:r>
        <w:t>. Siete años antes había puesto el origen del mal en la propiedad: «El primero que, habiendo cercado un terreno, se le ocurrió decir "esto es mío", y encontró gentes lo bastante simples para creerle, fue el verdadero fundador de la sociedad civil»</w:t>
      </w:r>
      <w:r>
        <w:t xml:space="preserve"> (Discurso sobre el origen de la desigualdad, 1755, segunda parte)</w:t>
      </w:r>
      <w:r>
        <w:t>. En su pacto, nadie cede la libertad a un tercero: cada uno se somete a la voluntad general, y en ella recupera, según él, una libertad más alta. La expresión «buen salvaje», que suele atribuírsele, no está en El contrato social.</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t xml:space="preserve"> (Del contrato social II, 3)</w:t>
      </w:r>
      <w:r>
        <w:t>. No es una votación cualquiera: es lo que queda cuando los intereses particulares se anulan entre sí. Es una condición exigente.</w:t>
      </w:r>
    </w:p>
    <w:p>
      <w:r>
        <w:rPr>
          <w:b/>
        </w:rPr>
        <w:t>La frase peligrosa.</w:t>
      </w:r>
      <w:r>
        <w:t xml:space="preserve"> Para que el pacto no sea «un formulario vano»</w:t>
      </w:r>
      <w:r>
        <w:t>, encierra un compromiso: «quien se niegue a obedecer a la voluntad general será obligado a ello por todo el cuerpo, lo cual no significa otra cosa sino que se le forzará a ser libre»</w:t>
      </w:r>
      <w:r>
        <w:t xml:space="preserve"> (Del contrato social I, 7)</w:t>
      </w:r>
      <w:r>
        <w:t>. Rousseau la escribió como garantía. Separada de la condición anterior, abre la puerta a que quien se declare portavoz de la voluntad general use la fuerza en su nombre.</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Es «una mera idea de la razón, que tiene, sin embargo, su indudable realidad (práctica)»</w:t>
      </w:r>
      <w:r>
        <w:t>: obliga a cada legislador a dictar sus leyes como si hubieran podido nacer de la voluntad unida de todo un pueblo</w:t>
      </w:r>
      <w:r>
        <w:t xml:space="preserve"> (Kant, Sobre el dicho común: esto puede ser correcto en teoría, pero no sirve para la práctica, 1793, edición de la Academia, VIII, 297)</w:t>
      </w:r>
      <w:r>
        <w:t>.</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t xml:space="preserve"> (Hume, «Of the Original Contract» (Del contrato original), párr. 9)</w:t>
      </w:r>
      <w:r>
        <w:t>. La palabra «ficción» no está en su ensayo.</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n.º 13).</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y también recaudar dinero para la Corona «sin concesión del Parlamento»</w:t>
      </w:r>
      <w:r>
        <w:t xml:space="preserve"> (Bill of Rights (Declaración de Derechos), 1689)</w:t>
      </w:r>
      <w:r>
        <w:t xml:space="preserve">. Al año siguiente, Locke publicó su tratado con el prefacio ya visto. </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Entre los agravios contra el rey, «imponernos impuestos sin nuestro consentimiento»</w:t>
      </w:r>
      <w:r>
        <w:t xml:space="preserve"> (Declaración de Independencia, 4 de julio de 1776, transcripción de los Archivos Nacionales de Estados Unidos)</w:t>
      </w:r>
      <w:r>
        <w:t xml:space="preserve">. </w:t>
      </w:r>
    </w:p>
    <w:p>
      <w:pPr>
        <w:pStyle w:val="ListBullet"/>
      </w:pPr>
      <w:r>
        <w:rPr>
          <w:b/>
        </w:rPr>
        <w:t>Francia, 1789.</w:t>
      </w:r>
      <w:r>
        <w:t xml:space="preserve"> «Toda sociedad en la que la garantía de los derechos no está asegurada, ni la separación de poderes determinada, no tiene Constitución»</w:t>
      </w:r>
      <w:r>
        <w:t xml:space="preserve"> (Declaración de los Derechos del Hombre y del Ciudadano, 26 de agosto de 1789, art. 16)</w:t>
      </w:r>
      <w:r>
        <w:t xml:space="preserve">. </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t xml:space="preserve"> (Robespierre, discurso sobre la guerra, 2 de enero de 1792)</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t xml:space="preserve"> (Straehle, «Rousseau y Robespierre», Anales del Seminario de Historia de la Filosofía, 40 (</w:t>
      </w:r>
      <w:r>
        <w:t>3</w:t>
      </w:r>
      <w:r>
        <w:t>), 2023; fuente secundaria)</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t xml:space="preserve"> (Berlin, «Two Concepts of Liberty» (Dos conceptos de libertad), 1958, borrador E, Isaiah Berlin Virtual Library; fuente secundaria)</w:t>
      </w:r>
      <w:r>
        <w:t>.</w:t>
      </w:r>
    </w:p>
    <w:p>
      <w:r>
        <w:t>El caso de 1793, con sus documentos, se ve en el nivel completo: una Constitución de derechos que se apartó, otra que nunca entró en vigor y la propuesta de un gobierno revolucionario «hasta la paz».</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r>
        <w:rPr>
          <w:b/>
        </w:rPr>
        <w:t>Lectura del autor:</w:t>
      </w:r>
      <w:r>
        <w:t xml:space="preserve"> el patrón de 1793, tomar la parte de una idea que legitima y dejar la que limita, no es solo de entonces. Es la forma de la maniobra camuflada (</w:t>
      </w:r>
      <w:r>
        <w:t>5.1</w:t>
      </w:r>
      <w:r>
        <w:t>): el nombre dice «voluntad del pueblo», y el hecho dice otra cosa.</w:t>
      </w:r>
    </w:p>
    <w:p>
      <w:r>
        <w:t>El caso de un pacto que sí se negoció, la Constitución española de 1978, se ve en el nivel completo.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t xml:space="preserve"> (Lewis y Short, A Latin Dictionary (Diccionario latino), s. v. «augeo»)</w:t>
      </w:r>
      <w:r>
        <w:t xml:space="preserve">. El </w:t>
      </w:r>
      <w:r>
        <w:rPr>
          <w:i/>
        </w:rPr>
        <w:t>auctor</w:t>
      </w:r>
      <w:r>
        <w:t xml:space="preserve"> era «el que da existencia a algo, o promueve su aumento o su prosperidad»</w:t>
      </w:r>
      <w:r>
        <w:t xml:space="preserve"> (s. v. «auctor»)</w:t>
      </w:r>
      <w:r>
        <w:t xml:space="preserve">. Desde aquí, la edición llama </w:t>
      </w:r>
      <w:r>
        <w:rPr>
          <w:i/>
        </w:rPr>
        <w:t>auctoritas</w:t>
      </w:r>
      <w:r>
        <w:t xml:space="preserve"> a la autoridad que se gana haciendo crecer a quienes la sostienen (</w:t>
      </w:r>
      <w:r>
        <w:t>H.7</w:t>
      </w:r>
      <w:r>
        <w:t>). Los registros son una herramienta real del poder; pero la palabra no nació para eso, sino para nombrar a quien hace prosperar.</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t xml:space="preserve"> (Convención sobre Derechos y Deberes de los Estados, Montevideo, 26-12-1933, art. 1)</w:t>
      </w:r>
      <w:r>
        <w:t>.</w:t>
      </w:r>
    </w:p>
    <w:p>
      <w:pPr>
        <w:pStyle w:val="ListBullet"/>
      </w:pPr>
      <w:r>
        <w:rPr>
          <w:b/>
        </w:rPr>
        <w:t>El reconocimiento.</w:t>
      </w:r>
      <w:r>
        <w:t xml:space="preserve"> «La existencia política del Estado es independiente de su reconocimiento por los demás Estados»</w:t>
      </w:r>
      <w:r>
        <w:t xml:space="preserve"> (art. 3)</w:t>
      </w:r>
      <w:r>
        <w:t>. Reconocer a un Estado solo significa que quien lo reconoce «acepta la personalidad del otro»</w:t>
      </w:r>
      <w:r>
        <w:t xml:space="preserve"> (art. 6)</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t xml:space="preserve"> (Tribunal Arbitral Mixto germano-polaco, Deutsche Continental-Gas-Gesellschaft contra el Estado polaco, 1929, publicado en la Zeitschrift für ausländisches öffentliches Recht und Völkerrecht, 1931)</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ahora entre Estados.</w:t>
      </w:r>
    </w:p>
    <w:p>
      <w:r>
        <w:rPr>
          <w:b/>
        </w:rPr>
        <w:t>Lo que la conquista dejó escrito.</w:t>
      </w:r>
      <w:r>
        <w:t xml:space="preserve"> En 1933, los Estados firmantes se obligaron a «no reconocer las adquisiciones territoriales o de ventajas especiales que se realicen por la fuerza»</w:t>
      </w:r>
      <w:r>
        <w:t xml:space="preserve"> (Montevideo, art. 11)</w:t>
      </w:r>
      <w:r>
        <w:t>. En 1945, la Carta de las Naciones Unidas obligó a sus miembros a abstenerse «de recurrir a la amenaza o al uso de la fuerza contra la integridad territorial o la independencia política de cualquier Estado»</w:t>
      </w:r>
      <w:r>
        <w:t xml:space="preserve"> (Carta de las Naciones Unidas, art. 2.4)</w:t>
      </w:r>
      <w:r>
        <w:t>. Que hiciera falta prohibirlo indica que antes era práctica habitual, como había escrito Hume (</w:t>
      </w:r>
      <w:r>
        <w:t>6.1</w:t>
      </w:r>
      <w:r>
        <w:t>).</w:t>
      </w:r>
    </w:p>
    <w:p>
      <w:r>
        <w:rPr>
          <w:b/>
        </w:rPr>
        <w:t>Lo mismo, dentro del orden de las leyes.</w:t>
      </w:r>
      <w:r>
        <w:t xml:space="preserve"> La norma que se declara superior a la costumbre también se da validez a sí misma. Se vio en 1.7: el Código Civil de 1889, art. 5, y el Ordenamiento de Alcalá, de 1348.</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t xml:space="preserve"> (Deputy Commissioner of Taxation v Casley [2017] WASC 161, 16-6-2017, párrs. 3, 5, 12, 20 y 22; Casley v Deputy Commissioner of Taxation [2017] WASCA 196, 20-10-2017 (recurso desestimado))</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t xml:space="preserve"> (Martina Calabrese, La Repubblica Esperantista dell'Isola delle Rose. Storia di una micronazione, CRIO Papers 74, Universidad de Catania, 2024; fuente secundaria)</w:t>
      </w:r>
      <w:r>
        <w:t>. Es una sola fuente académica, hecha sobre prensa y libros divulgativos, y otra versión da el 24 de junio para la declaración de independencia. La obra no propone ese camino: lo descartó (</w:t>
      </w:r>
      <w:r>
        <w:t>2.6</w:t>
      </w:r>
      <w:r>
        <w:t xml:space="preserve">; </w:t>
      </w:r>
      <w:r>
        <w:t>anexo E</w:t>
      </w:r>
      <w:r>
        <w:t>).</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para colocarse en la de ser superior. El patrón está documentado, con fecha, en civilizaciones sin relación entre sí.</w:t>
      </w:r>
    </w:p>
    <w:p>
      <w:pPr>
        <w:pStyle w:val="ListBullet"/>
      </w:pPr>
      <w:r>
        <w:rPr>
          <w:b/>
        </w:rPr>
        <w:t>Egipto.</w:t>
      </w:r>
      <w:r>
        <w:t xml:space="preserve"> Desde el día de su coronación, el faraón llevaba entre sus títulos el de «Hijo de Ra»</w:t>
      </w:r>
      <w:r>
        <w:t>: así lo fija el decreto de coronación de Tutmosis I</w:t>
      </w:r>
      <w:r>
        <w:t xml:space="preserve"> (J. H. Breasted, Ancient Records of Egypt (Documentos antiguos de Egipto), vol. II, 1906, §§ 54-60)</w:t>
      </w:r>
      <w:r>
        <w:t>. Su título más antiguo, «Horus», lo presentaba como sucesor del dios que había gobernado el reino</w:t>
      </w:r>
      <w:r>
        <w:t xml:space="preserve"> (Breasted, A History of Egypt (Historia de Egipto), 1909, p. 38)</w:t>
      </w:r>
      <w:r>
        <w:t>.</w:t>
      </w:r>
    </w:p>
    <w:p>
      <w:pPr>
        <w:pStyle w:val="ListBullet"/>
      </w:pPr>
      <w:r>
        <w:rPr>
          <w:b/>
        </w:rPr>
        <w:t>Roma.</w:t>
      </w:r>
      <w:r>
        <w:t xml:space="preserve"> Augusto escribió que, desde entonces, superó a todos «en dignidad», pero que no tuvo «más poder que los que fueron también mis colegas en cada magistratura»</w:t>
      </w:r>
      <w:r>
        <w:t xml:space="preserve"> (Res Gestae divi Augusti (Hechos del divino Augusto), 34)</w:t>
      </w:r>
      <w:r>
        <w:t>. Menos de un siglo después, Domiciano dictaba cartas que empezaban así: «Nuestro señor y dios ordena que se haga esto»</w:t>
      </w:r>
      <w:r>
        <w:t xml:space="preserve"> (Suetonio, Domiciano 13)</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t xml:space="preserve"> (rescripto imperial de 1 de enero de 1946; traducción inglesa en Foreign Relations of the United States, 1946, vol. VIII, doc. 138)</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t xml:space="preserve"> (C. B. Coleman, The Treatise of Lorenzo Valla on the Donation of Constantine (El tratado de Lorenzo Valla sobre la Donación de Constantino), 1922)</w:t>
      </w:r>
      <w:r>
        <w:t>. Y un documento auténtico, el Dictatus Papae de 1075, reclamó para el papa «que le es lícito deponer a los emperadores»</w:t>
      </w:r>
      <w:r>
        <w:t xml:space="preserve"> (Dictatus Papae, XII, ed. Caspar, 1920)</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t xml:space="preserve"> (Jacobo VI, The True Law of Free Monarchies (La verdadera ley de las monarquías libres), 1598, ed. McIlwain, 1918)</w:t>
      </w:r>
      <w:r>
        <w:t>.</w:t>
      </w:r>
    </w:p>
    <w:p>
      <w:pPr>
        <w:pStyle w:val="ListBullet"/>
      </w:pPr>
      <w:r>
        <w:rPr>
          <w:b/>
        </w:rPr>
        <w:t>El Estado moderno.</w:t>
      </w:r>
      <w:r>
        <w:t xml:space="preserve"> Su teórico fundacional lo llamó «Dios mortal» (</w:t>
      </w:r>
      <w:r>
        <w:t>6.1</w:t>
      </w:r>
      <w:r>
        <w:t>).</w:t>
      </w:r>
    </w:p>
    <w:p>
      <w:r>
        <w:rPr>
          <w:b/>
        </w:rPr>
        <w:t>El freno, dentro de las mismas tradiciones.</w:t>
      </w:r>
    </w:p>
    <w:p>
      <w:pPr>
        <w:pStyle w:val="ListBullet"/>
      </w:pPr>
      <w:r>
        <w:t>«Di: "Yo soy sólo un mortal como vosotros, a quien se ha revelado…"»</w:t>
      </w:r>
      <w:r>
        <w:t xml:space="preserve"> (Corán 18:110, traducción de Julio Cortés)</w:t>
      </w:r>
      <w:r>
        <w:t>.</w:t>
      </w:r>
    </w:p>
    <w:p>
      <w:pPr>
        <w:pStyle w:val="ListBullet"/>
      </w:pPr>
      <w:r>
        <w:t>«Mi reino no es de este mundo»</w:t>
      </w:r>
      <w:r>
        <w:t xml:space="preserve"> (Jn 18:36)</w:t>
      </w:r>
      <w:r>
        <w:t>.</w:t>
      </w:r>
    </w:p>
    <w:p>
      <w:pPr>
        <w:pStyle w:val="ListBullet"/>
      </w:pPr>
      <w:r>
        <w:t>Y el príncipe Siddhattha, el futuro Buda, dejó el palacio la noche que el texto llama «la Gran Renuncia»</w:t>
      </w:r>
      <w:r>
        <w:t xml:space="preserve"> (Nidānakathā, traducción de T. W. Rhys Davids, 1880)</w:t>
      </w:r>
      <w:r>
        <w:t>.</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t xml:space="preserve"> (Marco Aurelio, Meditaciones I, 7)</w:t>
      </w:r>
      <w:r>
        <w:t>.</w:t>
      </w:r>
    </w:p>
    <w:p>
      <w:pPr>
        <w:pStyle w:val="ListBullet"/>
      </w:pPr>
      <w:r>
        <w:rPr>
          <w:b/>
        </w:rPr>
        <w:t>Ciro</w:t>
      </w:r>
      <w:r>
        <w:t>, en su cilindro: «mis numerosas tropas marchaban en paz por Babilonia, y todo [Sumer] y Acad no tuvo nada que temer»</w:t>
      </w:r>
      <w:r>
        <w:t xml:space="preserve"> (Cilindro de Ciro, traducción de I. Finkel, Museo Británico)</w:t>
      </w:r>
      <w:r>
        <w:t>. Es su propia versión: la de un conquistador.</w:t>
      </w:r>
    </w:p>
    <w:p>
      <w:pPr>
        <w:pStyle w:val="ListBullet"/>
      </w:pPr>
      <w:r>
        <w:rPr>
          <w:b/>
        </w:rPr>
        <w:t>Ashoka</w:t>
      </w:r>
      <w:r>
        <w:t xml:space="preserve"> describió su propia guerra: «cien mil fueron los que murieron allí, y muchas veces más los que perecieron»</w:t>
      </w:r>
      <w:r>
        <w:t>. Después, dice, vino «un estudio celoso de la moral»</w:t>
      </w:r>
      <w:r>
        <w:t xml:space="preserve"> (Ashoka, edicto de roca XIII, traducción de E. Hultzsch, 1925)</w:t>
      </w:r>
      <w:r>
        <w:t>.</w:t>
      </w:r>
    </w:p>
    <w:p>
      <w:pPr>
        <w:pStyle w:val="ListBullet"/>
      </w:pPr>
      <w:r>
        <w:rPr>
          <w:b/>
        </w:rPr>
        <w:t>El Dalai Lama</w:t>
      </w:r>
      <w:r>
        <w:t>, en 2011, puso fin a la doble autoridad, espiritual y política, de su institución, «por propia iniciativa»</w:t>
      </w:r>
      <w:r>
        <w:t xml:space="preserve"> (palabras del 19 de marzo de 2011)</w:t>
      </w:r>
      <w:r>
        <w:t>. Su biografía oficial dice que «se describe a sí mismo como un simple monje budista»</w:t>
      </w:r>
      <w:r>
        <w:t xml:space="preserve"> (dalailama.com, biografía breve)</w:t>
      </w:r>
      <w:r>
        <w:t>.</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(Sófocles, Edipo rey, 873)</w:t>
      </w:r>
      <w:r>
        <w:t>. Lo que no prueba: siete casos no hacen una ley; son casos con fecha y fuente, con sus límites.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t xml:space="preserve"> (Cordero Quinzacara y Aldunate Lizana, «Evolución histórica del concepto de propiedad», Revista de Estudios Histórico-Jurídicos, XXX, 2008, nota 50; fuente secundaria)</w:t>
      </w:r>
      <w:r>
        <w:t>.</w:t>
      </w:r>
    </w:p>
    <w:p>
      <w:r>
        <w:rPr>
          <w:b/>
        </w:rPr>
        <w:t>Locke: la propiedad nace del trabajo.</w:t>
      </w:r>
      <w:r>
        <w:t xml:space="preserve"> «Todo hombre tiene una propiedad en su propia persona: a ella nadie tiene derecho sino él mismo»</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t xml:space="preserve"> (Locke, Segundo tratado, § 27)</w:t>
      </w:r>
      <w:r>
        <w:t>. Esa condición se conoce como «cláusula lockeana». Si la propiedad existe antes del gobierno, y por una razón propia, el gobierno no la crea: la protege, o la viola.</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t xml:space="preserve"> (Declaración de Derechos de Virginia, art. I)</w:t>
      </w:r>
      <w:r>
        <w:t>.</w:t>
      </w:r>
    </w:p>
    <w:p>
      <w:pPr>
        <w:pStyle w:val="ListBullet"/>
      </w:pPr>
      <w:r>
        <w:rPr>
          <w:b/>
        </w:rPr>
        <w:t>El borrador de Jefferson.</w:t>
      </w:r>
      <w:r>
        <w:t xml:space="preserve"> «La preservación de la vida, y la libertad, y la búsqueda de la felicidad»</w:t>
      </w:r>
      <w:r>
        <w:t xml:space="preserve"> (borrador de la Declaración de Independencia, 1776, Biblioteca del Congreso)</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t xml:space="preserve"> (Declaración de 1789, art. 17)</w:t>
      </w:r>
      <w:r>
        <w:t>.</w:t>
      </w:r>
    </w:p>
    <w:p>
      <w:r>
        <w:rPr>
          <w:b/>
        </w:rPr>
        <w:t>Bodino: el límite del poder absoluto.</w:t>
      </w:r>
      <w:r>
        <w:t xml:space="preserve"> El mismo autor que definió la soberanía moderna como «el poder absoluto y perpetuo de una república»</w:t>
      </w:r>
      <w:r>
        <w:t xml:space="preserve"> (Bodino, Los seis libros de la república I, «De la soberanía», 1576)</w:t>
      </w:r>
      <w:r>
        <w:t xml:space="preserve"> escribió en ese mismo capítulo: «si el príncipe soberano no tiene poder para traspasar los límites de las leyes de la naturaleza, que Dios, de quien es imagen, ha puesto, tampoco podrá tomar el bien ajeno sin causa justa y razonable»</w:t>
      </w:r>
      <w:r>
        <w:t xml:space="preserve"> (edición de 1577)</w:t>
      </w:r>
      <w:r>
        <w:t>. Para su propio teórico, el poder más absoluto tenía encima la ley natural, y con ella, el bien ajeno: es el orden de las leyes (</w:t>
      </w:r>
      <w:r>
        <w:t>1.1</w:t>
      </w:r>
      <w:r>
        <w:t>).</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t xml:space="preserve"> (Decreto de las Cortes de Cádiz de 6 de agosto de 1811, art. 1, Gazeta de la Regencia de 12-9-1811)</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t xml:space="preserve"> (art. 5)</w:t>
      </w:r>
      <w:r>
        <w:t>.</w:t>
      </w:r>
    </w:p>
    <w:p>
      <w:pPr>
        <w:pStyle w:val="ListBullet"/>
      </w:pPr>
      <w:r>
        <w:rPr>
          <w:b/>
        </w:rPr>
        <w:t>El juez, a nadie en particular.</w:t>
      </w:r>
      <w:r>
        <w:t xml:space="preserve"> «En adelante nadie podrá llamarse señor de vasallos, exercer jurisdiccion, nombrar jueces…»</w:t>
      </w:r>
      <w:r>
        <w:t xml:space="preserve"> (art. 14)</w:t>
      </w:r>
      <w:r>
        <w:t>. La abolición del vasallaje (art. 4) ya se vio en 2.2.</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t xml:space="preserve"> (DPEJ, s. v. «legitimidad» y «deslegitimación»)</w:t>
      </w:r>
      <w:r>
        <w:t>. Weber distinguió «tres tipos puros de dominación legítima»</w:t>
      </w:r>
      <w:r>
        <w:t>: la legal, la tradicional y la carismática. Y observó que ninguna dominación se conforma con motivos materiales o afectivos para durar: «cada una procura más bien despertar y cultivar la creencia en su "legitimidad"»</w:t>
      </w:r>
      <w:r>
        <w:t xml:space="preserve"> (Weber, Economía y sociedad, 1922, cap. III, §§ 1 y 2)</w:t>
      </w:r>
      <w:r>
        <w:t>. La frase que circula, «es la creencia la que constituye la legitimidad», no está así en su texto.</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r>
        <w:rPr>
          <w:b/>
        </w:rPr>
        <w:t>Lectura del autor:</w:t>
      </w:r>
      <w:r>
        <w:t xml:space="preserve"> si el poder procura que se crea en él, lo que se sostiene solo en la creencia se disuelve cuando se pide la prueba (</w:t>
      </w:r>
      <w:r>
        <w:t>5.5</w:t>
      </w:r>
      <w:r>
        <w:t>).</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t xml:space="preserve"> (Ibn Jaldún, Muqaddima, libro I, cap. 2, secciones 17 y 18, y cap. 3, sección 14)</w:t>
      </w:r>
      <w:r>
        <w:t>.</w:t>
      </w:r>
    </w:p>
    <w:p>
      <w:pPr>
        <w:pStyle w:val="ListBullet"/>
      </w:pPr>
      <w:r>
        <w:rPr>
          <w:b/>
        </w:rPr>
        <w:t>Oppenheimer</w:t>
      </w:r>
      <w:r>
        <w:t xml:space="preserve"> (1907). Llamó «medio económico» al trabajo propio y al intercambio de lo equivalente, y «medio político» a «la apropiación no retribuida del trabajo ajeno»</w:t>
      </w:r>
      <w:r>
        <w:t>. Y escribió que el Estado, en su origen, es una institución «impuesta por un grupo humano vencedor a un grupo humano vencido»</w:t>
      </w:r>
      <w:r>
        <w:t xml:space="preserve"> (Franz Oppenheimer, Der Staat (El Estado), 1907)</w:t>
      </w:r>
      <w:r>
        <w:t>.</w:t>
      </w:r>
    </w:p>
    <w:p>
      <w:pPr>
        <w:pStyle w:val="ListBullet"/>
      </w:pPr>
      <w:r>
        <w:rPr>
          <w:b/>
        </w:rPr>
        <w:t>Michels</w:t>
      </w:r>
      <w:r>
        <w:t xml:space="preserve"> (1911). Estudiando los partidos socialistas, escribió: «quien dice organización dice, de todos modos, tendencia a la oligarquía»</w:t>
      </w:r>
      <w:r>
        <w:t>. Es lo que llamó «la ley de hierro de la oligarquía»</w:t>
      </w:r>
      <w:r>
        <w:t xml:space="preserve"> (Robert Michels, Zur Soziologie des Parteiwesens (Sociología del partido político), 1911)</w:t>
      </w:r>
      <w:r>
        <w:t>.</w:t>
      </w:r>
    </w:p>
    <w:p>
      <w:pPr>
        <w:pStyle w:val="ListBullet"/>
      </w:pPr>
      <w:r>
        <w:rPr>
          <w:b/>
        </w:rPr>
        <w:t>Pareto y Mosca.</w:t>
      </w:r>
      <w:r>
        <w:t xml:space="preserve"> Pareto habló de la «circulación de las clases selectas»</w:t>
      </w:r>
      <w:r>
        <w:t xml:space="preserve"> (Vilfredo Pareto, Trattato di sociologia generale (Tratado de sociología general), 1916)</w:t>
      </w:r>
      <w:r>
        <w:t>; Mosca, del predominio de «las minorías organizadas sobre las mayorías»</w:t>
      </w:r>
      <w:r>
        <w:t xml:space="preserve"> (Gaetano Mosca, Elementi di scienza politica (Elementos de ciencia política), 2.ª ed., 1923, cap. II)</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los de acceso abierto se sostienen con la competencia política y económica, y en los últimos trescientos años se han desarrollado en «unas dos docenas de países»</w:t>
      </w:r>
      <w:r>
        <w:t xml:space="preserve"> (North, Wallis y Weingast, A Conceptual Framework for Interpreting Recorded Human History (Un marco conceptual para interpretar la historia humana registrada), documento de trabajo NBER 12795, 2006)</w:t>
      </w:r>
      <w:r>
        <w:t>. Un estudio de 2023 lo midió: «treinta y cinco países de 161 fueron calificados en 2020 como órdenes de acceso abierto»</w:t>
      </w:r>
      <w:r>
        <w:t>, con Suiza en cabeza</w:t>
      </w:r>
      <w:r>
        <w:t xml:space="preserve"> (Murphy, «Measuring open access orders» (Medir los órdenes de acceso abierto), Journal of Institutional Economics, 2023, resumen)</w:t>
      </w:r>
      <w:r>
        <w:t>.</w:t>
      </w:r>
    </w:p>
    <w:p>
      <w:r>
        <w:t>El patrón de extracción es real y lo describen pensadores de épocas y lugares distintos. Pero no es universal ni inevitable: la pregunta útil no es si todo es igual, sino en qué punto de la escala está cada país, y con qué datos se comprueba.</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t xml:space="preserve"> (Constitución, art. 122.3)</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t xml:space="preserve"> (Ley Orgánica del Poder Judicial, art. 567.1)</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t xml:space="preserve"> (STC 108/1986, FJ 13)</w:t>
      </w:r>
      <w:r>
        <w:t>.</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t xml:space="preserve"> (Ley Orgánica 8/2007, art. 3)</w:t>
      </w:r>
      <w:r>
        <w:t>. Las donaciones privadas no pueden superar 50.000 euros al año por persona, ni venir de personas jurídicas</w:t>
      </w:r>
      <w:r>
        <w:t xml:space="preserve"> (art. 5)</w:t>
      </w:r>
      <w:r>
        <w:t>.</w:t>
      </w:r>
    </w:p>
    <w:p>
      <w:pPr>
        <w:pStyle w:val="ListBullet"/>
      </w:pPr>
      <w:r>
        <w:rPr>
          <w:b/>
        </w:rPr>
        <w:t>Quién controla.</w:t>
      </w:r>
      <w:r>
        <w:t xml:space="preserve"> El Tribunal de Cuentas puede sancionar a un partido</w:t>
      </w:r>
      <w:r>
        <w:t xml:space="preserve"> (art. 17)</w:t>
      </w:r>
      <w:r>
        <w:t>, con la redacción de las Leyes Orgánicas 5/2012 y 3/2015. Pero si el partido recurre ante el Supremo, «la interposición del recurso suspenderá automáticamente la ejecución»</w:t>
      </w:r>
      <w:r>
        <w:t xml:space="preserve"> (art. 18)</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t xml:space="preserve"> (Tribunal de Cuentas, fiscalización de los partidos políticos, ejercicio 2017, BOE de 2-7-2024)</w:t>
      </w:r>
      <w:r>
        <w:t>. Es la media de los porcentajes de cada formación, no el reparto del dinero total.</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t xml:space="preserve"> (Tribunal de Cuentas, listados de procedimientos sancionadores de contabilidad electoral, elecciones locales de 2015 (noviembre de 2022) y de 2019 (diciembre de 2022); recuento de la obra)</w:t>
      </w:r>
      <w:r>
        <w:t>.</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t xml:space="preserve"> (Ley Orgánica 2/1982, art. 30.1)</w:t>
      </w:r>
      <w:r>
        <w:t>. Es el mismo mecanismo que el del Consejo General del Poder Judicial: no son tres diseños distintos, sino uno, repetido. A su favor: si el nombramiento recae en un diputado o senador, «antes de tomar posesión, habrá de renunciar a su escaño»</w:t>
      </w:r>
      <w:r>
        <w:t xml:space="preserve"> (art. 33.2)</w:t>
      </w:r>
      <w:r>
        <w:t>.</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t xml:space="preserve"> (Ley Orgánica del Régimen Electoral General, art. 169.3, en la redacción de la Ley Orgánica 2/2011)</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t xml:space="preserve"> (STC 163/2011)</w:t>
      </w:r>
      <w:r>
        <w:t>. El Tribunal Europeo de Derechos Humanos, que el 0,1 % es «considerablemente más bajo que el máximo del 1%» que indica la Comisión de Venecia</w:t>
      </w:r>
      <w:r>
        <w:t xml:space="preserve"> (Soberanía de la Razón y otros contra España, decisión de 26-5-2015, traducción del Ministerio de Justicia)</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t xml:space="preserve"> (art. 175)</w:t>
      </w:r>
      <w:r>
        <w:t>; los adelantos, solo a quien ya las obtuvo en las últimas elecciones</w:t>
      </w:r>
      <w:r>
        <w:t xml:space="preserve"> (art. 127 bis)</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t xml:space="preserve"> (art. 64)</w:t>
      </w:r>
      <w:r>
        <w:t>.</w:t>
      </w:r>
    </w:p>
    <w:p>
      <w:pPr>
        <w:pStyle w:val="ListBullet"/>
      </w:pPr>
      <w:r>
        <w:rPr>
          <w:b/>
        </w:rPr>
        <w:t>El reparto de escaños.</w:t>
      </w:r>
      <w:r>
        <w:t xml:space="preserve"> No cuentan las candidaturas que no lleguen al «3 por 100 de los votos válidos emitidos en la circunscripción»</w:t>
      </w:r>
      <w:r>
        <w:t xml:space="preserve"> (art. 163.1)</w:t>
      </w:r>
      <w:r>
        <w:t>. El legislador de 1977 declaró su fin: la regla d'Hondt «ya supone un poderoso corrector del excesivo fraccionamiento de las representaciones parlamentarias», y «a esta misma finalidad» responde el umbral</w:t>
      </w:r>
      <w:r>
        <w:t xml:space="preserve"> (Real Decreto-ley 20/1977, preámbulo)</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t xml:space="preserve"> (Consejo de Estado, informe sobre las propuestas de modificación del régimen electoral general, 24-2-2009)</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t xml:space="preserve"> (Constitución, art. 159.1)</w:t>
      </w:r>
      <w:r>
        <w:t>. Los del Senado, «entre las candidaturas presentadas por las Asambleas Legislativas de las comunidades autónomas»</w:t>
      </w:r>
      <w:r>
        <w:t xml:space="preserve"> (Ley Orgánica 2/1979, del Tribunal Constitucional, art. 16.1)</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t xml:space="preserve"> (STC 5/2004)</w:t>
      </w:r>
      <w:r>
        <w:t>. También cabe cuando un partido «vulnere de forma continuada, reiterada y grave la exigencia de una estructura interna y un funcionamiento democráticos»</w:t>
      </w:r>
      <w:r>
        <w:t xml:space="preserve"> (Ley Orgánica 6/2002, art. 10.2.b)</w:t>
      </w:r>
      <w:r>
        <w:t>. Pero solo pueden pedirlo «el Gobierno y el Ministerio Fiscal»; el Congreso o el Senado pueden instar al Gobierno a pedirlo, y solo por las causas del art. 9</w:t>
      </w:r>
      <w:r>
        <w:t xml:space="preserve"> (art. 11.1)</w:t>
      </w:r>
      <w:r>
        <w:t>. Ni los afiliados ni los ciudadanos. No se ha localizado ninguna sentencia por falta de democracia interna; la búsqueda no prueba que no exista.</w:t>
      </w:r>
    </w:p>
    <w:p>
      <w:r>
        <w:rPr>
          <w:b/>
        </w:rPr>
        <w:t>6. La iniciativa legislativa popular.</w:t>
      </w:r>
      <w:r>
        <w:t xml:space="preserve"> Hacen falta «al menos, 500.000 electores»</w:t>
      </w:r>
      <w:r>
        <w:t xml:space="preserve"> (Ley Orgánica 3/1984, art. 3.1)</w:t>
      </w:r>
      <w:r>
        <w:t>. Pero están excluidas, entre otras, las materias que «según la Constitución, son propias de Leyes Orgánicas» y «las de naturaleza tributaria»</w:t>
      </w:r>
      <w:r>
        <w:t xml:space="preserve"> (art. 2)</w:t>
      </w:r>
      <w:r>
        <w:t>. La ley electoral y la del poder judicial son orgánicas: ningún ciudadano puede proponer por esta vía cambiar cómo se elige a sus representantes ni cómo se elige al Consejo General del Poder Judicial. Tampoco un impuesto.</w:t>
      </w:r>
    </w:p>
    <w:p>
      <w:r>
        <w:rPr>
          <w:b/>
        </w:rPr>
        <w:t>7. Lo público tratado como propio, medido de lejos.</w:t>
      </w:r>
    </w:p>
    <w:p>
      <w:pPr>
        <w:pStyle w:val="ListBullet"/>
      </w:pPr>
      <w:r>
        <w:rPr>
          <w:b/>
        </w:rPr>
        <w:t>El concepto.</w:t>
      </w:r>
      <w:r>
        <w:t xml:space="preserve"> Weber llamó patrimonialismo a una de las formas de la dominación tradicional</w:t>
      </w:r>
      <w:r>
        <w:t xml:space="preserve"> (Weber, Economía y sociedad, 1922, cap. III, § 7a)</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t xml:space="preserve"> (Banco Mundial, Worldwide Governance Indicators (Indicadores mundiales de gobernanza), «Control of Corruption», puntuación de 0 a 100, edición de 2026)</w:t>
      </w:r>
      <w:r>
        <w:t>. Transparencia Internacional, 55 sobre 100 en 2025, «un punto menos que en el IPC 2024 y cinco menos que en el IPC 2023», en el puesto 49 de 182</w:t>
      </w:r>
      <w:r>
        <w:t xml:space="preserve"> (Transparencia Internacional España, Índice de Percepción de la Corrupción 2025)</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t xml:space="preserve"> (CGPJ, Boletín de información estadística n.º 56, junio de 2018; Tribunal Europeo de Derechos Humanos, Violations by Article and by State 1959-2017 (Violaciones por artículo y por Estado) y Analysis of Statistics 2017 (Análisis de las estadísticas de 2017))</w:t>
      </w:r>
      <w:r>
        <w:t>.</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t xml:space="preserve"> (Montesquieu, Del espíritu de las leyes XI, 4, ed. de Nourse)</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A este último lo llamará, enseguida, «el poder de juzgar»</w:t>
      </w:r>
      <w:r>
        <w:t xml:space="preserve"> (XI, 6)</w:t>
      </w:r>
      <w:r>
        <w:t>.</w:t>
      </w:r>
    </w:p>
    <w:p>
      <w:pPr>
        <w:pStyle w:val="ListBullet"/>
      </w:pPr>
      <w:r>
        <w:rPr>
          <w:b/>
        </w:rPr>
        <w:t>Por qué separados.</w:t>
      </w:r>
      <w:r>
        <w:t xml:space="preserve"> Si el legislativo y el ejecutivo se reúnen en la misma persona o en el mismo cuerpo, «no hay libertad»</w:t>
      </w:r>
      <w:r>
        <w:t>; si el de juzgar se une al legislativo, «el poder sobre la vida y la libertad de los ciudadanos sería arbitrario, porque el juez sería legislador»</w:t>
      </w:r>
      <w:r>
        <w:t>; si se une al ejecutivo, «el juez podría tener la fuerza de un opresor»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t xml:space="preserve"> (XI, 6)</w:t>
      </w:r>
      <w:r>
        <w:t>.</w:t>
      </w:r>
    </w:p>
    <w:p>
      <w:pPr>
        <w:pStyle w:val="ListBullet"/>
      </w:pPr>
      <w:r>
        <w:rPr>
          <w:b/>
        </w:rPr>
        <w:t>Qué es la libertad política.</w:t>
      </w:r>
      <w:r>
        <w:t xml:space="preserve"> No la ausencia de poder: «la libertad es el derecho de hacer todo lo que las leyes permiten»</w:t>
      </w:r>
      <w:r>
        <w:t xml:space="preserve"> (XI, 3)</w:t>
      </w:r>
      <w:r>
        <w:t>.</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t xml:space="preserve"> (El Federalista, n.º 47, 1788)</w:t>
      </w:r>
      <w:r>
        <w:t>. Y la Declaración francesa de 1789 hizo de la separación de poderes una condición para que haya Constitución (</w:t>
      </w:r>
      <w:r>
        <w:t>6.1</w:t>
      </w:r>
      <w:r>
        <w:t xml:space="preserve">). Cuántas veces ha frenado de verdad en España, en los artículos auditados, se mide en </w:t>
      </w:r>
      <w:r>
        <w:t>7.4</w:t>
      </w:r>
      <w:r>
        <w:t>.</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usar el poder no para el bien de los gobernados, sino «para su propia ventaja privada y separada»</w:t>
      </w:r>
      <w:r>
        <w:t xml:space="preserve"> (Locke, Segundo tratado, § 199)</w:t>
      </w:r>
      <w:r>
        <w:t>.</w:t>
      </w:r>
    </w:p>
    <w:p>
      <w:pPr>
        <w:pStyle w:val="ListBullet"/>
      </w:pPr>
      <w:r>
        <w:rPr>
          <w:b/>
        </w:rPr>
        <w:t>No es vicio solo de reyes.</w:t>
      </w:r>
      <w:r>
        <w:t xml:space="preserve"> «Es un error pensar que esta falta es propia solo de las monarquías; otras formas de gobierno están expuestas a ella igual que esa»</w:t>
      </w:r>
      <w:r>
        <w:t xml:space="preserve"> (§ 201)</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t xml:space="preserve"> (§ 211)</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t xml:space="preserve"> (§ 222)</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t xml:space="preserve"> (§ 226)</w:t>
      </w:r>
      <w:r>
        <w:t>.</w:t>
      </w:r>
    </w:p>
    <w:p>
      <w:pPr>
        <w:pStyle w:val="ListBullet"/>
      </w:pPr>
      <w:r>
        <w:rPr>
          <w:b/>
        </w:rPr>
        <w:t>Cuando no queda juez en la tierra.</w:t>
      </w:r>
      <w:r>
        <w:t xml:space="preserve"> «La apelación no está entonces en ninguna parte sino en el cielo»</w:t>
      </w:r>
      <w:r>
        <w:t xml:space="preserve"> (§ 242)</w:t>
      </w:r>
      <w:r>
        <w:t>. Lo escribe casi al cerrar su tratado; el último párrafo (§ 243) recuerda que el poder que cada uno dio a la sociedad no vuelve a los individuos mientras la sociedad dure.</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w:t>
      </w:r>
    </w:p>
    <w:p>
      <w:pPr>
        <w:pStyle w:val="ListBullet"/>
      </w:pPr>
      <w:r>
        <w:rPr>
          <w:b/>
        </w:rPr>
        <w:t>Las declaraciones francesas.</w:t>
      </w:r>
      <w:r>
        <w:t xml:space="preserve"> La de 1789 lo puso entre los derechos naturales: «la libertad, la propiedad, la seguridad y la resistencia a la opresión»</w:t>
      </w:r>
      <w:r>
        <w:t xml:space="preserve"> (art. 2)</w:t>
      </w:r>
      <w:r>
        <w:t>. La de 1793: «la resistencia a la opresión es la consecuencia de los demás derechos del hombre»</w:t>
      </w:r>
      <w:r>
        <w:t xml:space="preserve"> (Constitución francesa de 24 de junio de 1793, declaración, art. 33)</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t xml:space="preserve"> (Declaración Universal de Derechos Humanos, 1948, preámbulo)</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t xml:space="preserve"> (Ley Fundamental de la República Federal de Alemania, art. 20.4)</w:t>
      </w:r>
      <w:r>
        <w:t>. La Constitución española no lo recoge.</w:t>
      </w:r>
    </w:p>
    <w:p>
      <w:r>
        <w:rPr>
          <w:b/>
        </w:rPr>
        <w:t>Lo que la obra hace con esto.</w:t>
      </w:r>
      <w:r>
        <w:t xml:space="preserve"> La obra no propone la rebelión ni la desobediencia, y no exime de ninguna obligación vigente (</w:t>
      </w:r>
      <w:r>
        <w:t>0.2</w:t>
      </w:r>
      <w:r>
        <w:t>). Su vía está antes de cualquier último recurso: la constancia escrita, la petición documentada y el juicio de opinión (capítulos 10 y 11). Lo que toma de Montesquieu y de Locke es la medida: un gobierno se juzga por si se deja frenar y por si cumple su encargo.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«Por sus frutos los conoceréis» (Mt 7:16).</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r>
        <w:br w:type="page"/>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la pregunta se descompone: «¿se cumple este mandato concreto, en los hechos, con fuente?». Y así, artículo por artículo, los 169.</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arts. 124 y 103.3). Ninguno de los 69 incumplimientos equivale a un rey que disuelve el Parlamento.</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t xml:space="preserve"> (Jackson, informe al presidente, 6-6-1945, Avalon Project)</w:t>
      </w:r>
      <w:r>
        <w:t>. Y en su discurso de apertura dijo al tribunal: «No les pediremos que condenen a estos hombres por el testimonio de sus enemigos. No hay cargo de la acusación que no pueda probarse con libros y registros»</w:t>
      </w:r>
      <w:r>
        <w:t xml:space="preserve"> (Jackson, discurso de apertura, 21-11-1945, Trial of the Major War Criminals, vol. II)</w:t>
      </w:r>
      <w:r>
        <w:t>. Uno de los fiscales lo contó después: Jackson pensaba llevar el juicio con testigos completados con documentos, y al ver la colección de documentos lo llevó «sobre todo con documentos completados con testigos»</w:t>
      </w:r>
      <w:r>
        <w:t xml:space="preserve"> (Whitney Harris, audiencia de la Fiscalía de la Corte Penal Internacional, 2003)</w:t>
      </w:r>
      <w:r>
        <w: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t xml:space="preserve"> (Constitución, art. 71.4)</w:t>
      </w:r>
      <w:r>
        <w:t>. En 2026, la asignación «idéntica para todos los Diputados» es de 3.366,99 euros al mes, más complementos</w:t>
      </w:r>
      <w:r>
        <w:t xml:space="preserve"> (Congreso de los Diputados, régimen económico)</w:t>
      </w:r>
      <w:r>
        <w:t>. El Reino Unido creó en 2009 un organismo independiente, la IPSA</w:t>
      </w:r>
      <w:r>
        <w:t xml:space="preserve"> (Parliamentary Standards Act 2009, art. 3)</w:t>
      </w:r>
      <w:r>
        <w:t xml:space="preserve">, que fija los sueldos de los diputados desde 2011. </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t xml:space="preserve"> (Constitución, art. 122.3)</w:t>
      </w:r>
      <w:r>
        <w:t>; hoy los veinte los eligen las Cortes (</w:t>
      </w:r>
      <w:r>
        <w:t>6.4</w:t>
      </w:r>
      <w:r>
        <w:t>). Su mandato caducó en diciembre de 2018 y no se renovó hasta junio de 2024 (</w:t>
      </w:r>
      <w:r>
        <w:t>anexo A</w:t>
      </w:r>
      <w:r>
        <w:t>, art. 122). El GRECO llamó a ese bloqueo «un asunto de preocupación crítica»</w:t>
      </w:r>
      <w:r>
        <w:t xml:space="preserve"> (GRECO, Cuarta Ronda, segunda adenda al segundo informe de cumplimiento, 2024)</w:t>
      </w:r>
      <w:r>
        <w:t>. La reforma de 2024 encargó al nuevo Consejo una propuesta de reforma del sistema de elección en seis meses</w:t>
      </w:r>
      <w:r>
        <w:t xml:space="preserve"> (Ley Orgánica 3/2024, disposición adicional única)</w:t>
      </w:r>
      <w:r>
        <w:t xml:space="preserve">. </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t xml:space="preserve"> (Tribunal Constitucional, Memoria 2025)</w:t>
      </w:r>
      <w:r>
        <w:t xml:space="preserve">: un filtro que no está en el art. 53.2 de la Constitución. </w:t>
      </w:r>
    </w:p>
    <w:p>
      <w:pPr>
        <w:spacing w:after="60"/>
        <w:ind w:left="510" w:hanging="397"/>
      </w:pPr>
      <w:r>
        <w:rPr>
          <w:b w:val="0"/>
        </w:rPr>
        <w:t xml:space="preserve">4. </w:t>
      </w:r>
      <w:r>
        <w:rPr>
          <w:b/>
        </w:rPr>
        <w:t>La deuda, primero.</w:t>
      </w:r>
      <w:r>
        <w:t xml:space="preserve"> El pago de la deuda pública «gozará de prioridad absoluta»</w:t>
      </w:r>
      <w:r>
        <w:t xml:space="preserve"> (Constitución, art. 135.3)</w:t>
      </w:r>
      <w:r>
        <w:t>, por la reforma de 2011, hecha sin referéndum. En 2025, las administraciones pagaron 40.314 millones en intereses e invirtieron 49.632</w:t>
      </w:r>
      <w:r>
        <w:t xml:space="preserve"> (Eurostat, cuentas de las administraciones públicas)</w:t>
      </w:r>
      <w:r>
        <w:t xml:space="preserve">: por cada 5 euros que se invierten, se pagan unos 4 en intereses, el 81 % (cálculo de la obra; </w:t>
      </w:r>
      <w:r>
        <w:t>8.6</w:t>
      </w:r>
      <w:r>
        <w:t xml:space="preserve">). </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t xml:space="preserve"> (Constitución, art. 128.1)</w:t>
      </w:r>
      <w:r>
        <w:t>. El rescate bancario costó, «a 31 de diciembre de 2021», 71.833 millones; los recursos públicos «ciertamente empleados» fueron 50.621 millones</w:t>
      </w:r>
      <w:r>
        <w:t xml:space="preserve"> (Tribunal de Cuentas, Informe n.º 1.513, BOE de 15-7-2025)</w:t>
      </w:r>
      <w:r>
        <w:t>. En 2019, el Banco de España daba 5.225 millones recuperados</w:t>
      </w:r>
      <w:r>
        <w:t xml:space="preserve"> (Banco de España, nota de ayudas financieras, 2019)</w:t>
      </w:r>
      <w:r>
        <w:t xml:space="preserve">. </w:t>
      </w:r>
    </w:p>
    <w:p>
      <w:pPr>
        <w:spacing w:after="60"/>
        <w:ind w:left="510" w:hanging="397"/>
      </w:pPr>
      <w:r>
        <w:rPr>
          <w:b w:val="0"/>
        </w:rPr>
        <w:t xml:space="preserve">6. </w:t>
      </w:r>
      <w:r>
        <w:rPr>
          <w:b/>
        </w:rPr>
        <w:t>La inviolabilidad.</w:t>
      </w:r>
      <w:r>
        <w:t xml:space="preserve"> «La persona del Rey es inviolable y no está sujeta a responsabilidad»</w:t>
      </w:r>
      <w:r>
        <w:t xml:space="preserve"> (Constitución, art. 56.3)</w:t>
      </w:r>
      <w:r>
        <w:t>. La Fiscalía del Supremo archivó en 2022 sus diligencias sobre el anterior Jefe del Estado: unas por prescripción, y lo anterior al 19 de junio de 2014 porque estaba «protegido por la inviolabilidad»</w:t>
      </w:r>
      <w:r>
        <w:t xml:space="preserve"> (Fiscalía General del Estado, nota de 2-3-2022)</w:t>
      </w:r>
      <w:r>
        <w:t>; en 2025, el Supremo inadmitió una querella con el mismo límite</w:t>
      </w:r>
      <w:r>
        <w:t xml:space="preserve"> (auto del Tribunal Supremo de 24-4-2025)</w:t>
      </w:r>
      <w:r>
        <w:t xml:space="preserve">. Ningún tribunal ha examinado nada anterior a esa fecha. </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t xml:space="preserve"> (Real Decreto 297/2022)</w:t>
      </w:r>
      <w:r>
        <w:t xml:space="preserve">. No una ley. </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t xml:space="preserve"> (TEDH, Stern Taulats y Roura Capellera c. España, 13-3-2018, traducción del Ministerio de Justicia)</w:t>
      </w:r>
      <w:r>
        <w:t xml:space="preserve">. </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t xml:space="preserve"> (STC 148/2021)</w:t>
      </w:r>
      <w:r>
        <w:t>. Del segundo estado de alarma anuló, entre otros, la delegación en las autoridades autonómicas</w:t>
      </w:r>
      <w:r>
        <w:t xml:space="preserve"> (STC 183/2021)</w:t>
      </w:r>
      <w:r>
        <w:t xml:space="preserve">. </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t xml:space="preserve"> (STC 182/2021, FJ 6)</w:t>
      </w:r>
      <w:r>
        <w:t xml:space="preserve">. </w:t>
      </w:r>
    </w:p>
    <w:p>
      <w:pPr>
        <w:spacing w:after="60"/>
        <w:ind w:left="510" w:hanging="397"/>
      </w:pPr>
      <w:r>
        <w:rPr>
          <w:b w:val="0"/>
        </w:rPr>
        <w:t xml:space="preserve">11. </w:t>
      </w:r>
      <w:r>
        <w:rPr>
          <w:b/>
        </w:rPr>
        <w:t>La Administración.</w:t>
      </w:r>
      <w:r>
        <w:t xml:space="preserve"> La Administración «sirve con objetividad los intereses generales»</w:t>
      </w:r>
      <w:r>
        <w:t xml:space="preserve"> (Constitución, art. 103.1)</w:t>
      </w:r>
      <w:r>
        <w:t>. El Tribunal de Cuentas fiscalizó la contratación menor en 2026</w:t>
      </w:r>
      <w:r>
        <w:t xml:space="preserve"> (Informe n.º 1.670, aprobado el 26-2-2026)</w:t>
      </w:r>
      <w:r>
        <w:t>, y sobre la Cuenta General de 2024 advirtió que la Seguridad Social tiene un patrimonio neto negativo de 106.138,7 millones y que el resultado presupuestario consolidado está «sobrevalorado en 4.090,3 millones»</w:t>
      </w:r>
      <w:r>
        <w:t xml:space="preserve"> (Tribunal de Cuentas, Declaración sobre la Cuenta General del Estado de 2024)</w:t>
      </w:r>
      <w:r>
        <w:t xml:space="preserve">. </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t xml:space="preserve"> (Constitución, art. 138.2)</w:t>
      </w:r>
      <w:r>
        <w:t>. La ley de financiación regula solo las comunidades «de régimen común»</w:t>
      </w:r>
      <w:r>
        <w:t xml:space="preserve"> (Ley 22/2009, art. 1)</w:t>
      </w:r>
      <w:r>
        <w:t xml:space="preserve">; el País Vasco y Navarra tienen su Concierto y su Convenio (Leyes 12/2002 y 28/1990). </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t xml:space="preserve"> (Consejo de la Juventud de España, Observatorio de Emancipación, 2025)</w:t>
      </w:r>
      <w:r>
        <w:t xml:space="preserve">. </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t xml:space="preserve"> (BOE, reformas de 27-8-1992, 27-9-2011, 15-2-2024 y 19-5-2026)</w:t>
      </w:r>
      <w:r>
        <w:t>. De la de 2024 dijo el Gobierno que era «la tercera desde la entrada en vigor de la Constitución, pero la primera de contenido social»</w:t>
      </w:r>
      <w:r>
        <w:t xml:space="preserve"> (La Moncloa, nota de 18-1-2024)</w:t>
      </w:r>
      <w:r>
        <w:t xml:space="preserve">. </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t xml:space="preserve"> (STC 137/2025)</w:t>
      </w:r>
      <w:r>
        <w:t>; y estimó en parte la cuestión del Supremo «en los términos ya establecidos» en esa sentencia</w:t>
      </w:r>
      <w:r>
        <w:t xml:space="preserve"> (STC 164/2025)</w:t>
      </w:r>
      <w:r>
        <w:t xml:space="preserve">. Aquí, el contrapeso funcionó. </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t xml:space="preserve"> (Scheppele, «The Rule of Law and the Frankenstate» (El Estado de derecho y el Estado de Frankenstein), Governance, 2013; la descripción, por fuente secundaria)</w:t>
      </w:r>
      <w:r>
        <w:t>. No hace falta un monstruo diseñado en la sombra: basta con que cada pieza, una a una, parezca razonable, y con que nadie, en ninguna sala, se siente a mirarlas todas juntas.</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t xml:space="preserve"> (Constitución, art. 21.1)</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t xml:space="preserve"> (Ley Orgánica 4/2015, arts. 36.2 y 39.1)</w:t>
      </w:r>
      <w:r>
        <w:t>. Reunirse sin comunicarlo es una infracción leve, de 100 a 600 euros</w:t>
      </w:r>
      <w:r>
        <w:t xml:space="preserve"> (art. 37.1)</w:t>
      </w:r>
      <w:r>
        <w:t>. El Constitucional anuló solo el inciso «no autorizado» del art. 36.23 y desestimó el resto del recurso</w:t>
      </w:r>
      <w:r>
        <w:t xml:space="preserve"> (STC 172/2020)</w:t>
      </w:r>
      <w:r>
        <w:t xml:space="preserve">. Leído en el original, este caso no muestra un incumplimiento: castiga la perturbación grave, no la protesta pacífica. </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t xml:space="preserve"> (Ley Orgánica 8/2013)</w:t>
      </w:r>
      <w:r>
        <w:t>; la de 2020 suprimió esa frase</w:t>
      </w:r>
      <w:r>
        <w:t xml:space="preserve"> (Ley Orgánica 3/2020)</w:t>
      </w:r>
      <w:r>
        <w:t>, y el Constitucional desestimó el recurso contra ella</w:t>
      </w:r>
      <w:r>
        <w:t xml:space="preserve"> (STC 49/2023)</w:t>
      </w:r>
      <w:r>
        <w:t xml:space="preserve">. </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t xml:space="preserve"> (nota del CGPJ, diciembre de 2020; providencia del Tribunal Supremo de 18-11-2021)</w:t>
      </w:r>
      <w:r>
        <w:t>. El Supremo ya había considerado razonable ese 25 % en 2015, en casos de familias concretas</w:t>
      </w:r>
      <w:r>
        <w:t xml:space="preserve"> (sentencias del Tribunal Supremo de 23 y 28 de abril de 2015)</w:t>
      </w:r>
      <w:r>
        <w:t>. La prueba del pleito fue una muestra: solo 5 de 184 centros impartían en castellano el 25 % de las materias</w:t>
      </w:r>
      <w:r>
        <w:t xml:space="preserve"> (sentencia del TSJ de Cataluña de 16-12-2020, fundamento tercero)</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t xml:space="preserve"> (auto del TSJ de Cataluña de 28-7-2022)</w:t>
      </w:r>
      <w:r>
        <w:t xml:space="preserve">. A 6 de octubre de 2026, el Constitucional no la ha resuelto. </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t xml:space="preserve"> (STC 198/2012, FJ 9)</w:t>
      </w:r>
      <w:r>
        <w:t xml:space="preserve">. Pasaron siete años entre el recurso y la sentencia. </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t xml:space="preserve"> (STC 169/2021, FJ 4)</w:t>
      </w:r>
      <w:r>
        <w:t>, adaptando la doctrina europea de la pena «reducible de derecho y de hecho»</w:t>
      </w:r>
      <w:r>
        <w:t xml:space="preserve"> (TEDH, Kafkaris c. Chipre, 2008)</w:t>
      </w:r>
      <w:r>
        <w:t>. Un estudio de 2023 se tituló «constitucionalidad declarada, inconstitucionalidad manifiesta»</w:t>
      </w:r>
      <w:r>
        <w:t xml:space="preserve"> (Gómez Garrido, Revista Jurídica de la Universidad Autónoma de Madrid, n.º 48, 2023; por el título)</w:t>
      </w:r>
      <w:r>
        <w:t xml:space="preserve">. </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t xml:space="preserve"> (Ley Orgánica 12/2022, preámbulo)</w:t>
      </w:r>
      <w:r>
        <w:t xml:space="preserve">. </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t xml:space="preserve"> (SSTC 31/2015 y 114/2017)</w:t>
      </w:r>
      <w:r>
        <w:t>, y estimó íntegramente el recurso contra la ley catalana de consultas de 2010</w:t>
      </w:r>
      <w:r>
        <w:t xml:space="preserve"> (STC 51/2017)</w:t>
      </w:r>
      <w:r>
        <w:t>. Son intentos frenados (</w:t>
      </w:r>
      <w:r>
        <w:t>7.4</w:t>
      </w:r>
      <w:r>
        <w:t xml:space="preserve">). </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t xml:space="preserve"> (GRECO, Tercera Ronda, informe de cumplimiento de 2011 y segunda adenda de 2016)</w:t>
      </w:r>
      <w:r>
        <w:t>. Y pidió que las fundaciones vinculadas no se usen «como una vía paralela de financiación fraudulenta»</w:t>
      </w:r>
      <w:r>
        <w:t xml:space="preserve"> (segunda adenda, 2016)</w:t>
      </w:r>
      <w:r>
        <w:t xml:space="preserve">. </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t xml:space="preserve"> (Ley Orgánica 3/1981, art. 30)</w:t>
      </w:r>
      <w:r>
        <w:t xml:space="preserve">. No tiene otra sanción. </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t xml:space="preserve"> (CGPJ, efectos de la crisis en los órganos judiciales, 2025)</w:t>
      </w:r>
      <w:r>
        <w:t>. En el primer trimestre de 2026, 4.005 lanzamientos</w:t>
      </w:r>
      <w:r>
        <w:t xml:space="preserve"> (CGPJ, primer trimestre de 2026)</w:t>
      </w:r>
      <w:r>
        <w:t xml:space="preserve">. </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t xml:space="preserve"> (Consejo de Estado, informe sobre modificaciones de la Constitución, 16-2-2006)</w:t>
      </w:r>
      <w:r>
        <w:t xml:space="preserve">. No se ha reformado. </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Cada artículo cuenta una vez: 66 + 103 = 169.</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rPr>
          <w:b/>
        </w:rPr>
        <w:t>El freno.</w:t>
      </w:r>
      <w:r>
        <w:t xml:space="preserve"> Montesquieu propuso un mecanismo, «que el poder frene al poder» (</w:t>
      </w:r>
      <w:r>
        <w:t>6.5</w:t>
      </w:r>
      <w:r>
        <w:t>),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sea un plan: doce correcciones reales lo contradicen. Y no mide la retórica: si el poder invocó la voluntad del pueblo mientras dejaba fuera la condición que la hacía general, eso exigiría leer discursos y debates caso por caso.</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t xml:space="preserve"> (Aristóteles, Metafísica VII, 3, 1029a)</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forma.</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y la cadena sigue hasta que el pueblo «no sabe dónde poner las manos ni los pies»</w:t>
      </w:r>
      <w:r>
        <w:t xml:space="preserve"> (Confucio, Analectas XIII, 3; traducción de Legge)</w:t>
      </w:r>
      <w:r>
        <w:t>. Es la rectificación de los nombres. Mencio llevó la idea al gobernante: el que daña la benevolencia y la justicia ya no es un soberano, sino «un simple individuo» (</w:t>
      </w:r>
      <w:r>
        <w:t>3.2</w:t>
      </w:r>
      <w:r>
        <w:t xml:space="preserve">, P1). </w:t>
      </w:r>
    </w:p>
    <w:p>
      <w:pPr>
        <w:pStyle w:val="ListBullet"/>
      </w:pPr>
      <w:r>
        <w:rPr>
          <w:b/>
        </w:rPr>
        <w:t>Roma.</w:t>
      </w:r>
      <w:r>
        <w:t xml:space="preserve"> Séneca, a Nerón: «el tirano se distingue del rey por los hechos, no por el nombre»</w:t>
      </w:r>
      <w:r>
        <w:t xml:space="preserve"> (Séneca, De clementia I, 12, 1)</w:t>
      </w:r>
      <w:r>
        <w:t xml:space="preserve">. No es una pata independiente: viene de la tradición griega. </w:t>
      </w:r>
    </w:p>
    <w:p>
      <w:pPr>
        <w:pStyle w:val="ListBullet"/>
      </w:pPr>
      <w:r>
        <w:rPr>
          <w:b/>
        </w:rPr>
        <w:t>El Nuevo Testamento.</w:t>
      </w:r>
      <w:r>
        <w:t xml:space="preserve"> «Teniendo apariencia de piedad, mas habiendo negado la eficacia de ella»</w:t>
      </w:r>
      <w:r>
        <w:t xml:space="preserve"> (2 Tim 3:5)</w:t>
      </w:r>
      <w:r>
        <w:t xml:space="preserve">. La palabra griega, </w:t>
      </w:r>
      <w:r>
        <w:rPr>
          <w:i/>
        </w:rPr>
        <w:t>mórphosis</w:t>
      </w:r>
      <w:r>
        <w:t xml:space="preserve">, es de la misma familia que la de Aristóteles. </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t xml:space="preserve"> (Rattray, Ashanti Law and Constitution, 1929, pp. 145-146)</w:t>
      </w:r>
      <w:r>
        <w:t>. Alcanzaba a la cúspide: el rey Kofi Karikari fue depuesto en 1874, cuando se descubrió que había profanado las tumbas de sus antepasados</w:t>
      </w:r>
      <w:r>
        <w:t xml:space="preserve"> (Claridge, A History of the Gold Coast and Ashanti, 1915)</w:t>
      </w:r>
      <w:r>
        <w:t>. Y sigue vivo: en 2024, el Asantehene destituyó a tres jefes por su implicación en la minería ilegal; en 2025, a otro, con estas palabras: «Juraste con el Gran Juramento ser veraz, y fuiste contra él. No mereces seguir en el taburete»</w:t>
      </w:r>
      <w:r>
        <w:t>; y en julio de 2026, a un jefe que llevaba ochenta y nueve años en el cargo</w:t>
      </w:r>
      <w:r>
        <w:t xml:space="preserve"> (Graphic Online, 28-8-2024 y 1-3-2025; MyJoyOnline, 28-7-2026; fuente secundaria: prensa)</w:t>
      </w:r>
      <w:r>
        <w:t xml:space="preserve">. </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t xml:space="preserve"> (Garcilaso de la Vega, Comentarios reales II, 14)</w:t>
      </w:r>
      <w:r>
        <w:t xml:space="preserve">. Vigilaban el poder delegado, no al Inca. </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t xml:space="preserve"> (Regla de la Comunidad, 1QS VI, 24-25)</w:t>
      </w:r>
      <w:r>
        <w:t>. No es un mecanismo para deponer a un jefe, sino un código escrito para que la comunidad se corrija por dentro. La mayoría de los estudiosos la identifica con los esenios, aunque no es unánime</w:t>
      </w:r>
      <w:r>
        <w:t xml:space="preserve"> (Encyclopaedia Britannica, «Essene»; fuente secundaria)</w:t>
      </w:r>
      <w:r>
        <w:t xml:space="preserve">. </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xml:space="preserve"> (INTOSAI, ISSAI 300, 2019, p. 8)</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t xml:space="preserve"> (Reglamento (UE, Euratom) 2024/2509, art. 33)</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t xml:space="preserve"> (Tribunal de Cuentas, Manual de fiscalización operativa o de gestión, citado en la Revista Española de Control Externo, n.º 53, 2016)</w:t>
      </w:r>
      <w:r>
        <w:t>.</w:t>
      </w:r>
    </w:p>
    <w:p>
      <w:r>
        <w:t>Es decir: no por sus procedimientos, sino por sus frutos.</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t xml:space="preserve"> (asunto C-504/26, Diario Oficial de la UE)</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t xml:space="preserve"> (nota del CGPJ, 17-9-2024)</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t xml:space="preserve"> (Ley 39/2015, art. 53.2.b)</w:t>
      </w:r>
      <w:r>
        <w:t>, y el Constitucional extendió «con ciertos matices» los principios del orden penal al derecho administrativo sancionador</w:t>
      </w:r>
      <w:r>
        <w:t xml:space="preserve"> (STC 18/1981)</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t xml:space="preserve"> (Fondo de Reserva, informe a las Cortes, 2025; La Moncloa, 13-4-2026)</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t xml:space="preserve"> (INE, Encuesta de Condiciones de Vida 2025)</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t xml:space="preserve"> (fuente secundaria; no se ha podido leer la sentencia)</w:t>
      </w:r>
      <w:r>
        <w:t>. Si es así, el defecto no está en el acto, sino en una ley de setenta y dos años: forma envejecida.</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t xml:space="preserve"> (Ley 39/2015, art. 39.1)</w:t>
      </w:r>
      <w:r>
        <w:t>, «serán inmediatamente ejecutivos»</w:t>
      </w:r>
      <w:r>
        <w:t xml:space="preserve"> (art. 98.1)</w:t>
      </w:r>
      <w:r>
        <w:t>, y puede ejecutarlos ella misma, incluido el «apremio sobre el patrimonio»</w:t>
      </w:r>
      <w:r>
        <w:t xml:space="preserve"> (arts. 99 y 100.1.a)</w:t>
      </w:r>
      <w:r>
        <w:t>. Es un poder real, con un fin declarado, el interés general, y sujeto a recurso: contra la providencia de apremio caben los motivos de oposición tasados de la ley</w:t>
      </w:r>
      <w:r>
        <w:t xml:space="preserve"> (Ley General Tributaria, art. 167.3)</w:t>
      </w:r>
      <w:r>
        <w:t>.</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t xml:space="preserve"> (Ley General Tributaria, art. 28)</w:t>
      </w:r>
      <w:r>
        <w:t>. Cuando es Hacienda la que devuelve tarde, «ésta abonará el interés de demora regulado en el artículo 26»</w:t>
      </w:r>
      <w:r>
        <w:t xml:space="preserve"> (art. 31.2)</w:t>
      </w:r>
      <w:r>
        <w:t>: el mismo interés, pero ningún recargo. La asimetría está en el recargo, no en el interés.</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t xml:space="preserve"> (STC 150/1990, FJ 9)</w:t>
      </w:r>
      <w:r>
        <w:t>. Y una vez funcionó: la plusvalía municipal era inconstitucional cuando «la cuota a satisfacer es superior al incremento patrimonial realmente obtenido por el contribuyente»</w:t>
      </w:r>
      <w:r>
        <w:t xml:space="preserve"> (STC 126/2019, FJ 5)</w:t>
      </w:r>
      <w:r>
        <w:t>.</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w:t>
      </w:r>
    </w:p>
    <w:p>
      <w:r>
        <w:rPr>
          <w:b/>
        </w:rPr>
        <w:t>La palabra del inspector.</w:t>
      </w:r>
      <w:r>
        <w:t xml:space="preserve"> Las diligencias de la inspección «tienen naturaleza de documentos públicos y hacen prueba de los hechos que motiven su formalización, salvo que se acredite lo contrario»</w:t>
      </w:r>
      <w:r>
        <w:t xml:space="preserve"> (Ley General Tributaria, art. 107.1)</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t xml:space="preserve"> (STC 76/1990, FJ 8)</w:t>
      </w:r>
      <w:r>
        <w:t>.</w:t>
      </w:r>
    </w:p>
    <w:p>
      <w:r>
        <w:rPr>
          <w:b/>
        </w:rPr>
        <w:t>Lo que queda para invertir.</w:t>
      </w:r>
      <w:r>
        <w:t xml:space="preserve"> En 2025, las administraciones pagaron 40.314 millones en intereses e invirtieron 49.632 (</w:t>
      </w:r>
      <w:r>
        <w:t>7.2</w:t>
      </w:r>
      <w:r>
        <w:t>, n.º 4). Además, el Estado aportó 13.347 millones a la Unión Europea</w:t>
      </w:r>
      <w:r>
        <w:t xml:space="preserve"> (IGAE, indicadores del Estado, diciembre de 2025)</w:t>
      </w:r>
      <w:r>
        <w:t>. Para 2026, la Autoridad Fiscal estima que el gasto en intereses del conjunto de las administraciones «alcanzará los 43.300 millones, el 2,5 % del PIB»</w:t>
      </w:r>
      <w:r>
        <w:t xml:space="preserve"> (AIReF, informe sobre los presupuestos iniciales de 2026)</w:t>
      </w:r>
      <w:r>
        <w:t>. El dato no prueba una intención: prueba que la capacidad de invertir está condicionada por el peso de la deuda.</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t xml:space="preserve"> (Constitución, art. 53.3)</w:t>
      </w:r>
      <w:r>
        <w:t>. Ya se vio con la vivienda (</w:t>
      </w:r>
      <w:r>
        <w:t>5.1</w:t>
      </w:r>
      <w:r>
        <w:t>, n.º 16). Esa diferencia de fuerza es el primer dato.</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t xml:space="preserve"> (Ley 17/1999, disposición adicional decimotercera)</w:t>
      </w:r>
      <w:r>
        <w:t>, y un real decreto la adelantó: «Se adelanta al 31 de diciembre de 2001»</w:t>
      </w:r>
      <w:r>
        <w:t xml:space="preserve"> (Real Decreto 247/2001, art. 1)</w:t>
      </w:r>
      <w:r>
        <w:t>.</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t xml:space="preserve"> (Ministerio de Vivienda, Observatorio de Vivienda y Suelo, boletín anual 2024)</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t xml:space="preserve"> (Real Decreto 241/2026, arts. 21.1 y 3.1)</w:t>
      </w:r>
      <w:r>
        <w:t>. Quien ha presidido el Gobierno tiene, además, una pensión indemnizatoria, una dotación de oficina «en la cuantía que se consigne» en los Presupuestos y dos puestos de trabajo (</w:t>
      </w:r>
      <w:r>
        <w:t>C.4</w:t>
      </w:r>
      <w:r>
        <w:t>)</w:t>
      </w:r>
      <w:r>
        <w:t xml:space="preserve"> (Real Decreto 405/1992, arts. 3.1, 3.2 y 4.1, que remite al art. 10, número 5, norma primera, de la Ley 74/1980)</w:t>
      </w:r>
      <w:r>
        <w:t>.</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w:t>
      </w:r>
    </w:p>
    <w:p>
      <w:r>
        <w:rPr>
          <w:b/>
        </w:rPr>
        <w:t>Lectura del autor:</w:t>
      </w:r>
      <w:r>
        <w:t xml:space="preserve"> el Estado cobra con la ley de los hechos consumados y paga con la ley de los hechos aplazados. Lo que para uno es inmediato, para el otro es un principio. «Por sus frutos los conoceréis» (Mt 7:16).</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t xml:space="preserve"> (ABC, 20-8-2025, entrevista a la familia; Idealista News, 12-9-2025; fuente secundaria: prensa)</w:t>
      </w:r>
      <w:r>
        <w:t>. Ninguna ley ordena tratar al propietario como intruso; y la ley le da una vía rápida: pueden pedir «la inmediata recuperación de la plena posesión» de una vivienda «la persona física que sea propietaria o poseedora legítima por otro título»</w:t>
      </w:r>
      <w:r>
        <w:t xml:space="preserve"> (Ley de Enjuiciamiento Civil, art. 250.1.4.º, en la redacción de la Ley 5/2018)</w:t>
      </w:r>
      <w:r>
        <w:t>. El fallo está antes: en el primer contacto policial, hay que distinguir en minutos lo que un juzgado tarda meses en aclarar.</w:t>
      </w:r>
    </w:p>
    <w:p>
      <w:r>
        <w:rPr>
          <w:b/>
        </w:rPr>
        <w:t>2. La denuncia y la orden de protección.</w:t>
      </w:r>
      <w:r>
        <w:t xml:space="preserve"> No basta una denuncia, sin más. La ley convoca «una audiencia urgente» a la víctima y al presunto agresor, que «habrá de celebrarse en un plazo máximo de setenta y dos horas»</w:t>
      </w:r>
      <w:r>
        <w:t xml:space="preserve"> (Ley de Enjuiciamiento Criminal, art. 544 ter.4)</w:t>
      </w:r>
      <w:r>
        <w:t>. Y el juez deniega con frecuencia: en 2024 se solicitaron 49.268 órdenes de protección, «fueron acordadas 33.247 y se denegaron otras 15.827»</w:t>
      </w:r>
      <w:r>
        <w:t xml:space="preserve"> (CGPJ, datos de 2024)</w:t>
      </w:r>
      <w:r>
        <w:t>; en el segundo trimestre de 2025 no se acordaron el 32,3 %</w:t>
      </w:r>
      <w:r>
        <w:t xml:space="preserve"> (CGPJ, segundo trimestre de 2025)</w:t>
      </w:r>
      <w:r>
        <w:t>.</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t xml:space="preserve"> (Fiscalía General del Estado, Memoria 2017)</w:t>
      </w:r>
      <w:r>
        <w:t>. El promedio de 2009 a 2025 es del 0,007 %</w:t>
      </w:r>
      <w:r>
        <w:t xml:space="preserve"> (Memoria 2026)</w:t>
      </w:r>
      <w:r>
        <w:t>. Hay una objeción metodológica legítima: la cifra mide también cuánto se persigue la denuncia falsa, y no solo cuántas hay. Pero es una hipótesis sobre lo que no se mide, no un dato alternativo.</w:t>
      </w:r>
    </w:p>
    <w:p>
      <w:r>
        <w:rPr>
          <w:b/>
        </w:rPr>
        <w:t>4. La pena por denunciar en falso.</w:t>
      </w:r>
      <w:r>
        <w:t xml:space="preserve"> La denuncia falsa probada se castiga con prisión de seis meses a dos años y multa, si lo imputado era un delito grave, y con multa en los demás casos</w:t>
      </w:r>
      <w:r>
        <w:t xml:space="preserve"> (Código Penal, art. 456.1)</w:t>
      </w:r>
      <w:r>
        <w:t>. Pero las penas de prisión «no superiores a dos años» se pueden suspender</w:t>
      </w:r>
      <w:r>
        <w:t xml:space="preserve"> (art. 80.1)</w:t>
      </w:r>
      <w:r>
        <w:t>. Y una absolución no equivale a una denuncia falsa: condenar exige probar que quien denunció sabía que mentía.</w:t>
      </w:r>
    </w:p>
    <w:p>
      <w:r>
        <w:rPr>
          <w:b/>
        </w:rPr>
        <w:t>5. Sin mediación.</w:t>
      </w:r>
      <w:r>
        <w:t xml:space="preserve"> En los asuntos de violencia sobre la mujer «está vedada la utilización de los medios adecuados de solución de controversias»</w:t>
      </w:r>
      <w:r>
        <w:t xml:space="preserve"> (Ley Orgánica del Poder Judicial, art. 89.9)</w:t>
      </w:r>
      <w:r>
        <w:t>. Todo va por la vía judicial contenciosa, también en los conflictos de baja intensidad. Es una decisión de diseño.</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t xml:space="preserve"> (Ley de Enjuiciamiento Criminal, art. 544 ter.7)</w:t>
      </w:r>
      <w:r>
        <w:t>. En 2024 se dictaron 4.155 suspensiones del régimen de visitas y 2.369 de la guarda y custodia</w:t>
      </w:r>
      <w:r>
        <w:t xml:space="preserve"> (CGPJ, datos de 2024)</w:t>
      </w:r>
      <w:r>
        <w:t>. La regla protege al menor, y la letra no distingue por sexo: se aplica a quien resulte investigado. Lo que la crítica señala es el momento: se decide al inicio, cuando la prueba suele limitarse a las declaraciones de las partes.</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p>
    <w:p>
      <w:pPr>
        <w:pStyle w:val="ListBullet"/>
      </w:pPr>
      <w:r>
        <w:rPr>
          <w:b/>
        </w:rPr>
        <w:t>Solo dos de los doce principios rectores</w:t>
      </w:r>
      <w:r>
        <w:t xml:space="preserve"> tienen dato propio en esta auditoría. </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r>
        <w:br w:type="page"/>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t xml:space="preserve"> (Diccionario de la lengua española)</w:t>
      </w:r>
      <w:r>
        <w:t xml:space="preserve">, y «moneda fiat», del latín </w:t>
      </w:r>
      <w:r>
        <w:rPr>
          <w:i/>
        </w:rPr>
        <w:t>fiat</w:t>
      </w:r>
      <w:r>
        <w:t>, «hágase».</w:t>
      </w:r>
    </w:p>
    <w:p>
      <w:r>
        <w:rPr>
          <w:b/>
        </w:rPr>
        <w:t>1971.</w:t>
      </w:r>
      <w:r>
        <w:t xml:space="preserve"> El 15 de agosto de 1971, el presidente de Estados Unidos anunció por televisión: «He ordenado al secretario Connally que suspenda temporalmente la convertibilidad del dólar en oro u otros activos de reserva»</w:t>
      </w:r>
      <w:r>
        <w:t xml:space="preserve"> (Nixon, discurso a la nación, 15-8-1971, American Presidency Project)</w:t>
      </w:r>
      <w:r>
        <w:t>. Lo temporal no se revirtió. La historia oficial de la Reserva Federal lo resume así: «en la práctica, el sistema monetario internacional pasó a ser fiduciario»</w:t>
      </w:r>
      <w:r>
        <w:t xml:space="preserve"> (Federal Reserve History, «Nixon Ends Convertibility of U.S. Dollars to Gold»)</w:t>
      </w:r>
      <w:r>
        <w:t>.</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«en vez de prestar los depósitos que reciben, el acto de prestar crea los depósitos: al revés de la secuencia que suelen describir los manuales»</w:t>
      </w:r>
      <w:r>
        <w:t>; y la teoría del multiplicador «no es una descripción exacta de cómo se crea el dinero en la realidad»</w:t>
      </w:r>
      <w:r>
        <w:t xml:space="preserve"> (Banco de Inglaterra, «Money creation in the modern economy» (La creación del dinero en la economía moderna), Quarterly Bulletin, 2014)</w:t>
      </w:r>
      <w:r>
        <w:t>. El mismo año, un economista pidió un préstamo a un banco que colaboró en el estudio y vigiló sus registros internos; su conclusión, en sus palabras: el estudio «establece por primera vez de forma empírica que los bancos, uno a uno, crean dinero de la nada»</w:t>
      </w:r>
      <w:r>
        <w:t xml:space="preserve"> (Werner, International Review of Financial Analysis 36, 2014)</w:t>
      </w:r>
      <w:r>
        <w:t>. Lo de «por primera vez» es afirmación del propio autor.</w:t>
      </w:r>
    </w:p>
    <w:p>
      <w:r>
        <w:rPr>
          <w:b/>
        </w:rPr>
        <w:t>La otra escala: el banco central.</w:t>
      </w:r>
      <w:r>
        <w:t xml:space="preserve"> El balance del Eurosistema pasó de 2,78 billones de euros a final de 2015 a 8,84 billones el 24 de junio de 2022, el máximo de su serie</w:t>
      </w:r>
      <w:r>
        <w:t xml:space="preserve"> (Banco Central Europeo, estado financiero consolidado y serie del activo total)</w:t>
      </w:r>
      <w:r>
        <w:t>. Solo el programa de compra de activos tenía 3,12 billones en títulos a final de 2021, y el de emergencia por la pandemia sumó compras netas de 1,72 billones hasta marzo de 2022</w:t>
      </w:r>
      <w:r>
        <w:t xml:space="preserve"> (BCE, historial del APP y del PEPP)</w:t>
      </w:r>
      <w:r>
        <w:t>. La Reserva Federal pasó de unos 0,9 billones de dólares en 2007 a 8,97 billones el 13 de abril de 2022</w:t>
      </w:r>
      <w:r>
        <w:t xml:space="preserve"> (Reserva Federal, activo total, serie WALCL)</w:t>
      </w:r>
      <w:r>
        <w:t>. El Tratado prohíbe al banco central «la adquisición directa» de deuda a los Estados</w:t>
      </w:r>
      <w:r>
        <w:t xml:space="preserve"> (Tratado de Funcionamiento de la UE, art. 123.1)</w:t>
      </w:r>
      <w:r>
        <w:t>; el Tribunal de Justicia declaró que sí le autoriza a comprarla «en los mercados secundarios»</w:t>
      </w:r>
      <w:r>
        <w:t xml:space="preserve"> (sentencia Gauweiler, C-62/14, 16-6-2015)</w:t>
      </w:r>
      <w:r>
        <w:t>.</w:t>
      </w:r>
    </w:p>
    <w:p>
      <w:r>
        <w:rPr>
          <w:b/>
        </w:rPr>
        <w:t>La deuda mundial.</w:t>
      </w:r>
      <w:r>
        <w:t xml:space="preserve"> A 31 de marzo de 2026, la deuda mundial marcó un récord de casi 353 billones de dólares, y la proporción sobre el PIB mundial «se mantuvo estable en el 305 %»</w:t>
      </w:r>
      <w:r>
        <w:t xml:space="preserve"> (Institute of International Finance, Global Debt Monitor, resumen público de 6-5-2026)</w:t>
      </w:r>
      <w:r>
        <w:t>. El Banco Mundial describe cuatro olas de deuda desde 1970; en su gráfico, «la deuda mundial tiende a subir desde 1970 y alcanzó cerca del 230 % del PIB en 2018»</w:t>
      </w:r>
      <w:r>
        <w:t xml:space="preserve"> (Banco Mundial, Global Waves of Debt, 2021, cap. 1)</w:t>
      </w:r>
      <w:r>
        <w:t>.</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t xml:space="preserve"> (Bernanke, «Money, Gold, and the Great Depression» (Dinero, oro y la Gran Depresión), 2-3-2004)</w:t>
      </w:r>
      <w:r>
        <w:t>. Y la versión simple, «un banco privado controla la moneda», no resiste la fuente: «El Sistema de la Reserva Federal no es "propiedad" de nadie»</w:t>
      </w:r>
      <w:r>
        <w:t>; los bancos miembros tienen por ley acciones de su Banco de Reserva, pero los Bancos de Reserva no buscan beneficio y deben transferir sus ganancias netas al Tesoro</w:t>
      </w:r>
      <w:r>
        <w:t xml:space="preserve"> (Reserva Federal, «Who owns the Federal Reserve?»)</w:t>
      </w:r>
      <w:r>
        <w:t>. Es una estructura mixta, no una propiedad privada sin más.</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t xml:space="preserve"> (Diario de Sesiones del Congreso, Pleno, n.º 270)</w:t>
      </w:r>
      <w:r>
        <w:t>; en el Senado, el 7 de septiembre, con 236 emitidos, 233 a favor y 3 en contra</w:t>
      </w:r>
      <w:r>
        <w:t xml:space="preserve"> (Diario de Sesiones del Senado, Pleno, n.º 130)</w:t>
      </w:r>
      <w:r>
        <w:t>. No hubo referéndum: la Constitución solo lo exige si lo piden, en quince días, «una décima parte de los miembros de cualquiera de las Cámaras»</w:t>
      </w:r>
      <w:r>
        <w:t xml:space="preserve"> (Constitución, art. 167.3)</w:t>
      </w:r>
      <w:r>
        <w:t>, y no se pidió.</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t xml:space="preserve"> (Estatuto de Roma, art. 7.1, BOE de 27-5-2002)</w:t>
      </w:r>
      <w:r>
        <w:t>. Prefiere llamarlo extracción estructural regresiva.</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Y si el príncipe dijera que destina ese lucro al bien público, «no se le ha de creer, porque con la misma razón podría quitarme la túnica y decir que la necesita para el bien común»</w:t>
      </w:r>
      <w:r>
        <w:t xml:space="preserve"> (Oresme, De moneta, cap. XV, edición de Johnson, 1956)</w:t>
      </w:r>
      <w:r>
        <w:t xml:space="preserve">. </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Y de la moneda nueva y peor dijo que «no solo contaminó a la antigua, sino que, por así decir, la expulsó»</w:t>
      </w:r>
      <w:r>
        <w:t xml:space="preserve"> (Copérnico, Monete cudende ratio, antes de abril de 1526, transcripción de la Universidad de Toruń)</w:t>
      </w:r>
      <w:r>
        <w:t xml:space="preserve">. Leyó una versión alemana del tratado ante la Dieta de la Prusia Real, en Grudziądz, el 21 de marzo de 1522. Es la idea que después se llamó ley de Gresham. </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t xml:space="preserve"> (Azpilcueta, Comentario resolutorio de cambios, 1556; también en la edición de 1568)</w:t>
      </w:r>
      <w:r>
        <w:t xml:space="preserve">. Es una de las primeras formulaciones de la relación entre la cantidad de dinero y los precios. </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t xml:space="preserve"> (Mariana, Tratado y discurso sobre la moneda de vellón, 1609, caps. III y XIII, en Biblioteca de Autores Españoles, t. 31, 1854, pp. 579, 580 y 593)</w:t>
      </w:r>
      <w:r>
        <w:t xml:space="preserve">. </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t xml:space="preserve"> (Locke, Further Considerations Concerning Raising the Value of Money (Nuevas consideraciones sobre la subida del valor de la moneda), 1695, dedicatoria; transcripción de la Universidad de Oxford)</w:t>
      </w:r>
      <w:r>
        <w:t xml:space="preserve">. </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Y: «No hay medio más sutil ni más seguro de trastocar las bases de la sociedad que envilecer la moneda»</w:t>
      </w:r>
      <w:r>
        <w:t xml:space="preserve"> (Keynes, The Economic Consequences of the Peace (Las consecuencias económicas de la paz), 1919, cap. VI)</w:t>
      </w:r>
      <w:r>
        <w:t>. Keynes atribuía la idea a Lenin con un «se dice que»; un estudio de 2009 rastreó su origen en una entrevista publicada por periódicos de Londres y de Nueva York en abril de 1919</w:t>
      </w:r>
      <w:r>
        <w:t xml:space="preserve"> (White y Schuler, Journal of Economic Perspectives, 2009, resumen)</w:t>
      </w:r>
      <w:r>
        <w:t xml:space="preserve">. </w:t>
      </w:r>
    </w:p>
    <w:p>
      <w:pPr>
        <w:spacing w:after="60"/>
        <w:ind w:left="510" w:hanging="397"/>
      </w:pPr>
      <w:r>
        <w:rPr>
          <w:b w:val="0"/>
        </w:rPr>
        <w:t xml:space="preserve">7. </w:t>
      </w:r>
      <w:r>
        <w:rPr>
          <w:b/>
        </w:rPr>
        <w:t>Greenspan, 1966.</w:t>
      </w:r>
      <w:r>
        <w:t xml:space="preserve"> «El gasto con déficit es simplemente un plan para la confiscación "oculta" de la riqueza»</w:t>
      </w:r>
      <w:r>
        <w:t>; «En ausencia del patrón oro, no hay forma de proteger el ahorro de la confiscación por la inflación. No hay un depósito de valor seguro»</w:t>
      </w:r>
      <w:r>
        <w:t xml:space="preserve"> (Greenspan, «Gold and Economic Freedom» (El oro y la libertad económica), 1966, reproducido en el Congressional Record, 7-8-1974)</w:t>
      </w:r>
      <w:r>
        <w:t>. Su autor presidió después la Reserva Federal</w:t>
      </w:r>
      <w:r>
        <w:t xml:space="preserve"> (fuente secundaria)</w:t>
      </w:r>
      <w:r>
        <w:t xml:space="preserve">. </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Y sobre la tentación de crear dinero a voluntad: «esa tentación existe sin duda, y muchos en la historia monetaria han sucumbido a ella»</w:t>
      </w:r>
      <w:r>
        <w:t xml:space="preserve"> (Weidmann, «Money creation and responsibility» (Creación de dinero y responsabilidad), Fráncfort, 18-9-2012, Banco de Pagos Internacionales)</w:t>
      </w:r>
      <w:r>
        <w:t xml:space="preserve">. </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w:t>
      </w:r>
    </w:p>
    <w:p>
      <w:r>
        <w:rPr>
          <w:b/>
        </w:rPr>
        <w:t>Lectura del autor:</w:t>
      </w:r>
      <w:r>
        <w:t xml:space="preserve"> no es un aviso nuevo. Es la pesa que se aligera, que la ley de Dios llama abominación (</w:t>
      </w:r>
      <w:r>
        <w:t>3.2</w:t>
      </w:r>
      <w:r>
        <w:t>, P4).</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w:t>
      </w:r>
    </w:p>
    <w:p>
      <w:r>
        <w:rPr>
          <w:b/>
        </w:rPr>
        <w:t>Un solo lenguaje.</w:t>
      </w:r>
      <w:r>
        <w:t xml:space="preserve"> Todo se da en euros, también los años de la peseta, al tipo fijo de «166,386 pesetas españolas»</w:t>
      </w:r>
      <w:r>
        <w:t xml:space="preserve"> (Reglamento (CE) 2866/98, art. 1)</w:t>
      </w:r>
      <w:r>
        <w:t>. El euro sustituyó a la peseta el 1 de enero de 1999, y sus billetes y monedas «serán los únicos de curso legal en el territorio nacional»</w:t>
      </w:r>
      <w:r>
        <w:t xml:space="preserve"> (Ley 46/1998, art. 3)</w:t>
      </w:r>
      <w:r>
        <w:t>. Convertir no cambia ninguna proporción.</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t xml:space="preserve"> (INE, índice de precios de consumo, variación de diciembre a diciembre desde 1971; cálculo de la obra)</w:t>
      </w:r>
      <w:r>
        <w:t>. Y ese 2 % es la meta oficial: los Tratados encargan a los bancos centrales «mantener la estabilidad de precios»</w:t>
      </w:r>
      <w:r>
        <w:t xml:space="preserve"> (Tratado de Funcionamiento de la UE, art. 127.1)</w:t>
      </w:r>
      <w:r>
        <w:t>, y el Banco Central Europeo la concreta así: «aspirar a una inflación del 2 % a medio plazo»</w:t>
      </w:r>
      <w:r>
        <w:t xml:space="preserve"> (BCE, estrategia de política monetaria)</w:t>
      </w:r>
      <w:r>
        <w:t>. A eso se le llama estabilidad.</w:t>
      </w:r>
    </w:p>
    <w:p>
      <w:r>
        <w:rPr>
          <w:b/>
        </w:rPr>
        <w:t>Lo que compran 100 euros guardados, medido en pan.</w:t>
      </w:r>
      <w:r>
        <w:t xml:space="preserve"> Una barra de pan de unos 250 gramos es el producto de referencia que usó el Ministerio de Agricultura en su estudio del pan de 2009</w:t>
      </w:r>
      <w:r>
        <w:t xml:space="preserve"> (Ministerio de Agricultura, Estudio de la cadena de valor y formación de precios del pan, julio de 2009)</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t xml:space="preserve"> (Webster's Revised Unabridged Dictionary (Diccionario Webster revisado e íntegro), 1913, Proyecto Gutenberg n.º 29765, s. v. «inflation»)</w:t>
      </w:r>
      <w:r>
        <w:t>. La Academia la define hoy como «Elevación del nivel general de precios»</w:t>
      </w:r>
      <w:r>
        <w:t xml:space="preserve"> (Diccionario de la lengua española, edición actual)</w:t>
      </w:r>
      <w:r>
        <w:t xml:space="preserve"> (</w:t>
      </w:r>
      <w:r>
        <w:t>5.1</w:t>
      </w:r>
      <w:r>
        <w:t>, n.º 22).</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t xml:space="preserve"> (INE)</w:t>
      </w:r>
      <w:r>
        <w:t>.</w:t>
      </w:r>
    </w:p>
    <w:p>
      <w:r>
        <w:rPr>
          <w:b/>
        </w:rPr>
        <w:t>El salario mínimo y el salario medio.</w:t>
      </w:r>
      <w:r>
        <w:t xml:space="preserve"> El mínimo ha subido más que los precios: en 1970 era de «ciento veinte pesetas día o tres mil seiscientas pesetas mes»</w:t>
      </w:r>
      <w:r>
        <w:t xml:space="preserve"> (Decreto 720/1970)</w:t>
      </w:r>
      <w:r>
        <w:t>, unos 554 euros de 2025; en 2025, de 1.184 euros al mes</w:t>
      </w:r>
      <w:r>
        <w:t xml:space="preserve"> (Real Decreto 87/2025)</w:t>
      </w:r>
      <w:r>
        <w:t>. Pero no siempre: entre 1980 y 2005 bajó en euros de hoy, de 826 a 774, y el salto llegó en 2019, con «un incremento del 22,3 por ciento»</w:t>
      </w:r>
      <w:r>
        <w:t xml:space="preserve"> (Real Decreto 1462/2018, preámbulo)</w:t>
      </w:r>
      <w:r>
        <w:t>. El medio, no: en 2008, 21.883,42 euros al año; en 2024, 29.540,26; subió un 35,0 %, y los precios, un 35,1 %</w:t>
      </w:r>
      <w:r>
        <w:t xml:space="preserve"> (INE, Encuesta Anual de Estructura Salarial; índice de precios de consumo)</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t xml:space="preserve"> (OCDE, salario medio anual, precios constantes; cálculo de la obra)</w:t>
      </w:r>
      <w:r>
        <w:t>.</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t xml:space="preserve"> (Ley 35/2006, art. 20; RDL 4/2024, exposición de motivos)</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t xml:space="preserve"> (Banco de España, Documento Ocasional n.º 2422, 2024, resumen y p. 24)</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t xml:space="preserve"> (AIReF, documento técnico sobre la variabilidad de los ingresos tributarios, 2025)</w:t>
      </w:r>
      <w:r>
        <w:t>.</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t xml:space="preserve"> (Eurostat, deuda e intereses de las administraciones públicas; INE, precios de diciembre a diciembre)</w:t>
      </w:r>
      <w:r>
        <w:t>.</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la carga futura del déficit. Siempre con los tres perfiles, el asalariado, el autónomo y el societario, y con los costes indirectos.</w:t>
      </w:r>
    </w:p>
    <w:p>
      <w:r>
        <w:rPr>
          <w:b/>
        </w:rPr>
        <w:t>La cifra oficial.</w:t>
      </w:r>
      <w:r>
        <w:t xml:space="preserve"> En 2024, los impuestos y cotizaciones fueron el 37,3 % del PIB en España, frente al 40,3 % de la UE</w:t>
      </w:r>
      <w:r>
        <w:t xml:space="preserve"> (Eurostat, gov_10a_taxag)</w:t>
      </w:r>
      <w:r>
        <w:t>. Es una media sobre toda la economía, no la carga de una persona.</w:t>
      </w:r>
    </w:p>
    <w:p>
      <w:r>
        <w:rPr>
          <w:b/>
        </w:rPr>
        <w:t>El asalariado medio.</w:t>
      </w:r>
      <w:r>
        <w:t xml:space="preserve"> Soltero, sin hijos, con datos de 2025: cuesta a su empresa 39.481 euros al año</w:t>
      </w:r>
      <w:r>
        <w:t xml:space="preserve"> (Instituto Juan de Mariana, Impuestómetro 2026, con datos de Molinari y EY; estudio privado)</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t xml:space="preserve"> (OCDE, Taxing Wages, datos oficiales)</w:t>
      </w:r>
      <w:r>
        <w:t>. Cuenta solo el IRPF y las cotizaciones del trabajador y de la empresa</w:t>
      </w:r>
      <w:r>
        <w:t xml:space="preserve"> (OCDE, Taxing Wages, descomposición, datos oficiales)</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t xml:space="preserve"> (Instituto Juan de Mariana, Impuestómetro 2026, anexo 1; estudio privado)</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De cada 100 euros que paga la empresa, al menos 41 van a cotizaciones e IRPF; unos 48 con los demás impuestos de cada año; y hasta 53,6 con una hipótesis de reparto y una obligación futura. Le quedan 46,4.</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t xml:space="preserve"> (Orden PJC/297/2026, art. 18.1)</w:t>
      </w:r>
      <w:r>
        <w:t>, y un tipo del 31,5 %: 28,30 de contingencias comunes, 1,30 de profesionales, 0,90 de equidad intergeneracional, 0,90 de cese de actividad y 0,10 de formación</w:t>
      </w:r>
      <w:r>
        <w:t xml:space="preserve"> (arts. 18.2 y 37)</w:t>
      </w:r>
      <w:r>
        <w:t>.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w:t>
      </w:r>
    </w:p>
    <w:p>
      <w:r>
        <w:rPr>
          <w:b/>
        </w:rPr>
        <w:t>El autónomo con sociedad.</w:t>
      </w:r>
      <w:r>
        <w:t xml:space="preserve"> Si administra una sociedad con al menos un 25 % o es socio con al menos un 33 %, su base no puede ser inferior a la mínima del grupo 7 del Régimen General</w:t>
      </w:r>
      <w:r>
        <w:t xml:space="preserve"> (Ley General de la Seguridad Social, art. 308.1.a, regla 4.ª)</w:t>
      </w:r>
      <w:r>
        <w:t>: 1.424,40 euros al mes en 2026</w:t>
      </w:r>
      <w:r>
        <w:t xml:space="preserve"> (Orden PJC/297/2026, art. 3)</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t xml:space="preserve"> (Ley 27/2014, art. 29.1 y disposición transitoria cuadragésima cuarta)</w:t>
      </w:r>
      <w:r>
        <w:t>. Con el mismo valor generado, las cinco capas suman en torno al 42 % si todo se cobra como retribución, y al 48 % si se combina retribución y dividendos (cálculo de la obra).</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t xml:space="preserve"> (Orden PJC/297/2026, arts. 4, 16 y 33)</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t xml:space="preserve"> (Ley 39/2015, art. 14.2)</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t xml:space="preserve"> (Ley 38/1999, art. 2.2)</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t xml:space="preserve"> (Real Decreto 1000/2010, art. 2)</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t xml:space="preserve"> (Real Decreto 439/2007, art. 68)</w:t>
      </w:r>
      <w:r>
        <w:t>. Hacerlo cuesta tiempo, o el sueldo y la cotización de quien lo haga, o los honorarios de la gestoría; no se ha encontrado ninguna cifra oficial de ese coste.</w:t>
      </w:r>
    </w:p>
    <w:p>
      <w:r>
        <w:rPr>
          <w:b/>
        </w:rPr>
        <w:t>El tiempo de los trámites.</w:t>
      </w:r>
      <w:r>
        <w:t xml:space="preserve"> Una asociación de autónomos cifra en 226 horas al año el tiempo de cada autónomo en trámites, y, «Teniendo en cuenta un coste medio de 15 euros por hora», en 3.390 euros</w:t>
      </w:r>
      <w:r>
        <w:t xml:space="preserve"> (ATA, nota de 10-8-2026; asociación del sector)</w:t>
      </w:r>
      <w:r>
        <w:t>: unas cinco semanas y media de cuarenta horas. Para las pymes, otra fundación da 332 horas</w:t>
      </w:r>
      <w:r>
        <w:t xml:space="preserve"> (Fundación Civismo, 2021; estudio privado)</w:t>
      </w:r>
      <w:r>
        <w:t>. Y el Banco Mundial midió 143 horas al año para que una empresa mediana pague sus impuestos, menos que las 158,8 de los países ricos de la OCDE, pero con una tasa total del 47,0 % del beneficio, frente al 39,9 %</w:t>
      </w:r>
      <w:r>
        <w:t xml:space="preserve"> (Banco Mundial, Doing Business 2020, datos de 2018)</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lo valora en euros.</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t xml:space="preserve"> (OCDE, Pensions at a Glance 2025, datos oficiales)</w:t>
      </w:r>
      <w:r>
        <w:t>. La de jubilación se resolvió en abril de 2026 en 9,28 días de media, con un máximo legal de 90</w:t>
      </w:r>
      <w:r>
        <w:t xml:space="preserve"> (Seguridad Social, nota de 26-5-2026)</w:t>
      </w:r>
      <w:r>
        <w:t>. Y la ley obliga a que las pensiones contributivas mantengan «su poder adquisitivo»</w:t>
      </w:r>
      <w:r>
        <w:t xml:space="preserve"> (Ley General de la Seguridad Social, art. 58.1)</w:t>
      </w:r>
      <w:r>
        <w:t>.</w:t>
      </w:r>
    </w:p>
    <w:p>
      <w:pPr>
        <w:pStyle w:val="ListBullet"/>
      </w:pPr>
      <w:r>
        <w:rPr>
          <w:b/>
        </w:rPr>
        <w:t>Sanidad.</w:t>
      </w:r>
      <w:r>
        <w:t xml:space="preserve"> A 31 de diciembre de 2025, 853.509 pacientes esperaban una operación, con una espera media de 121 días, y el 21,6 % llevaba más de seis meses</w:t>
      </w:r>
      <w:r>
        <w:t xml:space="preserve"> (Ministerio de Sanidad, listas de espera)</w:t>
      </w:r>
      <w:r>
        <w:t>. La espera media era de 50 días en Madrid y de 173 en Andalucía</w:t>
      </w:r>
      <w:r>
        <w:t xml:space="preserve"> (ídem, datos por comunidad)</w:t>
      </w:r>
      <w:r>
        <w:t>. Para ver al médico de familia, 8,85 días. Aun así, valoran bien la atención el 78,5 % de los atendidos en primaria, el 77,8 % en el hospital y el 73,5 % en urgencias, y la satisfacción general es de 6,02 sobre 10</w:t>
      </w:r>
      <w:r>
        <w:t xml:space="preserve"> (Barómetro Sanitario, julio de 2025)</w:t>
      </w:r>
      <w:r>
        <w:t>. La esperanza de vida, 84,0 años, frente a 81,5 en la UE</w:t>
      </w:r>
      <w:r>
        <w:t xml:space="preserve"> (Eurostat, 2024)</w:t>
      </w:r>
      <w:r>
        <w:t>.</w:t>
      </w:r>
    </w:p>
    <w:p>
      <w:pPr>
        <w:pStyle w:val="ListBullet"/>
      </w:pPr>
      <w:r>
        <w:rPr>
          <w:b/>
        </w:rPr>
        <w:t>Educación.</w:t>
      </w:r>
      <w:r>
        <w:t xml:space="preserve"> En PISA 2022, 473 puntos en matemáticas, sin diferencia significativa con la media de la OCDE (472), y con una bajada de 8 puntos desde 2018</w:t>
      </w:r>
      <w:r>
        <w:t xml:space="preserve"> (Ministerio de Educación, INEE, boletín n.º 79)</w:t>
      </w:r>
      <w:r>
        <w:t>.</w:t>
      </w:r>
    </w:p>
    <w:p>
      <w:pPr>
        <w:pStyle w:val="ListBullet"/>
      </w:pPr>
      <w:r>
        <w:rPr>
          <w:b/>
        </w:rPr>
        <w:t>La ayuda para hacer trámites.</w:t>
      </w:r>
      <w:r>
        <w:t xml:space="preserve"> Existe por ley, y la ley deja elegir: las personas físicas «podrán elegir en todo momento» si se comunican por medios electrónicos o no</w:t>
      </w:r>
      <w:r>
        <w:t xml:space="preserve"> (Ley 39/2015, art. 14.1)</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t xml:space="preserve"> (Defensor del Pueblo, recomendación de 23-8-2023, aceptada)</w:t>
      </w:r>
      <w:r>
        <w:t>.</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que esa dispersión haya sido buscada, los hechos no lo demuestran ni lo descartan.</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t xml:space="preserve"> (Código Penal, art. 11)</w:t>
      </w:r>
      <w:r>
        <w:t>.</w:t>
      </w:r>
    </w:p>
    <w:p>
      <w:r>
        <w:rPr>
          <w:b/>
        </w:rPr>
        <w:t>1. La obligación que entra estrecha y se ensancha.</w:t>
      </w:r>
    </w:p>
    <w:p>
      <w:pPr>
        <w:pStyle w:val="ListBullet"/>
      </w:pPr>
      <w:r>
        <w:rPr>
          <w:b/>
        </w:rPr>
        <w:t>El IVA</w:t>
      </w:r>
      <w:r>
        <w:t xml:space="preserve"> entró en 1986 con un tipo general del 12 %</w:t>
      </w:r>
      <w:r>
        <w:t xml:space="preserve"> (Ley 30/1985, art. 27.1)</w:t>
      </w:r>
      <w:r>
        <w:t>; pasó al 13 % el 1 de enero de 1992</w:t>
      </w:r>
      <w:r>
        <w:t xml:space="preserve"> (Ley 31/1991, art. 81)</w:t>
      </w:r>
      <w:r>
        <w:t>, al 15 % el 1 de agosto de 1992</w:t>
      </w:r>
      <w:r>
        <w:t xml:space="preserve"> (Real Decreto-ley 5/1992, art. 1.1)</w:t>
      </w:r>
      <w:r>
        <w:t>, al 16 % en 1995</w:t>
      </w:r>
      <w:r>
        <w:t xml:space="preserve"> (Ley 41/1994, art. 78)</w:t>
      </w:r>
      <w:r>
        <w:t>, al 18 % el 1 de julio de 2010</w:t>
      </w:r>
      <w:r>
        <w:t xml:space="preserve"> (Ley 26/2009, art. 79)</w:t>
      </w:r>
      <w:r>
        <w:t xml:space="preserve"> y al 21 % el 1 de septiembre de 2012</w:t>
      </w:r>
      <w:r>
        <w:t xml:space="preserve"> (Real Decreto-ley 20/2012, art. 23)</w:t>
      </w:r>
      <w:r>
        <w:t>.</w:t>
      </w:r>
    </w:p>
    <w:p>
      <w:pPr>
        <w:pStyle w:val="ListBullet"/>
      </w:pPr>
      <w:r>
        <w:rPr>
          <w:b/>
        </w:rPr>
        <w:t>El cinturón:</w:t>
      </w:r>
      <w:r>
        <w:t xml:space="preserve"> obligatorio de instalar en los asientos delanteros en 1972</w:t>
      </w:r>
      <w:r>
        <w:t xml:space="preserve"> (Decreto 3530/1972)</w:t>
      </w:r>
      <w:r>
        <w:t>, de usar en vías interurbanas desde el 11 de noviembre de 1974</w:t>
      </w:r>
      <w:r>
        <w:t xml:space="preserve"> (Decreto 2926/1974)</w:t>
      </w:r>
      <w:r>
        <w:t>, y en 1992 también en vías urbanas y, para los turismos nuevos, en los asientos traseros</w:t>
      </w:r>
      <w:r>
        <w:t xml:space="preserve"> (Real Decreto 13/1992, art. 117 y disposiciones transitorias)</w:t>
      </w:r>
      <w:r>
        <w:t>.</w:t>
      </w:r>
    </w:p>
    <w:p>
      <w:pPr>
        <w:pStyle w:val="ListBullet"/>
      </w:pPr>
      <w:r>
        <w:rPr>
          <w:b/>
        </w:rPr>
        <w:t>El casco:</w:t>
      </w:r>
      <w:r>
        <w:t xml:space="preserve"> desde 1982, para las motos de más de 125 centímetros cúbicos en todas las vías y para las demás solo en las interurbanas</w:t>
      </w:r>
      <w:r>
        <w:t xml:space="preserve"> (Real Decreto 1467/1981)</w:t>
      </w:r>
      <w:r>
        <w:t>; desde 1992, para todas, en todas las vías</w:t>
      </w:r>
      <w:r>
        <w:t xml:space="preserve"> (Real Decreto 13/1992, art. 118.1)</w:t>
      </w:r>
      <w:r>
        <w:t>.</w:t>
      </w:r>
    </w:p>
    <w:p>
      <w:pPr>
        <w:pStyle w:val="ListBullet"/>
      </w:pPr>
      <w:r>
        <w:rPr>
          <w:b/>
        </w:rPr>
        <w:t>Y las excepciones</w:t>
      </w:r>
      <w:r>
        <w:t>, que también se dicen: el tipo incrementado del IVA bajó del 33 % al 28 % en 1992 y se suprimió en 1993</w:t>
      </w:r>
      <w:r>
        <w:t xml:space="preserve"> (Leyes 30/1985, 31/1991 y 37/1992)</w:t>
      </w:r>
      <w:r>
        <w:t>; y el cargo al autoconsumo eléctrico de 2015</w:t>
      </w:r>
      <w:r>
        <w:t xml:space="preserve"> (Real Decreto 900/2015, art. 17)</w:t>
      </w:r>
      <w:r>
        <w:t xml:space="preserve"> se derogó en 2018: «se reconoce el derecho a autoconsumir energía eléctrica sin cargos»</w:t>
      </w:r>
      <w:r>
        <w:t xml:space="preserve"> (Real Decreto-ley 15/2018, exposición de motivos)</w:t>
      </w:r>
      <w:r>
        <w:t>.</w:t>
      </w:r>
    </w:p>
    <w:p>
      <w:r>
        <w:t>La obligación suele entrar estrecha y ensancharse después. No siempre.</w:t>
      </w:r>
    </w:p>
    <w:p>
      <w:r>
        <w:rPr>
          <w:b/>
        </w:rPr>
        <w:t>2. Lo firme no se revisa, con una excepción.</w:t>
      </w:r>
      <w:r>
        <w:t xml:space="preserve"> La ley de los estados de alarma permite «Practicar requisas temporales de todo tipo de bienes e imponer prestaciones personales obligatorias»</w:t>
      </w:r>
      <w:r>
        <w:t xml:space="preserve"> (Ley Orgánica 4/1981, art. 11.b)</w:t>
      </w:r>
      <w:r>
        <w:t>, y no se ha reformado desde 1981. Cuando terminan, caen las medidas, «salvo las que consistiesen en sanciones firmes»</w:t>
      </w:r>
      <w:r>
        <w:t xml:space="preserve"> (art. 1.3)</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t xml:space="preserve"> (STC 148/2021, FJ 11)</w:t>
      </w:r>
      <w:r>
        <w:t>. Es el mismo patrón que la plusvalía (</w:t>
      </w:r>
      <w:r>
        <w:t>5.1</w:t>
      </w:r>
      <w:r>
        <w:t>, n.º 9) y que la Zona de Bajas Emisiones de Madrid (</w:t>
      </w:r>
      <w:r>
        <w:t>7.5</w:t>
      </w:r>
      <w:r>
        <w:t>, caso 2): el Supremo inadmitió el recurso del Ayuntamiento y la anulación es firme</w:t>
      </w:r>
      <w:r>
        <w:t xml:space="preserve"> (auto del Tribunal Supremo de 15-4-2026)</w:t>
      </w:r>
      <w:r>
        <w:t>; la nueva ordenanza rige hacia delante</w:t>
      </w:r>
      <w:r>
        <w:t xml:space="preserve"> (Ordenanza 2/2026, BOCM de 6-4-2026)</w:t>
      </w:r>
      <w:r>
        <w:t>, y el Ayuntamiento no devuelve lo cobrado, según la prensa</w:t>
      </w:r>
      <w:r>
        <w:t xml:space="preserve"> (fuente secundaria: prensa, abril y julio de 2026)</w:t>
      </w:r>
      <w:r>
        <w:t>.</w:t>
      </w:r>
    </w:p>
    <w:p>
      <w:r>
        <w:rPr>
          <w:b/>
        </w:rPr>
        <w:t>3. La gasolina.</w:t>
      </w:r>
      <w:r>
        <w:t xml:space="preserve"> Entre el 1 de enero de 2013 y el 1 de enero de 2019, las comunidades autónomas pudieron fijar un tramo propio del impuesto sobre hidrocarburos</w:t>
      </w:r>
      <w:r>
        <w:t xml:space="preserve"> (STS 872/2026)</w:t>
      </w:r>
      <w:r>
        <w:t>. El Tribunal de Justicia de la UE declaró que la directiva europea se opone a una norma que autoriza a las comunidades «a establecer tipos del impuesto especial diferenciados para un mismo producto y un mismo uso»</w:t>
      </w:r>
      <w:r>
        <w:t xml:space="preserve"> (sentencia de 30-5-2024, C-743/22)</w:t>
      </w:r>
      <w:r>
        <w:t>. Antes ya había condenado a España por poner trabas a la indemnización de los daños causados por el legislador contra el derecho de la Unión</w:t>
      </w:r>
      <w:r>
        <w:t xml:space="preserve"> (sentencia de 28-6-2022, C-278/20)</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t xml:space="preserve"> (STS 872/2026, de 9-7-2026)</w:t>
      </w:r>
      <w:r>
        <w:t>. Es una victoria de acceso, no de cobro.</w:t>
      </w:r>
    </w:p>
    <w:p>
      <w:r>
        <w:rPr>
          <w:b/>
        </w:rPr>
        <w:t>4. La franquicia del IVA.</w:t>
      </w:r>
      <w:r>
        <w:t xml:space="preserve"> Ya se vio (</w:t>
      </w:r>
      <w:r>
        <w:t>7.5</w:t>
      </w:r>
      <w:r>
        <w:t>, caso 1). La Comisión lo dice así: España «Es el único Estado miembro que no lo ha hecho»</w:t>
      </w:r>
      <w:r>
        <w:t xml:space="preserve"> (Comisión Europea, comunicado de 11-3-2026)</w:t>
      </w:r>
      <w:r>
        <w:t>. Pide que se calcule una suma a tanto alzado con 32.430 euros por día de retraso, con un mínimo de 7.540.000, y, si sigue sin transponer cuando haya sentencia, una multa de 135.811,20 euros al día</w:t>
      </w:r>
      <w:r>
        <w:t xml:space="preserve"> (asunto C-504/26, Diario Oficial de la UE, 6-7-2026)</w:t>
      </w:r>
      <w:r>
        <w:t>. Está pedido, no impuesto. Y dentro de España hubo quien movió ficha: Canarias subió su franquicia del impuesto canario «del límite actual de 30.000 euros hasta los 50.000 euros»</w:t>
      </w:r>
      <w:r>
        <w:t xml:space="preserve"> (Decreto ley 3/2026 de Canarias, exposición de motivos)</w:t>
      </w:r>
      <w:r>
        <w:t>.</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t xml:space="preserve"> (STS 1119/2025, de 11-9-2025)</w:t>
      </w:r>
      <w:r>
        <w:t>. Entre la resolución del Consejo de Transparencia, de febrero de 2019, y la sentencia pasaron más de seis años.</w:t>
      </w:r>
    </w:p>
    <w:p>
      <w:r>
        <w:rPr>
          <w:b/>
        </w:rPr>
        <w:t>6. La medida que sanciona.</w:t>
      </w:r>
      <w:r>
        <w:t xml:space="preserve"> Un aparato que mide para sancionar debe pasar control metrológico: «lo determinante es si para la constancia de una conducta infractora miden cierto parámetro»</w:t>
      </w:r>
      <w:r>
        <w:t xml:space="preserve"> (STS de 12-11-2015, rec. 816/2015, FJ 10)</w:t>
      </w:r>
      <w:r>
        <w:t>; y el foto-rojo «sí hace mediciones»</w:t>
      </w:r>
      <w:r>
        <w:t xml:space="preserve"> (STS 1978/2017, citada por el Procurador del Común; fuente secundaria: no se ha podido leer entera)</w:t>
      </w:r>
      <w:r>
        <w:t>. Para los radares, el margen de error es del 5 % si miden desde una ubicación sin movimiento, y del 7 % si se mueven</w:t>
      </w:r>
      <w:r>
        <w:t xml:space="preserve"> (STS 184/2018)</w:t>
      </w:r>
      <w:r>
        <w:t>.</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t xml:space="preserve"> (Observatorio Estatal de la Dependencia, XXVI Dictamen, presentado en el Congreso el 13-3-2026)</w:t>
      </w:r>
      <w:r>
        <w:t>. Una persona cada dieciséis minutos. A 31 de marzo de 2026 esperaban 271.556 personas: 118.716 sin valorar y 152.840 con la prestación reconocida</w:t>
      </w:r>
      <w:r>
        <w:t xml:space="preserve"> (nota de la Asociación de Directoras y Gerentes de Servicios Sociales, 10-4-2026, con datos del Ministerio)</w:t>
      </w:r>
      <w:r>
        <w:t>.</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t xml:space="preserve"> (Diario de Sesiones del Congreso, Comisión de Justicia, n.º 157, 15-3-2017)</w:t>
      </w:r>
      <w:r>
        <w:t>. Es la cifra oficial más reciente que se ha localizado. El Supremo instruye y juzga las causas contra el Presidente del Gobierno, los miembros del Gobierno, los diputados y senadores, entre otros</w:t>
      </w:r>
      <w:r>
        <w:t xml:space="preserve"> (Ley Orgánica del Poder Judicial, art. 57.1.2.º)</w:t>
      </w:r>
      <w:r>
        <w:t>. Y el elector no puede revocar a su representante: el diputado solo pierde el escaño por las causas tasadas del Reglamento del Congreso (</w:t>
      </w:r>
      <w:r>
        <w:t>8.6</w:t>
      </w:r>
      <w:r>
        <w:t>), y «Los miembros de las Cortes Generales no estarán ligados por mandato imperativo»</w:t>
      </w:r>
      <w:r>
        <w:t xml:space="preserve"> (Constitución, art. 67.2)</w:t>
      </w:r>
      <w:r>
        <w:t>.</w:t>
      </w:r>
    </w:p>
    <w:p>
      <w:r>
        <w:rPr>
          <w:b/>
        </w:rPr>
        <w:t>9. La publicidad institucional.</w:t>
      </w:r>
      <w:r>
        <w:t xml:space="preserve"> El Estado gastó en campañas institucionales 25.915.168 euros en 2019, 70.430.604 en 2024 y 88.078.848 en 2025</w:t>
      </w:r>
      <w:r>
        <w:t xml:space="preserve"> (La Moncloa, informes anuales de publicidad y comunicación institucional)</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t xml:space="preserve"> (CIDH, Declaración de Principios sobre Libertad de Expresión, principio 13)</w:t>
      </w:r>
      <w:r>
        <w:t>. Que el gasto español cumpla esa condición no lo ha certificado nadie: por eso no cuenta como omisión.</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t xml:space="preserve"> (Rousseau, Del contrato social III, 15)</w:t>
      </w:r>
      <w:r>
        <w:t>. No es una invitación a desobedecer: es una vara. El derecho español recoge una parte: antes de redactar una ley o un reglamento, «se sustanciará una consulta pública»</w:t>
      </w:r>
      <w:r>
        <w:t xml:space="preserve"> (Ley 39/2015, art. 133.1)</w:t>
      </w:r>
      <w:r>
        <w:t>.</w:t>
      </w:r>
    </w:p>
    <w:p>
      <w:r>
        <w:rPr>
          <w:b/>
        </w:rPr>
        <w:t>11. La lista.</w:t>
      </w:r>
      <w:r>
        <w:t xml:space="preserve"> El elector del Congreso no vota a personas, sino listas: cada una lleva «la expresión del orden de colocación» de candidatos y suplentes</w:t>
      </w:r>
      <w:r>
        <w:t xml:space="preserve"> (LOREG, art. 46.3)</w:t>
      </w:r>
      <w:r>
        <w:t>; los escaños «se adjudican a los candidatos incluidos en ella, por el orden de colocación en que aparezcan»</w:t>
      </w:r>
      <w:r>
        <w:t xml:space="preserve"> (art. 163.1.e)</w:t>
      </w:r>
      <w:r>
        <w:t>; y la vacante es para el siguiente «de la misma lista»</w:t>
      </w:r>
      <w:r>
        <w:t xml:space="preserve"> (art. 164.1)</w:t>
      </w:r>
      <w:r>
        <w:t>. Al alcalde lo eligen los concejales entre quienes encabezan las listas, y si ninguno logra la mayoría absoluta, es alcalde el que encabeza la más votada</w:t>
      </w:r>
      <w:r>
        <w:t xml:space="preserve"> (art. 196)</w:t>
      </w:r>
      <w:r>
        <w:t>, aunque la Constitución permite otra vía: «Los Alcaldes serán elegidos por los Concejales o por los vecinos»</w:t>
      </w:r>
      <w:r>
        <w:t xml:space="preserve"> (Constitución, art. 140)</w:t>
      </w:r>
      <w:r>
        <w:t>. Al Presidente del Gobierno lo propone el Rey y lo inviste el Congreso (art. 99). Solo en el Senado se vota a personas: «a un máximo de tres candidatos en las circunscripciones provinciales»</w:t>
      </w:r>
      <w:r>
        <w:t xml:space="preserve"> (LOREG, art. 166.1.a)</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t xml:space="preserve"> (Diccionario panhispánico del español jurídico)</w:t>
      </w:r>
      <w:r>
        <w:t>. La de la libertad viene del derecho romano: «cuando la interpretación sobre la libertad sea dudosa, se ha de responder a favor de la libertad»</w:t>
      </w:r>
      <w:r>
        <w:t xml:space="preserve"> (Digesto 50.17.20)</w:t>
      </w:r>
      <w:r>
        <w:t>. Y otra, de un decreto del emperador Marco Aurelio: «hay violencia también siempre que alguien reclama sin juez lo que cree que se le debe»</w:t>
      </w:r>
      <w:r>
        <w:t xml:space="preserve"> (Digesto 48.7.7)</w:t>
      </w:r>
      <w:r>
        <w:t>. España, además, ratificó que «Nadie será encarcelado por el solo hecho de no poder cumplir una obligación contractual»</w:t>
      </w:r>
      <w:r>
        <w:t xml:space="preserve"> (Pacto Internacional de Derechos Civiles y Políticos, art. 11, BOE de 30-4-1977)</w:t>
      </w:r>
      <w:r>
        <w:t>.</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t xml:space="preserve"> (Eurostat, cuentas de las administraciones públicas)</w:t>
      </w:r>
      <w:r>
        <w:t>. Se pide prestado, cada año, más o menos lo que cuestan los intereses de lo ya pedido. La deuda llegó a 1.698.225 millones a final de 2025</w:t>
      </w:r>
      <w:r>
        <w:t xml:space="preserve"> (Eurostat, deuda de las administraciones públicas)</w:t>
      </w:r>
      <w:r>
        <w:t>, y para 2026 la Autoridad Fiscal estima 43.300 millones de intereses (</w:t>
      </w:r>
      <w:r>
        <w:t>7.6</w:t>
      </w:r>
      <w:r>
        <w:t>).</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t xml:space="preserve"> (Eurostat, gov_10a_exp, 2024, actualizado el 16-9-2026)</w:t>
      </w:r>
      <w:r>
        <w:t>. De los 297.532 millones de protección social, 267.057 (89,8 %) son prestaciones sociales en dinero; el personal y el funcionamiento suman 16.402 (9.127 y 7.275)</w:t>
      </w:r>
      <w:r>
        <w:t xml:space="preserve"> (Eurostat, gov_10a_exp, función 10, 2024)</w:t>
      </w:r>
      <w:r>
        <w:t>.</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t xml:space="preserve"> (Seguridad Social, nota de 5-1-2026)</w:t>
      </w:r>
      <w:r>
        <w:t xml:space="preserve"> para 10.547.417 pensiones en septiembre de 2026; y la fecundidad está en 1,10 hijos por mujer (</w:t>
      </w:r>
      <w:r>
        <w:t>8.8</w:t>
      </w:r>
      <w:r>
        <w:t>).</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t xml:space="preserve"> (Real Decreto-ley 28/2012, art. 1)</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t xml:space="preserve"> (Fondo de Reserva, informes a las Cortes Generales de 2020 y 2025)</w:t>
      </w:r>
      <w:r>
        <w:t>. Hoy vuelve a tener 14.069,81 millones (31-12-2025), pero gracias a una cotización nueva que pagan trabajadores y empresas desde 2023, el mecanismo de equidad intergeneracional: 10.150 millones de 2023 a 2025</w:t>
      </w:r>
      <w:r>
        <w:t xml:space="preserve"> (informe de 2025)</w:t>
      </w:r>
      <w:r>
        <w:t>. La última dotación al Fondo con cargo a excedentes fue la de 2010</w:t>
      </w:r>
      <w:r>
        <w:t xml:space="preserve"> (Fondo de Reserva, informe de 2025)</w:t>
      </w:r>
      <w:r>
        <w:t>. No fue apropiación: se usó para pagar pensiones (</w:t>
      </w:r>
      <w:r>
        <w:t>7.5</w:t>
      </w:r>
      <w:r>
        <w:t>, caso 4). Y en qué está invertida: «La cartera está compuesta, exclusivamente, por deuda pública española»</w:t>
      </w:r>
      <w:r>
        <w:t xml:space="preserve"> (ídem)</w:t>
      </w:r>
      <w:r>
        <w:t>, porque la ley ordena invertirla en títulos públicos y en su comité se sienta el Director General del Tesoro (</w:t>
      </w:r>
      <w:r>
        <w:t>5.1</w:t>
      </w:r>
      <w:r>
        <w:t>, n.º 2).</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t xml:space="preserve"> (Fondo de Reserva, informe de 2025, con datos de INVERCO)</w:t>
      </w:r>
      <w:r>
        <w:t>. Qué ha pasado con un depósito de todos lo juzgan las tradiciones con la regla de devolver lo confiado (</w:t>
      </w:r>
      <w:r>
        <w:t>3.2</w:t>
      </w:r>
      <w:r>
        <w:t>, P5).</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t xml:space="preserve"> (Ley 19/2013, art. 12)</w:t>
      </w:r>
      <w:r>
        <w:t>, y dejar constancia de la respuesta o del silencio (</w:t>
      </w:r>
      <w:r>
        <w:t>10.4</w:t>
      </w:r>
      <w:r>
        <w:t>).</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Un sistema que nació viciado en 1971, cuando se rompió el último vínculo de la moneda con el oro, da frutos viciados: esto apunta hacia el padre de la mentira (Jn 8:44). «Por sus frutos los conoceréis» (Mt 7:16). «El que tiene oídos para oir, oiga» (Mt 11:15).</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t xml:space="preserve"> (Real Decreto-ley 9/1981, preámbulo)</w:t>
      </w:r>
      <w:r>
        <w:t>. La de 1983 la continuó con un nuevo marco</w:t>
      </w:r>
      <w:r>
        <w:t xml:space="preserve"> (Real Decreto-ley 8/1983, de Reconversión y Reindustrialización)</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t xml:space="preserve"> (Marín Arce, «La fase dura de la reconversión industrial: 1983-1986», Historia del Presente, n.º 8, 2006)</w:t>
      </w:r>
      <w:r>
        <w:t>.</w:t>
      </w:r>
    </w:p>
    <w:p>
      <w:r>
        <w:rPr>
          <w:b/>
        </w:rPr>
        <w:t>Las privatizaciones.</w:t>
      </w:r>
      <w:r>
        <w:t xml:space="preserve"> Entre 1996 y 2002, el Consejo de Ministros autorizó «48 operaciones de privatización» que «han afectado a 45 empresas»</w:t>
      </w:r>
      <w:r>
        <w:t xml:space="preserve"> (Tribunal de Cuentas, informe de fiscalización de las privatizaciones de 1996 a 2002, BOCG de 13-1-2006)</w:t>
      </w:r>
      <w:r>
        <w:t>. En 1997 se ingresaron 12.481 millones de euros y en 1998, 13.083</w:t>
      </w:r>
      <w:r>
        <w:t xml:space="preserve"> (Bel y Costas, Revista de Historia Industrial, 2001, con datos del Consejo Consultivo de Privatizaciones)</w:t>
      </w:r>
      <w:r>
        <w:t>. Y fue obra de Gobiernos de distinto signo: Endesa se empezó a vender en 1988, y su última gran venta fue en 1998</w:t>
      </w:r>
      <w:r>
        <w:t xml:space="preserve"> (ídem; Tribunal de Cuentas)</w:t>
      </w:r>
      <w:r>
        <w:t>.</w:t>
      </w:r>
    </w:p>
    <w:p>
      <w:r>
        <w:rPr>
          <w:b/>
        </w:rPr>
        <w:t>El puesto de España en el mundo, por PIB.</w:t>
      </w:r>
      <w:r>
        <w:t xml:space="preserve"> Duodécima en 1970 y octava en 2007</w:t>
      </w:r>
      <w:r>
        <w:t xml:space="preserve"> (Banco Mundial, PIB en dólares corrientes)</w:t>
      </w:r>
      <w:r>
        <w:t>; decimoquinta en 2024 y duodécima en 2025, con una previsión de la decimocuarta para 2026</w:t>
      </w:r>
      <w:r>
        <w:t xml:space="preserve"> (FMI, Perspectivas de la economía mundial, abril de 2026)</w:t>
      </w:r>
      <w:r>
        <w:t>. Son puestos calculados por la obra ordenando los datos de cada organismo; en 1970 solo hay datos de 146 economías.</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t xml:space="preserve"> (EFSA, informe de la UE sobre residuos de plaguicidas de 2023)</w:t>
      </w:r>
      <w:r>
        <w:t>. España analizó 2.492 muestras, y según una organización ecologista, con los datos oficiales, el 9,63 % de los alimentos importados contenía plaguicidas no autorizados en la UE, frente al 4,70 % de los de aquí</w:t>
      </w:r>
      <w:r>
        <w:t xml:space="preserve"> (Ecologistas en Acción, «Directo a tus hormonas», 2025; parte interesada)</w:t>
      </w:r>
      <w:r>
        <w:t>. Exigir a lo importado lo mismo que a lo europeo, las llamadas cláusulas espejo, sigue en debate.</w:t>
      </w:r>
    </w:p>
    <w:p>
      <w:r>
        <w:rPr>
          <w:b/>
        </w:rPr>
        <w:t>La vivienda en Cataluña.</w:t>
      </w:r>
      <w:r>
        <w:t xml:space="preserve"> Cataluña fue la primera en declarar zonas de mercado residencial tensionado con la ley de vivienda de 2023: 140 municipios, con efectos desde marzo de 2024</w:t>
      </w:r>
      <w:r>
        <w:t xml:space="preserve"> (BOE de 15-3-2024)</w:t>
      </w:r>
      <w:r>
        <w:t>, y otros 131</w:t>
      </w:r>
      <w:r>
        <w:t xml:space="preserve"> (BOE de 9-10-2024)</w:t>
      </w:r>
      <w:r>
        <w:t>; en total, «7.172.196 personas, lo que representa un 90,7 %» de la población catalana</w:t>
      </w:r>
      <w:r>
        <w:t xml:space="preserve"> (Generalitat de Catalunya, memoria justificativa, 1-7-2024)</w:t>
      </w:r>
      <w:r>
        <w:t>. En julio de 2026 se tramitaba prorrogar la declaración en 118 de los 140 (5.919.365 habitantes) y declarar 53 nuevos</w:t>
      </w:r>
      <w:r>
        <w:t xml:space="preserve"> (Generalitat, memorias de julio de 2026)</w:t>
      </w:r>
      <w:r>
        <w:t>. Los contratos de alquiler con fianza depositada en Cataluña fueron 167.953 en 2018, 152.770 en 2022, 132.988 en 2023, 118.626 en 2024 y unos 108.057 en 2025</w:t>
      </w:r>
      <w:r>
        <w:t xml:space="preserve"> (Generalitat, datos abiertos, fianzas del Incasòl; 2025, suma de trimestres de la obra, porque la fila anual publicada no cuadra)</w:t>
      </w:r>
      <w:r>
        <w:t>. Caen, y la caída empezó antes de la declaración; el dato no dice por qué.</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w:t>
      </w:r>
    </w:p>
    <w:p>
      <w:r>
        <w:rPr>
          <w:b/>
        </w:rPr>
        <w:t>Lectura del autor:</w:t>
      </w:r>
      <w:r>
        <w:t xml:space="preserve"> el mismo actor que levantó la industria pesada durante la autarquía la desmontó después, y el coste lo pagaron comarcas enteras.</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t xml:space="preserve"> (Banco de España, indicadores del mercado inmobiliario, cuadro SI 1.5)</w:t>
      </w:r>
      <w:r>
        <w:t>. Es renta bruta del hogar, antes de impuestos y cotizaciones: no es el esfuerzo real.</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t xml:space="preserve"> (ídem)</w:t>
      </w:r>
      <w:r>
        <w:t>. El tipo de los préstamos libres para adquisición de vivienda era del 16,46 % en junio de 1990 y del 17,05 % en enero de 1991</w:t>
      </w:r>
      <w:r>
        <w:t xml:space="preserve"> (Banco de España, serie SI_1_5.40)</w:t>
      </w:r>
      <w:r>
        <w:t>.</w:t>
      </w:r>
    </w:p>
    <w:p>
      <w:r>
        <w:rPr>
          <w:b/>
        </w:rPr>
        <w:t>La aritmética de una persona.</w:t>
      </w:r>
      <w:r>
        <w:t xml:space="preserve"> Con el salario medio, 29.540,26 euros brutos</w:t>
      </w:r>
      <w:r>
        <w:t xml:space="preserve"> (INE, Encuesta Anual de Estructura Salarial 2024)</w:t>
      </w:r>
      <w:r>
        <w:t>, y ahorrando lo que ahorran de media los hogares, el 12,0 % de su renta disponible en 2025</w:t>
      </w:r>
      <w:r>
        <w:t xml:space="preserve"> (INE, cuentas de los sectores, cuarto trimestre de 2025)</w:t>
      </w:r>
      <w:r>
        <w:t>, una persona sola tardaría unos 25 años en reunir la entrada y los gastos de compra, en torno al 30 % del precio, y más de 80 en reunir el precio entero. Incluso gastando solo lo que gasta de media una persona, 13.626 euros al año</w:t>
      </w:r>
      <w:r>
        <w:t xml:space="preserve"> (INE, Encuesta de Presupuestos Familiares 2024)</w:t>
      </w:r>
      <w:r>
        <w:t>, harían falta unos 7 años para la entrada y unos 25 para todo. Una pareja con dos sueldos tarda más o menos la mitad. Es aritmética de la obra, con un precio aproximado.</w:t>
      </w:r>
    </w:p>
    <w:p>
      <w:r>
        <w:rPr>
          <w:b/>
        </w:rPr>
        <w:t>Los hijos.</w:t>
      </w:r>
      <w:r>
        <w:t xml:space="preserve"> En 2024 nacieron 318.005 niños, un 0,8 % menos que el año anterior, y el número medio de hijos por mujer bajó a 1,10: 1,07 entre las madres españolas y 1,27 entre las extranjeras</w:t>
      </w:r>
      <w:r>
        <w:t xml:space="preserve"> (INE, Movimiento Natural de la Población, nota de 19-11-2025)</w:t>
      </w:r>
      <w:r>
        <w:t>. Es el mínimo de la serie, que empieza en 1975 con 2,77; el anterior mínimo fue 1,13, en 1998</w:t>
      </w:r>
      <w:r>
        <w:t xml:space="preserve"> (INE, indicadores demográficos básicos, tabla 1407)</w:t>
      </w:r>
      <w:r>
        <w:t>.</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No prueban que causen la caída de los hijos, y la obra no lo afirma.</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t xml:space="preserve"> (Mastroianni y Gilbert, «The illusion of moral decline» (La ilusión del declive moral), Nature 618, 2023)</w:t>
      </w:r>
      <w:r>
        <w:t>.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w:t>
      </w:r>
    </w:p>
    <w:p>
      <w:r>
        <w:rPr>
          <w:b/>
        </w:rPr>
        <w:t>La réplica.</w:t>
      </w:r>
      <w:r>
        <w:t xml:space="preserve"> Un equipo independiente repitió uno de los estudios en 2024, y sus resultados «coincidieron extremadamente de cerca con los del estudio original»</w:t>
      </w:r>
      <w:r>
        <w:t xml:space="preserve"> (Transparent Replications, informe n.º 10, 8-7-2024)</w:t>
      </w:r>
      <w:r>
        <w:t>. Una crítica filosófica sostiene que el argumento central del estudio es lógicamente inválido</w:t>
      </w:r>
      <w:r>
        <w:t xml:space="preserve"> (Smith, Smith y Stocks, «The Illusion of the Illusion of Moral Decline» (La ilusión de la ilusión del declive moral), 2023; fuente secundaria: leído solo en transcripción)</w:t>
      </w:r>
      <w:r>
        <w:t>.</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t xml:space="preserve"> (CIS, estudios de opinión pública y política fiscal de 2014 a 2026; las sumas de 6 a 10, de la obra)</w:t>
      </w:r>
      <w:r>
        <w:t>. La confianza entre la gente es hoy mayor que hace doce años.</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t xml:space="preserve"> (EsadeEcPol, «Polarización y convivencia en España 2021», 2022)</w:t>
      </w:r>
      <w:r>
        <w:t>.</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t xml:space="preserve"> (Acton, carta a Creighton, 5-4-1887, en Historical Essays and Studies, 1907, p. 504)</w:t>
      </w:r>
      <w:r>
        <w:t>. Y ya en Grecia se decía que lo justo era lo que conviene al más fuerte (</w:t>
      </w:r>
      <w:r>
        <w:t>1.4</w:t>
      </w:r>
      <w:r>
        <w:t>). La sensación de que el mundo empeora moralmente es, ella misma, una constante de la historia.</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El problema no está en la gente.</w:t>
      </w:r>
    </w:p>
    <w:p>
      <w:r>
        <w:rPr>
          <w:b/>
        </w:rPr>
        <w:t>Lectura del autor:</w:t>
      </w:r>
      <w:r>
        <w:t xml:space="preserve"> el sistema es el que ha creado los problemas actuales.</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t xml:space="preserve"> (AEMPS, Utilización de medicamentos antidepresivos en España, 2000-2013)</w:t>
      </w:r>
      <w:r>
        <w:t>; el Ministerio de Sanidad, de 66,2 en 2012 a 92,7 en 2021</w:t>
      </w:r>
      <w:r>
        <w:t xml:space="preserve"> (Ministerio de Sanidad, Informe Anual del Sistema Nacional de Salud 2022)</w:t>
      </w:r>
      <w:r>
        <w:t>; y la OCDE, con los datos que da España, de 28,2 en 2000 a 107,1 en 2024</w:t>
      </w:r>
      <w:r>
        <w:t xml:space="preserve"> (OCDE, consumo de antidepresivos (DDD por 1.000 habitantes y día), datos de España)</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t xml:space="preserve"> (INE, Defunciones según la causa de muerte, tabla 9936)</w:t>
      </w:r>
      <w:r>
        <w:t>. Pero hay más habitantes y más mayores, y la tasa por 100.000 habitantes publicada por el INE fue 7,57 en 2018, 8,85 en 2022 y 8,09 en 2024</w:t>
      </w:r>
      <w:r>
        <w:t xml:space="preserve"> (INE, mortalidad por suicidio, indicador 3.4.2 de los Objetivos de Desarrollo Sostenible, tabla 46688)</w:t>
      </w:r>
      <w:r>
        <w:t>. Ajustada por edad, la tasa baja: de 8,3 en 2000 a 7,7 en 2023, según la OCDE</w:t>
      </w:r>
      <w:r>
        <w:t xml:space="preserve"> (OCDE, Health at a Glance, suicidios, tasa estandarizada por edad)</w:t>
      </w:r>
      <w:r>
        <w:t>; y España está por debajo de la media de la OCDE (10,7 en 2023) y de la de la Unión Europea (10,37)</w:t>
      </w:r>
      <w:r>
        <w:t xml:space="preserve"> (OCDE, Health at a Glance; Eurostat, causas de muerte)</w:t>
      </w:r>
      <w:r>
        <w:t>.</w:t>
      </w:r>
    </w:p>
    <w:p>
      <w:r>
        <w:rPr>
          <w:b/>
        </w:rPr>
        <w:t>La población española, aparte.</w:t>
      </w:r>
      <w:r>
        <w:t xml:space="preserve"> La inmigración ha hecho crecer la población: los nacidos en el extranjero eran el 3,64 % el 1 de enero de 2000 y el 20,67 % el 1 de julio de 2026 (dato provisional)</w:t>
      </w:r>
      <w:r>
        <w:t xml:space="preserve"> (INE, Padrón y Estadística Continua de Población)</w:t>
      </w:r>
      <w:r>
        <w:t>. De 2000 a 2022 la población total creció un 17,2 %, la de nacionalidad española un 6,0 % y la nacida en España un 2,3 %</w:t>
      </w:r>
      <w:r>
        <w:t xml:space="preserve"> (ídem; cálculo de la obra)</w:t>
      </w:r>
      <w:r>
        <w:t>. Una tasa sobre la población total puede diluirse con ese aumento. Por eso se mide también por nacionalidad, que el INE publica desde 2005</w:t>
      </w:r>
      <w:r>
        <w:t xml:space="preserve"> (INE, Suicidios por edad, nacionalidad y sexo, 2005 a 2024)</w:t>
      </w:r>
      <w:r>
        <w:t>. En 2024, la tasa bruta por 100.000 fue 8,27 en la población española, 7,00 en la extranjera y 8,10 en la total; ajustada por edad (método directo, población estándar europea de 2013), 7,56, 7,70 y 7,57</w:t>
      </w:r>
      <w:r>
        <w:t xml:space="preserve"> (ídem; cálculo de la obra, con las muertes y la población de cada grupo)</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t xml:space="preserve"> (ídem; cálculo de la obra)</w:t>
      </w:r>
      <w:r>
        <w:t>.</w:t>
      </w:r>
    </w:p>
    <w:p>
      <w:r>
        <w:rPr>
          <w:b/>
        </w:rPr>
        <w:t>Divorcios.</w:t>
      </w:r>
      <w:r>
        <w:t xml:space="preserve"> Eran 37.743 en 2000, llegaron al máximo en 2006, con 126.952, y bajaron a 80.785 en 2025</w:t>
      </w:r>
      <w:r>
        <w:t xml:space="preserve"> (INE, Estadística de Nulidades, Separaciones y Divorcios)</w:t>
      </w:r>
      <w:r>
        <w:t>. El salto de 2005 a 2006 (de 72.848 a 126.952) coincide con la Ley 15/2005, que permitió divorciarse sin separación previa</w:t>
      </w:r>
      <w:r>
        <w:t xml:space="preserve"> (Ley 15/2005, de 8 de julio, BOE núm. 163, de 9-7-2005)</w:t>
      </w:r>
      <w:r>
        <w:t>; la serie solo muestra el salto, y atribuirlo a la ley es una lectura. Por cada 100 matrimonios, los divorcios fueron 61,1 en 2006 y 47,3 en 2024</w:t>
      </w:r>
      <w:r>
        <w:t xml:space="preserve"> (ídem; cálculo de la obra)</w:t>
      </w:r>
      <w:r>
        <w:t>. Entre cónyuges ambos españoles, que el INE separa desde 2007, fueron 111.437 en 2007 y 64.701 en 2024: 2,76 y 1,53 por cada 1.000 españoles</w:t>
      </w:r>
      <w:r>
        <w:t xml:space="preserve"> (ídem; cálculo de la obra)</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t xml:space="preserve"> (INE, Encuesta Nacional de Salud de España, 2011, 2017 y 2023)</w:t>
      </w:r>
      <w:r>
        <w:t>; la edición de 2006 no es comparable. Lo que sí sube son los síntomas depresivos graves, medidos con el cuestionario PHQ-8: del 2,5 % en 2020 al 8,0 % en 2023</w:t>
      </w:r>
      <w:r>
        <w:t xml:space="preserve"> (INE, Encuesta de Salud, cuestionario PHQ-8, tabla 71507; cálculo de la obra)</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t xml:space="preserve"> (Ley 7/2012, art. 7, Uno.1)</w:t>
      </w:r>
      <w:r>
        <w:t>. El límite era de 2.500 euros y la Ley 11/2021 lo bajó a 1.000</w:t>
      </w:r>
      <w:r>
        <w:t xml:space="preserve"> (Ley 11/2021, preámbulo)</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t xml:space="preserve"> (Reglamento (UE) 2024/1624, art. 80)</w:t>
      </w:r>
      <w:r>
        <w:t>. Dos tercios de los Estados miembros ya tenían límites, de 500 euros en Grecia a algo más de 10.000 en Chequia</w:t>
      </w:r>
      <w:r>
        <w:t xml:space="preserve"> (Comisión Europea, 24-4-2024)</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t xml:space="preserve"> (BCE, nota de prensa de 4-5-2016)</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t xml:space="preserve"> (COM(2023) 364, art. 4)</w:t>
      </w:r>
      <w:r>
        <w:t>. El BCE decidió el 18 de octubre de 2023 pasar a la fase de preparación, que empezó en noviembre, y el 30 de octubre de 2025 pasar a la siguiente, y dice que complementaría al efectivo</w:t>
      </w:r>
      <w:r>
        <w:t xml:space="preserve"> (BCE, informe de 18-10-2023, nota de prensa de 30-10-2025 y preguntas frecuentes sobre el euro digital)</w:t>
      </w:r>
      <w:r>
        <w:t>. En octubre de 2026 no hay acuerdo final</w:t>
      </w:r>
      <w:r>
        <w:t xml:space="preserve"> (Parlamento Europeo, Observatorio Legislativo, procedimientos 2023/0212(COD) y 2023/0208(COD), leídos el 10-10-2026)</w:t>
      </w:r>
      <w:r>
        <w:t>.</w:t>
      </w:r>
    </w:p>
    <w:p>
      <w:pPr>
        <w:pStyle w:val="ListBullet"/>
      </w:pPr>
      <w:r>
        <w:rPr>
          <w:b/>
        </w:rPr>
        <w:t>Los países:</w:t>
      </w:r>
      <w:r>
        <w:t xml:space="preserve"> en la zona del euro el efectivo fue el 52 % de los pagos en tienda en 2024, del 22 % en Países Bajos al 67 % en Malta</w:t>
      </w:r>
      <w:r>
        <w:t xml:space="preserve"> (BCE, estudio SPACE 2024)</w:t>
      </w:r>
      <w:r>
        <w:t>. En las fuentes oficiales leídas, ningún país prohíbe pagar en efectivo en general; sí hay límites por operación (500 euros en Grecia, 3.000 en Países Bajos para bienes)</w:t>
      </w:r>
      <w:r>
        <w:t xml:space="preserve"> (Comisión Europea, 24-4-2024; Gobierno de los Países Bajos, prohibición de los pagos en efectivo desde 3.000 euros)</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t xml:space="preserve"> (Real Decreto 304/2014, art. 4.1)</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t xml:space="preserve"> (Ap 13:16-17)</w:t>
      </w:r>
      <w:r>
        <w:t>. Lo impone la segunda bestia, que hace adorar a la primera y hará que quienes no adoren su imagen «sean muertos»</w:t>
      </w:r>
      <w:r>
        <w:t xml:space="preserve"> (Ap 13:11-15)</w:t>
      </w:r>
      <w:r>
        <w:t>; tomar la señal es adorar a la bestia</w:t>
      </w:r>
      <w:r>
        <w:t xml:space="preserve"> (Ap 14:9-11)</w:t>
      </w:r>
      <w:r>
        <w:t>. El texto no nombra ningún medio, ningún gobierno ni ningún documento. La señal en la mano y entre los ojos ya estaba en la Biblia como señal de la ley de Dios</w:t>
      </w:r>
      <w:r>
        <w:t xml:space="preserve"> (Dt 6:8)</w:t>
      </w:r>
      <w:r>
        <w:t>, y la señal de Dios en las frentes, en el propio Apocalipsis</w:t>
      </w:r>
      <w:r>
        <w:t xml:space="preserve"> (Ap 7:3)</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t xml:space="preserve"> (Hipólito, Sobre Cristo y el Anticristo, cap. 49)</w:t>
      </w:r>
      <w:r>
        <w:t>. Victorino de Pettau dice que sus siervos recibirán el número de su nombre «para que nadie los compre ni los venda»</w:t>
      </w:r>
      <w:r>
        <w:t xml:space="preserve"> (Victorino de Pettau, Comentario al Apocalipsis, cap. 13)</w:t>
      </w:r>
      <w:r>
        <w:t>. En Hipólito, la condición para comerciar es un acto de culto; en Victorino, la señal es la de los siervos del Anticristo: en los dos, una lealtad.</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r>
        <w:br w:type="page"/>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t xml:space="preserve"> (Ley de Sociedades de Capital, art. 363.1.e)</w:t>
      </w:r>
      <w:r>
        <w:t>. Es la vara de la obra: la regla que el sistema aplica a cualquier persona o empresa (</w:t>
      </w:r>
      <w:r>
        <w:t>0.5</w:t>
      </w:r>
      <w:r>
        <w:t>).</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t xml:space="preserve"> (Tribunal de Cuentas, Declaración sobre la Cuenta General del Estado de 2024, párr. 2.23)</w:t>
      </w:r>
      <w:r>
        <w:t>. Son ocho cierres seguidos (</w:t>
      </w:r>
      <w:r>
        <w:t>7.2</w:t>
      </w:r>
      <w:r>
        <w:t>, n.º 11).</w:t>
      </w:r>
    </w:p>
    <w:p>
      <w:pPr>
        <w:pStyle w:val="ListBullet"/>
      </w:pPr>
      <w:r>
        <w:rPr>
          <w:b/>
        </w:rPr>
        <w:t>Debe al Estado</w:t>
      </w:r>
      <w:r>
        <w:t xml:space="preserve"> 126.170 millones de euros en préstamos, «un 7,91 % del Producto Interior Bruto (PIB) de 2024»</w:t>
      </w:r>
      <w:r>
        <w:t xml:space="preserve"> (ídem, párr. 4.20)</w:t>
      </w:r>
      <w:r>
        <w:t>.</w:t>
      </w:r>
    </w:p>
    <w:p>
      <w:pPr>
        <w:pStyle w:val="ListBullet"/>
      </w:pPr>
      <w:r>
        <w:rPr>
          <w:b/>
        </w:rPr>
        <w:t>Las administraciones</w:t>
      </w:r>
      <w:r>
        <w:t xml:space="preserve"> gastaron más de lo que ingresaron en 28 de los 31 años de 1995 a 2025: solo cerraron con superávit en 2005, 2006 y 2007</w:t>
      </w:r>
      <w:r>
        <w:t xml:space="preserve"> (Eurostat, cuentas de las administraciones públicas (gov_10a_main), saldo en % del PIB)</w:t>
      </w:r>
      <w:r>
        <w:t>. La deuda pasó de 384.662 millones de euros en 2007 a 1.698.225 a final de 2025</w:t>
      </w:r>
      <w:r>
        <w:t xml:space="preserve"> (Eurostat, deuda de las administraciones públicas (gov_10dd_edpt1))</w:t>
      </w:r>
      <w:r>
        <w:t>, y lo que falta cada año equivale, más o menos, a los intereses de lo ya pedido (</w:t>
      </w:r>
      <w:r>
        <w:t>8.6</w:t>
      </w:r>
      <w:r>
        <w:t>).</w:t>
      </w:r>
    </w:p>
    <w:p>
      <w:r>
        <w:rPr>
          <w:b/>
        </w:rPr>
        <w:t>Por qué no se le declara en quiebra.</w:t>
      </w:r>
      <w:r>
        <w:t xml:space="preserve"> Porque la ley que él mismo escribe lo excluye del concurso de acreedores (</w:t>
      </w:r>
      <w:r>
        <w:t>5.1</w:t>
      </w:r>
      <w:r>
        <w:t>, n.º 7). Y nadie debe ser juez en su propia causa (</w:t>
      </w:r>
      <w:r>
        <w:t>1.7</w:t>
      </w:r>
      <w:r>
        <w:t>).</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t xml:space="preserve"> (Eurostat, deuda de las administraciones públicas)</w:t>
      </w:r>
      <w:r>
        <w:t>: la prometida era más de cuatro veces mayor, 4,3 veces (cálculo de la obra). El propio INE advierte que es el valor actual de pagos futuros, no una deuda que venza hoy (</w:t>
      </w:r>
      <w:r>
        <w:t>5.1</w:t>
      </w:r>
      <w:r>
        <w:t>, n.º 24).</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r>
        <w:rPr>
          <w:b/>
        </w:rPr>
        <w:t>Lectura del autor:</w:t>
      </w:r>
      <w:r>
        <w:t xml:space="preserve"> el ciudadano es a la vez acreedor y pagador: el sistema le debe, y le cobra para pagarle lo que le debe. Es una deuda contraída contra el ciudadano, y es el Estado quien debe compensarle.</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t xml:space="preserve"> (Tribunal Militar Internacional de Núremberg, sentencia de 1-10-1946, «The Law of the Charter» (El derecho del Estatuto))</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t xml:space="preserve"> (Código Penal, art. 127 quater.1.a)</w:t>
      </w:r>
      <w:r>
        <w:t>. La ley ya presume, salvo prueba en contrario, que el tercero lo sabía cuando los bienes «le hubieran sido transferidos a título gratuito o por un precio inferior al real de mercado»</w:t>
      </w:r>
      <w:r>
        <w:t xml:space="preserve"> (art. 127 quater.2)</w:t>
      </w:r>
      <w:r>
        <w:t>.</w:t>
      </w:r>
    </w:p>
    <w:p>
      <w:pPr>
        <w:spacing w:after="60"/>
        <w:ind w:left="510" w:hanging="397"/>
      </w:pPr>
      <w:r>
        <w:rPr>
          <w:b w:val="0"/>
        </w:rPr>
        <w:t xml:space="preserve">4. </w:t>
      </w:r>
      <w:r>
        <w:rPr>
          <w:b/>
        </w:rPr>
        <w:t>Y nunca por apellido ni por parentesco:</w:t>
      </w:r>
      <w:r>
        <w:t xml:space="preserve"> «el hijo no llevará por el pecado del padre»</w:t>
      </w:r>
      <w:r>
        <w:t xml:space="preserve"> (Ez 18:20)</w:t>
      </w:r>
      <w:r>
        <w:t>. Es el principio de que cada uno responde de lo suyo (</w:t>
      </w:r>
      <w:r>
        <w:t>3.2</w:t>
      </w:r>
      <w:r>
        <w:t>, P7).</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Y que castigar a quien había atacado a sus vecinos violando tratados no era injusto, porque «en tales circunstancias el atacante debe saber que obra mal»</w:t>
      </w:r>
      <w:r>
        <w:t xml:space="preserve"> (ídem)</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t xml:space="preserve"> (Ley de Enjuiciamiento Civil, art. 607.1)</w:t>
      </w:r>
      <w:r>
        <w:t>.</w:t>
      </w:r>
    </w:p>
    <w:p>
      <w:r>
        <w:rPr>
          <w:b/>
        </w:rPr>
        <w:t>Los hijos.</w:t>
      </w:r>
      <w:r>
        <w:t xml:space="preserve"> No pagan por sus padres: «no mató á los hijos de los que le mataron, conforme á lo que está escrito en el libro de la ley de Moisés»</w:t>
      </w:r>
      <w:r>
        <w:t xml:space="preserve"> (2 R 14:6)</w:t>
      </w:r>
      <w:r>
        <w:t>. Pero tampoco conservan lo que sus padres no podían dejarles. La herencia comprende «todos los bienes, derechos y obligaciones de una persona que no se extingan por su muerte»</w:t>
      </w:r>
      <w:r>
        <w:t xml:space="preserve"> (Código Civil, art. 659)</w:t>
      </w:r>
      <w:r>
        <w:t>, y quien la acepta a beneficio de inventario responde de sus cargas solo «hasta donde alcancen los bienes de la misma»</w:t>
      </w:r>
      <w:r>
        <w:t xml:space="preserve"> (art. 1023)</w:t>
      </w:r>
      <w:r>
        <w:t>. Lo heredado de origen ilícito se devuelve, hasta donde alcance la herencia, y lo que los hijos ganaron con su trabajo es suyo. Quien demuestre haber servido al bien común verá valorada esa conducta, después de restituir.</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Es la raíz de la propia palabra del poder, y sirve de medida: ¿hace crecer este sistema a quienes lo sostienen?</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t xml:space="preserve"> (Decreto 2065/1974, art. 154.1.b)</w:t>
      </w:r>
      <w:r>
        <w:t>. Desde 1985, quince</w:t>
      </w:r>
      <w:r>
        <w:t xml:space="preserve"> (Ley 26/1985, art. 2.1)</w:t>
      </w:r>
      <w:r>
        <w:t>, como hoy: «Tener cubierto un período mínimo de cotización de quince años»</w:t>
      </w:r>
      <w:r>
        <w:t xml:space="preserve"> (Ley General de la Seguridad Social, art. 205.1.b)</w:t>
      </w:r>
      <w:r>
        <w:t>.</w:t>
      </w:r>
    </w:p>
    <w:p>
      <w:pPr>
        <w:pStyle w:val="ListBullet"/>
      </w:pPr>
      <w:r>
        <w:rPr>
          <w:b/>
        </w:rPr>
        <w:t>Para calcularla:</w:t>
      </w:r>
      <w:r>
        <w:t xml:space="preserve"> en 1985, con los últimos ocho años: «las bases de cotización del interesado durante los noventa y seis meses inmediatamente anteriores»</w:t>
      </w:r>
      <w:r>
        <w:t xml:space="preserve"> (Ley 26/1985, art. 3.1)</w:t>
      </w:r>
      <w:r>
        <w:t>; desde 2026, con las 302 mejores bases de los últimos 304 meses, unos 25 años</w:t>
      </w:r>
      <w:r>
        <w:t xml:space="preserve"> (Ley General de la Seguridad Social, disposición transitoria cuadragésima)</w:t>
      </w:r>
      <w:r>
        <w:t>; y desde 2037, con las 324 mejores de los últimos 348 meses: los 27 mejores años de los últimos 29</w:t>
      </w:r>
      <w:r>
        <w:t xml:space="preserve"> (art. 209.1)</w:t>
      </w:r>
      <w:r>
        <w:t>.</w:t>
      </w:r>
    </w:p>
    <w:p>
      <w:pPr>
        <w:pStyle w:val="ListBullet"/>
      </w:pPr>
      <w:r>
        <w:rPr>
          <w:b/>
        </w:rPr>
        <w:t>Para cobrarla entera:</w:t>
      </w:r>
      <w:r>
        <w:t xml:space="preserve"> desde 2027, 37 años cotizados: el 50 % por los primeros quince, y el resto mes a mes</w:t>
      </w:r>
      <w:r>
        <w:t xml:space="preserve"> (art. 210.1 y disposición transitoria novena; cálculo de la obra)</w:t>
      </w:r>
      <w:r>
        <w:t>.</w:t>
      </w:r>
    </w:p>
    <w:p>
      <w:pPr>
        <w:pStyle w:val="ListBullet"/>
      </w:pPr>
      <w:r>
        <w:rPr>
          <w:b/>
        </w:rPr>
        <w:t>La edad:</w:t>
      </w:r>
      <w:r>
        <w:t xml:space="preserve"> «Haber cumplido sesenta y siete años de edad, o sesenta y cinco años cuando se acrediten treinta y ocho años y seis meses de cotización»</w:t>
      </w:r>
      <w:r>
        <w:t xml:space="preserve"> (art. 205.1.a)</w:t>
      </w:r>
      <w:r>
        <w:t>. La subida desde los 65 se completa en 2027</w:t>
      </w:r>
      <w:r>
        <w:t xml:space="preserve"> (disposición transitoria séptima)</w:t>
      </w:r>
      <w:r>
        <w:t>.</w:t>
      </w:r>
    </w:p>
    <w:p>
      <w:r>
        <w:rPr>
          <w:b/>
        </w:rPr>
        <w:t>Más carga.</w:t>
      </w:r>
    </w:p>
    <w:p>
      <w:pPr>
        <w:pStyle w:val="ListBullet"/>
      </w:pPr>
      <w:r>
        <w:rPr>
          <w:b/>
        </w:rPr>
        <w:t>Impuestos y cotizaciones:</w:t>
      </w:r>
      <w:r>
        <w:t xml:space="preserve"> lo que pasa por las administraciones por esas dos vías era el 32,3 % del PIB en 1995 y fue el 37,3 % en 2024</w:t>
      </w:r>
      <w:r>
        <w:t xml:space="preserve"> (Eurostat, gov_10a_taxag)</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t xml:space="preserve"> (Eurostat, cuentas de las administraciones públicas (gov_10a_main))</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t xml:space="preserve"> (OCDE, Taxing Wages)</w:t>
      </w:r>
      <w:r>
        <w:t xml:space="preserve"> (</w:t>
      </w:r>
      <w:r>
        <w:t>8.4</w:t>
      </w:r>
      <w:r>
        <w:t>), sin el IVA, los tributos municipales ni los impuestos especiales.</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t xml:space="preserve"> (Instituto de Estudios Económicos, Revista del IEE, n.º 4/2022, pp. 16 y 26; estudio privado)</w:t>
      </w:r>
      <w:r>
        <w:t>. Solo esa mitad ya supera lo que se gasta en gobierno, parlamentos y hacienda: el 1,3 % del PIB en 2024</w:t>
      </w:r>
      <w:r>
        <w:t xml:space="preserve"> (Eurostat, gasto por funciones (gov_10a_exp), grupo GF0101)</w:t>
      </w:r>
      <w:r>
        <w:t>.</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t xml:space="preserve"> (Hobbes, Leviatán, cap. XXIX)</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t xml:space="preserve"> (Orden EHA/3565/2008, anexo IV, concepto 391, subconcepto 391.20)</w:t>
      </w:r>
      <w:r>
        <w:t>. El Ayuntamiento de Madrid previó 211,4 millones de euros por multas de circulación en 2024 y reconoció 220,2, un 4,1 % más; en 2023, 199,3 previstos y 213,4 reconocidos, un 7,1 % más</w:t>
      </w:r>
      <w:r>
        <w:t xml:space="preserve"> (Ayuntamiento de Madrid, ejecución del presupuesto de ingresos, datos abiertos)</w:t>
      </w:r>
      <w:r>
        <w:t>. El castigo que se presupuesta antes de cometerse la infracción es lo que las tradiciones separaron del negocio (</w:t>
      </w:r>
      <w:r>
        <w:t>3.2</w:t>
      </w:r>
      <w:r>
        <w:t>, P8).</w:t>
      </w:r>
    </w:p>
    <w:p>
      <w:r>
        <w:rPr>
          <w:b/>
        </w:rPr>
        <w:t>Lo que hay que reconocer.</w:t>
      </w:r>
    </w:p>
    <w:p>
      <w:pPr>
        <w:pStyle w:val="ListBullet"/>
      </w:pPr>
      <w:r>
        <w:rPr>
          <w:b/>
        </w:rPr>
        <w:t>Se vive más.</w:t>
      </w:r>
      <w:r>
        <w:t xml:space="preserve"> La esperanza de vida a los 65 años pasó de 15,8 años en 1978 a 21,9 en 2024</w:t>
      </w:r>
      <w:r>
        <w:t xml:space="preserve"> (INE, tabla 1415)</w:t>
      </w:r>
      <w:r>
        <w:t>: la pensión se cobra más años, y la edad de jubilación ha subido dos. El gasto en pensiones de vejez es el que más crece: del 6,6 % del PIB en 1995 al 10,4 % en 2024, todavía provisional</w:t>
      </w:r>
      <w:r>
        <w:t xml:space="preserve"> (Eurostat, gasto por funciones (gov_10a_exp))</w:t>
      </w:r>
      <w:r>
        <w:t>.</w:t>
      </w:r>
    </w:p>
    <w:p>
      <w:pPr>
        <w:pStyle w:val="ListBullet"/>
      </w:pPr>
      <w:r>
        <w:rPr>
          <w:b/>
        </w:rPr>
        <w:t>La estructura no crece.</w:t>
      </w:r>
      <w:r>
        <w:t xml:space="preserve"> Lo que se gasta en gobierno, parlamentos y hacienda baja: del 1,5 % del PIB en 1995 al 1,3 % en 2024</w:t>
      </w:r>
      <w:r>
        <w:t xml:space="preserve"> (ídem)</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t xml:space="preserve"> (Comín, «Sector público y crecimiento económico en la dictadura de Franco», Ayer, 21, 1996, p. 167)</w:t>
      </w:r>
      <w:r>
        <w:t>. La forma cambia; el patrón de una estructura que se sostiene sobre la persona permanece.</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r>
        <w:rPr>
          <w:b/>
        </w:rPr>
        <w:t>Lectura del autor:</w:t>
      </w:r>
      <w:r>
        <w:t xml:space="preserve"> ha llegado a su final. Ha perdido su </w:t>
      </w:r>
      <w:r>
        <w:rPr>
          <w:i/>
        </w:rPr>
        <w:t>auctoritas</w:t>
      </w:r>
      <w:r>
        <w:t>,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Y sigue: «pero porque es mortal y está sujeto a la decadencia, como todas las demás criaturas terrenas, y porque hay algo en el cielo, aunque no en la tierra, a lo que debe temer y cuyas leyes debe obedecer»</w:t>
      </w:r>
      <w:r>
        <w:t>, dedicará los capítulos siguientes a «sus enfermedades y las causas de su mortalidad, y a qué leyes de la naturaleza está obligado a obedecer»</w:t>
      </w:r>
      <w:r>
        <w:t xml:space="preserve"> (Hobbes, Leviatán, final del cap. XXVIII)</w:t>
      </w:r>
      <w:r>
        <w:t>. La portada de 1651 recoge el versículo cortado (</w:t>
      </w:r>
      <w:r>
        <w:t>6.1</w:t>
      </w:r>
      <w:r>
        <w:t>); la Vulgata continúa: «qui factus est ut nullum timeret» (que fue hecho para no temer a nadie) (Job 41:24).</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t xml:space="preserve"> (Heb 4:12)</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t xml:space="preserve"> (Mt 13:29)</w:t>
      </w:r>
      <w:r>
        <w:t>. Se separa caso a caso, con pruebas; la siega final no es nuestra.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t xml:space="preserve"> (Ley 22/2015, de Auditoría de Cuentas, art. 5.1.e)</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es el diagnóstico que funda la reforma, no una orden de desobediencia.</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t xml:space="preserve"> (Encyclopaedia Britannica, «Asante empire» y «Ghana»; fuente secundaria)</w:t>
      </w:r>
      <w:r>
        <w:t>. Los iroqueses, divididos en la guerra de independencia de Estados Unidos, cedieron en 1784 «todo derecho sobre el territorio» al oeste de la nueva frontera</w:t>
      </w:r>
      <w:r>
        <w:t xml:space="preserve"> (tratado de Fort Stanwix, 22-10-1784, art. III (Avalon Project))</w:t>
      </w:r>
      <w:r>
        <w:t>. Corregirse por dentro y resistir la fuerza de fuera son dos problemas distintos, y ninguno de los pueblos estudiados resolvió los dos a la vez.</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Diez casos, cada uno con su fecha y su fuente, como hecho histórico comparado y no como manual de instrucciones: cada uno tuvo su causa, su proceso y sus consecuencias, y no todos terminaron igual de bien para quienes participaron.</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t xml:space="preserve"> (Parlamento del Reino Unido, «The reign of James II» (El reinado de Jacobo II); fuente secundaria)</w:t>
      </w:r>
      <w:r>
        <w:t>. El 30 de junio de 1688, siete ingleses destacados escribieron a Guillermo de Orange para invitarle a venir; el rey no se atrevió a arriesgar su ejército en una batalla y huyó el 23 de diciembre</w:t>
      </w:r>
      <w:r>
        <w:t xml:space="preserve"> (Encyclopaedia Britannica, «James II»; fuente secundaria)</w:t>
      </w:r>
      <w:r>
        <w:t>. En 1689, la Declaración de Derechos dejó escrito «que el pretendido poder de suspender las leyes o su ejecución por autoridad real, sin consentimiento del Parlamento, es ilegal»</w:t>
      </w:r>
      <w:r>
        <w:t xml:space="preserve"> (Bill of Rights, 1688 c. 2 (legislation.gov.uk))</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t xml:space="preserve"> (Encyclopaedia Britannica, «Salt March» (La marcha de la sal); fuente secundaria)</w:t>
      </w:r>
      <w:r>
        <w:t>. A finales de año, unas 60.000 personas estaban en la cárcel</w:t>
      </w:r>
      <w:r>
        <w:t xml:space="preserve"> (ídem)</w:t>
      </w:r>
      <w:r>
        <w:t>; a él lo detuvieron el 5 de mayo</w:t>
      </w:r>
      <w:r>
        <w:t xml:space="preserve"> (Gandhi Heritage Portal (archivo del áshram de Sabarmati); fuente secundaria)</w:t>
      </w:r>
      <w:r>
        <w:t>. Diecisiete años después, una ley británica dispuso que desde el 15 de agosto de 1947 se establecieran «dos dominios independientes», la India y Pakistán</w:t>
      </w:r>
      <w:r>
        <w:t xml:space="preserve"> (Indian Independence Act 1947, sección 1.1 (legislation.gov.uk))</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t xml:space="preserve"> (Instituto de la Memoria Nacional de Polonia (IPN); fuente secundaria)</w:t>
      </w:r>
      <w:r>
        <w:t>. Solidaridad fue el primer sindicato independiente en un país del bloque soviético</w:t>
      </w:r>
      <w:r>
        <w:t xml:space="preserve"> (Encyclopaedia Britannica, «Solidarity»; fuente secundaria)</w:t>
      </w:r>
      <w:r>
        <w:t>. Con la ley marcial, implantada el 13 de diciembre de 1981</w:t>
      </w:r>
      <w:r>
        <w:t xml:space="preserve"> (Consejo de Estado, resolución de 12-12-1981 (ISAP))</w:t>
      </w:r>
      <w:r>
        <w:t>, fue declarado ilegal</w:t>
      </w:r>
      <w:r>
        <w:t xml:space="preserve"> (Britannica; fuente secundaria)</w:t>
      </w:r>
      <w:r>
        <w:t>, y una ley de 8 de octubre de 1982 anuló todos los registros sindicales anteriores</w:t>
      </w:r>
      <w:r>
        <w:t xml:space="preserve"> (ley de sindicatos de 8-10-1982, art. 52 (ISAP))</w:t>
      </w:r>
      <w:r>
        <w:t>. La Mesa Redonda (6 de febrero a 5 de abril de 1989) llevó a las elecciones «parcialmente democráticas» del 4 de junio</w:t>
      </w:r>
      <w:r>
        <w:t xml:space="preserve"> (Sejm, resolución de 14-3-2014)</w:t>
      </w:r>
      <w:r>
        <w:t>, y el 24 de agosto fue nombrado el primer jefe de Gobierno no comunista de un país de Europa del Este desde finales de los años cuarenta</w:t>
      </w:r>
      <w:r>
        <w:t xml:space="preserve"> (Encyclopaedia Britannica, «Tadeusz Mazowiecki»; Ministerio de Educación de Polonia (zpe.gov.pl); fuentes secundarias)</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t xml:space="preserve"> (Agencia Federal de Educación Cívica (bpb), crónica del 7-5-1989; fuente secundaria)</w:t>
      </w:r>
      <w:r>
        <w:t>. Desde el 4 de septiembre hubo manifestaciones cada lunes en Leipzig; el 9 de octubre, unas 75.000 personas, y la policía no intervino</w:t>
      </w:r>
      <w:r>
        <w:t xml:space="preserve"> (bpb, crónicas del 4-9 y del 9-10-1989)</w:t>
      </w:r>
      <w:r>
        <w:t>. El 9 de noviembre, un portavoz del Gobierno dijo en directo que las nuevas normas de viaje entraban en vigor «inmediatamente», cuando su nota decía que se publicaran al día siguiente</w:t>
      </w:r>
      <w:r>
        <w:t xml:space="preserve"> (transcripción de la rueda de prensa y nota del portavoz (Crónica del Muro))</w:t>
      </w:r>
      <w:r>
        <w:t>; esa noche, ante la multitud, el oficial al mando del paso de Bornholmer Straße decidió abrirlo</w:t>
      </w:r>
      <w:r>
        <w:t xml:space="preserve"> (Crónica del Muro; bpb; fuentes secundarias)</w:t>
      </w:r>
      <w:r>
        <w:t>. La Unión Soviética se disolvió en diciembre de 1991</w:t>
      </w:r>
      <w:r>
        <w:t xml:space="preserve"> (Oficina del Historiador, Departamento de Estado de EE. UU.; Britannica)</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t xml:space="preserve"> (Encyclopaedia Britannica, «Velvet Revolution» (La revolución de terciopelo); Presidencia de la República Checa; fuentes secundarias)</w:t>
      </w:r>
      <w:r>
        <w:t>. Siguieron las protestas y, el 27, una huelga general</w:t>
      </w:r>
      <w:r>
        <w:t xml:space="preserve"> (ídem; ÚSTR)</w:t>
      </w:r>
      <w:r>
        <w:t>. El 29 de noviembre, a propuesta del Gobierno, la Asamblea Federal suprimió de la Constitución el papel dirigente del Partido Comunista, sin ningún voto en contra ni abstención</w:t>
      </w:r>
      <w:r>
        <w:t xml:space="preserve"> (Asamblea Federal, proyecto 217 y acta de la sesión de 29-11-1989)</w:t>
      </w:r>
      <w:r>
        <w:t>. Václav Havel, detenido en enero de ese mismo año</w:t>
      </w:r>
      <w:r>
        <w:t xml:space="preserve"> (ÚSTR, Paměť a dějiny, 2019/3; fuente secundaria)</w:t>
      </w:r>
      <w:r>
        <w:t>, fue elegido presidente por la Asamblea Federal el 29 de diciembre</w:t>
      </w:r>
      <w:r>
        <w:t xml:space="preserve"> (acta de la sesión de 29-12-1989)</w:t>
      </w:r>
      <w:r>
        <w:t>.</w:t>
      </w:r>
    </w:p>
    <w:p>
      <w:pPr>
        <w:spacing w:after="60"/>
        <w:ind w:left="510" w:hanging="397"/>
      </w:pPr>
      <w:r>
        <w:rPr>
          <w:b w:val="0"/>
        </w:rPr>
        <w:t xml:space="preserve">6. </w:t>
      </w:r>
      <w:r>
        <w:rPr>
          <w:b/>
        </w:rPr>
        <w:t>Filipinas, 1986.</w:t>
      </w:r>
      <w:r>
        <w:t xml:space="preserve"> Ferdinand Marcos era presidente desde el 30 de diciembre de 1965</w:t>
      </w:r>
      <w:r>
        <w:t xml:space="preserve"> (Encyclopaedia Britannica, «Ferdinand Marcos»; fuente secundaria)</w:t>
      </w:r>
      <w:r>
        <w:t>. De las elecciones del 7 de febrero de 1986, el Gobierno de Estados Unidos, aliado suyo, dijo que quedaron «empañadas por un fraude y una violencia generalizados, cometidos sobre todo por el partido del Gobierno»</w:t>
      </w:r>
      <w:r>
        <w:t xml:space="preserve"> (declaración del presidente de EE. UU., 15-2-1986 (Biblioteca Reagan))</w:t>
      </w:r>
      <w:r>
        <w:t>. El 22 de febrero, el ministro de Defensa y el jefe del Estado Mayor dimitieron por ese fraude</w:t>
      </w:r>
      <w:r>
        <w:t xml:space="preserve"> (Casa Blanca, declaración de 22-2-1986)</w:t>
      </w:r>
      <w:r>
        <w:t>. Durante cuatro días, cientos de miles de personas se reunieron en la avenida EDSA de Manila, y millones en todo el país, según la Gaceta Oficial filipina</w:t>
      </w:r>
      <w:r>
        <w:t xml:space="preserve"> (Gaceta Oficial de Filipinas, páginas de EDSA (copia del Internet Archive); fuente secundaria)</w:t>
      </w:r>
      <w:r>
        <w:t>. El 25, Corazón Aquino juró como presidenta y Marcos salió del país</w:t>
      </w:r>
      <w:r>
        <w:t xml:space="preserve"> (Encyclopaedia Britannica, «Corazon Aquino» y «Ferdinand Marcos»; fuente secundaria)</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t xml:space="preserve"> (discurso de F. W. de Klerk, 2-2-1990 (archivo O'Malley))</w:t>
      </w:r>
      <w:r>
        <w:t>. Mandela salió de la cárcel el 11 de febrero, tras veintisiete años y medio</w:t>
      </w:r>
      <w:r>
        <w:t xml:space="preserve"> (Encyclopaedia Britannica, «Nelson Mandela»; fuente secundaria)</w:t>
      </w:r>
      <w:r>
        <w:t>. En las primeras elecciones no raciales, el 27 de abril de 1994, el Congreso Nacional Africano obtuvo el 62,6 % de los votos, y el 9 de mayo la Asamblea Nacional eligió presidente a Mandela, por unanimidad</w:t>
      </w:r>
      <w:r>
        <w:t xml:space="preserve"> (Biblioteca del Congreso de EE. UU., estudio de país (copia en countrystudies.us); South African History Online; fuentes secundarias)</w:t>
      </w:r>
      <w:r>
        <w:t>.</w:t>
      </w:r>
    </w:p>
    <w:p>
      <w:pPr>
        <w:spacing w:after="60"/>
        <w:ind w:left="510" w:hanging="397"/>
      </w:pPr>
      <w:r>
        <w:rPr>
          <w:b w:val="0"/>
        </w:rPr>
        <w:t xml:space="preserve">8. </w:t>
      </w:r>
      <w:r>
        <w:rPr>
          <w:b/>
        </w:rPr>
        <w:t>Indonesia, 1998.</w:t>
      </w:r>
      <w:r>
        <w:t xml:space="preserve"> En 1997, una crisis monetaria que barría el sudeste asiático alcanzó a Indonesia</w:t>
      </w:r>
      <w:r>
        <w:t xml:space="preserve"> (Encyclopaedia Britannica, «Suharto»; fuente secundaria)</w:t>
      </w:r>
      <w:r>
        <w:t>. Suharto llevaba treinta y dos años en el poder, contando desde que tomó el control efectivo del Gobierno en 1966</w:t>
      </w:r>
      <w:r>
        <w:t xml:space="preserve"> (ídem; Forrester y May (eds.), The Fall of Soeharto (La caída de Suharto), Universidad Nacional Australiana, 1998)</w:t>
      </w:r>
      <w:r>
        <w:t>. Los estudiantes ocuparon el Parlamento desde el 18 de mayo de 1998, y el 21 Suharto dimitió</w:t>
      </w:r>
      <w:r>
        <w:t xml:space="preserve"> (ídem)</w:t>
      </w:r>
      <w:r>
        <w:t xml:space="preserve">. Siguió la época llamada </w:t>
      </w:r>
      <w:r>
        <w:rPr>
          <w:i/>
        </w:rPr>
        <w:t>reformasi</w:t>
      </w:r>
      <w:r>
        <w:t>, la reforma</w:t>
      </w:r>
      <w:r>
        <w:t xml:space="preserve"> (Britannica)</w:t>
      </w:r>
      <w:r>
        <w:t>, y el 7 de junio de 1999, según los observadores internacionales, Indonesia celebró «sus primeras elecciones competitivas desde 1955»</w:t>
      </w:r>
      <w:r>
        <w:t xml:space="preserve"> (declaración de la misión de observación del NDI y el Centro Carter, 9-6-1999)</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t xml:space="preserve"> (OSCE/ODIHR, informe final, 28-1-2004, p. 1)</w:t>
      </w:r>
      <w:r>
        <w:t>. Siguieron las protestas, con una rosa en la mano en lugar de un arma; de ahí el nombre de Revolución de las Rosas</w:t>
      </w:r>
      <w:r>
        <w:t xml:space="preserve"> (Columbia Magazine, «Rose revolutionary»; fuente secundaria)</w:t>
      </w:r>
      <w:r>
        <w:t>. El 22 de noviembre, los manifestantes impidieron que se constituyera el nuevo Parlamento, y el 23 dimitió el presidente Shevardnadze</w:t>
      </w:r>
      <w:r>
        <w:t xml:space="preserve"> (OSCE/ODIHR, informe final, p. 21)</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t xml:space="preserve"> (FMI, informe de país n.º 08/362, párrs. 4 y 31)</w:t>
      </w:r>
      <w:r>
        <w:t>. Hubo protestas ante el Parlamento, golpeando cacerolas</w:t>
      </w:r>
      <w:r>
        <w:t xml:space="preserve"> (Encyclopaedia Britannica, «Iceland»; fuente secundaria)</w:t>
      </w:r>
      <w:r>
        <w:t>. El 26 de enero de 2009 dimitió el Gobierno</w:t>
      </w:r>
      <w:r>
        <w:t xml:space="preserve"> (Gobierno de Islandia, nota de 26-1-2009)</w:t>
      </w:r>
      <w:r>
        <w:t>, y el 25 de abril hubo elecciones</w:t>
      </w:r>
      <w:r>
        <w:t xml:space="preserve"> (Instituto de Estadística de Islandia)</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t xml:space="preserve"> (Comisión Investigadora Especial, informe de 12-4-2010, cap. 2, p. 18)</w:t>
      </w:r>
      <w:r>
        <w:t>.</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Lo que quiere es que la segunda no sea una retirada a ciegas, sino la constancia escrita de lo que falta, el juicio de la verdad y la reforma por la puerta que la propia Constitución dejó abierta (capítulos 10 y 11).</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t>. El decomiso ampliado del Código Penal exige una condena: se ordena sobre los bienes de «una persona condenada por alguno de los siguientes delitos»</w:t>
      </w:r>
      <w:r>
        <w:t xml:space="preserve"> (Código Penal, art. 127 bis.1)</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t>. A Tízoc no lo destituyeron: lo mataron, según las crónicas</w:t>
      </w:r>
      <w:r>
        <w:t xml:space="preserve"> (Torquemada, Monarquía indiana, 1615, lib. II, cap. LXII)</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r>
        <w:br w:type="page"/>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t xml:space="preserve"> (Constitución, art. 9.1)</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t xml:space="preserve"> (Rm 13:1 y 6)</w:t>
      </w:r>
      <w:r>
        <w:t>. Y en el mismo capítulo, la razón: la autoridad «es ministro de Dios para tu bien»</w:t>
      </w:r>
      <w:r>
        <w:t xml:space="preserve"> (Rm 13:4)</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t xml:space="preserve"> (Corán 4:59, trad. de Julio Cortés)</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rPr>
          <w:b/>
        </w:rPr>
        <w:t>Conclusión, lo que arrojan los datos:</w:t>
      </w:r>
      <w:r>
        <w:t xml:space="preserve"> los textos que mandan pagar y obedecer no lo mandan sin condición: la autoridad lo es para el bien de quien obedece, y por encima de ella está Dios.</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t xml:space="preserve"> (Lc 12:48)</w:t>
      </w:r>
      <w:r>
        <w:t xml:space="preserve"> (</w:t>
      </w:r>
      <w:r>
        <w:t>2.5</w:t>
      </w:r>
      <w:r>
        <w:t>). Pero quien ya sabe tiene una tarea: «El pecado, pues, está en aquel que sabe hacer lo bueno, y no lo hace»</w:t>
      </w:r>
      <w:r>
        <w:t xml:space="preserve"> (Stg 4:17)</w:t>
      </w:r>
      <w:r>
        <w:t>. Esa tarea no es dejar de pagar, porque la obligación vigente sigue vigente (Constitución, art. 9.1), sino dejar de consentir en silencio: pedir la motivación, saber a dónde va el dinero y dejar constancia por escrito (</w:t>
      </w:r>
      <w:r>
        <w:t>10.4</w:t>
      </w:r>
      <w:r>
        <w:t>).</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t xml:space="preserve"> (Constitución, art. 103.1)</w:t>
      </w:r>
      <w:r>
        <w:t>, y no puede ejecutar ninguna actuación material sin la resolución previa que le sirva de fundamento jurídico</w:t>
      </w:r>
      <w:r>
        <w:t xml:space="preserve"> (Ley 39/2015, art. 97.1)</w:t>
      </w:r>
      <w:r>
        <w:t xml:space="preserve">. Se desarrolla en </w:t>
      </w:r>
      <w:r>
        <w:t>10.4</w:t>
      </w:r>
      <w:r>
        <w:t>.</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t xml:space="preserve"> (Constitución, art. 103.1)</w:t>
      </w:r>
      <w:r>
        <w:t>; el Gobierno «dirige la política interior y exterior, la Administración civil y militar y la defensa del Estado»</w:t>
      </w:r>
      <w:r>
        <w:t xml:space="preserve"> (Constitución, art. 97)</w:t>
      </w:r>
      <w:r>
        <w:t>, y la policía está «bajo la dependencia del Gobierno»</w:t>
      </w:r>
      <w:r>
        <w:t xml:space="preserve"> (Constitución, art. 104.1)</w:t>
      </w:r>
      <w:r>
        <w:t>. Pero la misma ley ya pide lo que el autor pide para cada empleado: que las administraciones «establecerán sistemas que permitan la evaluación del desempeño de sus empleados»</w:t>
      </w:r>
      <w:r>
        <w:t xml:space="preserve"> (Estatuto Básico del Empleado Público, art. 20.1)</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t xml:space="preserve"> (Estatuto Básico del Empleado Público, arts. 95.2.c y 96.1.a)</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t xml:space="preserve"> (Constitución de Bolivia, art. 8.I)</w:t>
      </w:r>
      <w:r>
        <w:t>. Se cita el texto, no se valora la práctica de ningún gobierno.</w:t>
      </w:r>
    </w:p>
    <w:p>
      <w:r>
        <w:t>Lo que sigue son las propuestas del autor. Cada una separa lo que ya existe, con su fuente, de lo que se propone.</w:t>
      </w:r>
    </w:p>
    <w:p>
      <w:pPr>
        <w:pStyle w:val="Heading3"/>
      </w:pPr>
      <w:r>
        <w:t>1. La prensa, libre y auditada</w:t>
      </w:r>
    </w:p>
    <w:p>
      <w:r>
        <w:rPr>
          <w:b/>
        </w:rPr>
        <w:t>Hechos.</w:t>
      </w:r>
      <w:r>
        <w:t xml:space="preserve"> La Constitución reconoce el derecho «a comunicar o recibir libremente información veraz por cualquier medio de difusión»</w:t>
      </w:r>
      <w:r>
        <w:t xml:space="preserve"> (Constitución, art. 20.1.d)</w:t>
      </w:r>
      <w:r>
        <w:t>, y prohíbe «ningún tipo de censura previa»</w:t>
      </w:r>
      <w:r>
        <w:t xml:space="preserve"> (Constitución, art. 20.2)</w:t>
      </w:r>
      <w:r>
        <w:t>. El Tribunal Europeo de Derechos Humanos llama a la prensa el «perro guardián» público: si el público no tuviera derecho a recibir esas informaciones, la prensa no podría cumplir ese papel vital</w:t>
      </w:r>
      <w:r>
        <w:t xml:space="preserve"> (TEDH, Observer y Guardian c. Reino Unido, n.º 13585/88, sentencia de 26-11-1991, § 59)</w:t>
      </w:r>
      <w:r>
        <w:t>. Desde el 8 de agosto de 2025, el Reglamento europeo de libertad de los medios obliga a cada medio a hacer públicos sus dueños y el dinero público que recibe en publicidad estatal</w:t>
      </w:r>
      <w:r>
        <w:t xml:space="preserve"> (Reglamento (UE) 2024/1083, arts. 6.1 y 29)</w:t>
      </w:r>
      <w:r>
        <w:t>, y a cada administración a publicar cada año lo que gasta en publicidad en cada medio</w:t>
      </w:r>
      <w:r>
        <w:t xml:space="preserve"> (ídem, art. 25.2)</w:t>
      </w:r>
      <w:r>
        <w:t>.</w:t>
      </w:r>
    </w:p>
    <w:p>
      <w:r>
        <w:rPr>
          <w:b/>
        </w:rPr>
        <w:t>Conclusión, lo que arrojan los datos:</w:t>
      </w:r>
      <w:r>
        <w:t xml:space="preserve"> la ley ya obliga a que se sepa quién es dueño de cada medio y cuánto dinero público recibe. Cualquiera puede comprobarlo.</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t xml:space="preserve"> (Ley 19/2013, art. 5.1)</w:t>
      </w:r>
      <w:r>
        <w:t>, incluidos «todos los contratos», con su importe y su adjudicatario</w:t>
      </w:r>
      <w:r>
        <w:t xml:space="preserve"> (ídem, art. 8.1.a)</w:t>
      </w:r>
      <w:r>
        <w:t>. Y la pensión ya es compatible con seguir trabajando</w:t>
      </w:r>
      <w:r>
        <w:t xml:space="preserve"> (Ley General de la Seguridad Social, art. 214)</w:t>
      </w:r>
      <w:r>
        <w:t>.</w:t>
      </w:r>
    </w:p>
    <w:p>
      <w:r>
        <w:rPr>
          <w:b/>
        </w:rPr>
        <w:t>Conclusión, lo que arrojan los datos:</w:t>
      </w:r>
      <w:r>
        <w:t xml:space="preserve"> la información existe y es pública, pero llega tarde y casi nadie la mira de forma organizada.</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t xml:space="preserve"> (Consejo de Transparencia, reclamaciones de 2025)</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t xml:space="preserve"> (Tratado de Funcionamiento de la UE, art. 3.1.c)</w:t>
      </w:r>
      <w:r>
        <w:t>. Y desde hace siglos se advierte que devaluar es un tributo disfrazado (</w:t>
      </w:r>
      <w:r>
        <w:t>8.2</w:t>
      </w:r>
      <w:r>
        <w:t>).</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w:t>
      </w:r>
    </w:p>
    <w:p>
      <w:r>
        <w:rPr>
          <w:b/>
        </w:rPr>
        <w:t>La objeción: «El diezmo no alcanza».</w:t>
      </w:r>
      <w:r>
        <w:t xml:space="preserve"> El gasto de todas las administraciones fue de 764.884 millones de euros en 2025</w:t>
      </w:r>
      <w:r>
        <w:t xml:space="preserve"> (Eurostat, gov_10a_main)</w:t>
      </w:r>
      <w:r>
        <w:t>, y solo las pensiones del régimen general y de Clases Pasivas suman unos 228.000 millones al año, alrededor del 30 % de ese gasto (cálculo de la obra: la nómina mensual de las dos, por catorce pagas).</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pPr>
        <w:pStyle w:val="Heading3"/>
      </w:pPr>
      <w:r>
        <w:t>4. Jurados por generaciones</w:t>
      </w:r>
    </w:p>
    <w:p>
      <w:r>
        <w:rPr>
          <w:b/>
        </w:rPr>
        <w:t>Hechos.</w:t>
      </w:r>
      <w:r>
        <w:t xml:space="preserve"> Hoy el jurado se forma por sorteo del censo electoral</w:t>
      </w:r>
      <w:r>
        <w:t xml:space="preserve"> (Ley Orgánica 5/1995, art. 13)</w:t>
      </w:r>
      <w:r>
        <w:t>, sin ningún reparto por edades, y su peso es pequeño: en 2025 dictó 465 sentencias, frente a 599.492 sentencias penales, menos del 0,1 %</w:t>
      </w:r>
      <w:r>
        <w:t xml:space="preserve"> (CGPJ, La Justicia dato a dato, 2025; cálculo de la obra)</w:t>
      </w:r>
      <w:r>
        <w:t>. Irlanda formó en 2016 una Asamblea Ciudadana con una muestra representativa de 99 personas del público, elegidas al azar, «ampliamente representativas de la sociedad tal como la refleja el censo»</w:t>
      </w:r>
      <w:r>
        <w:t xml:space="preserve"> (Citizens' Assembly, Irlanda, 2016-2018)</w:t>
      </w:r>
      <w:r>
        <w:t>.</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w:t>
      </w:r>
    </w:p>
    <w:p>
      <w:r>
        <w:rPr>
          <w:b/>
        </w:rPr>
        <w:t>La objeción: «El jurado por sorteo ya es imparcial».</w:t>
      </w:r>
      <w:r>
        <w:t xml:space="preserve"> El jurado actual se forma por sorteo del censo, que es la garantía de imparcialidad: repartirlo por edades no añade nada.</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t xml:space="preserve"> (Mt 13:29-30)</w:t>
      </w:r>
      <w:r>
        <w:t>. Y: «No paguéis á nadie mal por mal […] No os venguéis vosotros mismos […] No seas vencido de lo malo; mas vence con el bien el mal»</w:t>
      </w:r>
      <w:r>
        <w:t xml:space="preserve"> (Rm 12:17, 19 y 21)</w:t>
      </w:r>
      <w:r>
        <w:t>. Es discernir, separar el grano de la paja (</w:t>
      </w:r>
      <w:r>
        <w:t>1.3</w:t>
      </w:r>
      <w:r>
        <w:t>), aplicado a las responsabilidades.</w:t>
      </w:r>
    </w:p>
    <w:p>
      <w:r>
        <w:rPr>
          <w:b/>
        </w:rPr>
        <w:t>La regla.</w:t>
      </w:r>
      <w:r>
        <w:t xml:space="preserve"> La responsabilidad de las personas se establece por acto y con fuente, nunca por pertenecer a un colectivo: un informe interno es fuente, no sentencia.</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w:t>
      </w:r>
    </w:p>
    <w:p>
      <w:r>
        <w:rPr>
          <w:b/>
        </w:rPr>
        <w:t>2. Que busque el bien del corregido, y no el suyo.</w:t>
      </w:r>
      <w:r>
        <w:t xml:space="preserve"> Platón lo dice del médico y lo extiende a todo el que manda: «ningún médico, en cuanto médico, considera su propio bien en lo que prescribe, sino el de su paciente»</w:t>
      </w:r>
      <w:r>
        <w:t xml:space="preserve"> (Platón, República I, traducción inglesa de Jowett)</w:t>
      </w:r>
      <w:r>
        <w:t>; y lo mismo el piloto y el gobernante: «nadie, en ningún gobierno, en cuanto gobierna, considera ni prescribe lo que le conviene a él, sino siempre lo que conviene a su gobernado»</w:t>
      </w:r>
      <w:r>
        <w:t xml:space="preserve"> (Platón, República I, traducción inglesa de Jowett)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t xml:space="preserve"> (Mencio 2A, 2, en la traducción inglesa de James Legge)</w:t>
      </w:r>
      <w:r>
        <w:t>. Y concluye: «quien lo ayuda a crecer, arranca los brotes»</w:t>
      </w:r>
      <w:r>
        <w:t xml:space="preserve"> (Mencio 2A, 2, en la traducción inglesa de James Legge)</w:t>
      </w:r>
      <w:r>
        <w:t>. El Daodejing lo dice del Estado: «Gobernar un gran Estado es como cocinar pececillos»</w:t>
      </w:r>
      <w:r>
        <w:t xml:space="preserve"> (Daodejing 60, en la traducción inglesa de James Legge, Sacred Books of the East, vol. 39, 1891)</w:t>
      </w:r>
      <w:r>
        <w:t>: cuantas más vueltas se les da, más se deshacen.</w:t>
      </w:r>
    </w:p>
    <w:p>
      <w:pPr>
        <w:pStyle w:val="ListBullet"/>
      </w:pPr>
      <w:r>
        <w:rPr>
          <w:b/>
        </w:rPr>
        <w:t>La India.</w:t>
      </w:r>
      <w:r>
        <w:t xml:space="preserve"> La Gita pide al que sabe que obre «sin sembrar en esos corazones sencillos y afanosos semilla de desesperanza»</w:t>
      </w:r>
      <w:r>
        <w:t xml:space="preserve"> (Bhagavad Gita III, 25-29, en la traducción de Edwin Arnold)</w:t>
      </w:r>
      <w:r>
        <w:t>, y que a los que no saben «no los hagas tropezar, tú que tienes la luz»</w:t>
      </w:r>
      <w:r>
        <w:t xml:space="preserve"> (Bhagavad Gita III, 25-29, en la traducción de Edwin Arnold)</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t xml:space="preserve"> (Lc 13:8-9)</w:t>
      </w:r>
      <w:r>
        <w:t>. El orden de la corrección es ese: primero cuidar; solo después, si no hay fruto, cortar.</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t xml:space="preserve"> (Mt 18:15)</w:t>
      </w:r>
      <w:r>
        <w:t>; «mas si no [te] oyere, toma aún contigo uno ó dos»</w:t>
      </w:r>
      <w:r>
        <w:t xml:space="preserve"> (Mt 18:16)</w:t>
      </w:r>
      <w:r>
        <w:t>; «y si no oyere á ellos, dilo á la iglesia»</w:t>
      </w:r>
      <w:r>
        <w:t xml:space="preserve"> (Mt 18:17)</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punto 4); el aval es solo para el consejo que propone correcciones.</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La estrategia es la misma en todo: nunca el enfrentamiento directo. Se responde por escrito, en plazo y con la ley en la mano.</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t xml:space="preserve"> (Código Civil, art. 1.2)</w:t>
      </w:r>
      <w:r>
        <w:t>; las disposiciones administrativas que vulneren la Constitución o las leyes son «nulas de pleno derecho»</w:t>
      </w:r>
      <w:r>
        <w:t xml:space="preserve"> (Ley 39/2015, art. 47.2)</w:t>
      </w:r>
      <w:r>
        <w:t>, y los jueces no las aplican</w:t>
      </w:r>
      <w:r>
        <w:t xml:space="preserve"> (Ley Orgánica del Poder Judicial, art. 6)</w:t>
      </w:r>
      <w:r>
        <w:t>.</w:t>
      </w:r>
    </w:p>
    <w:p>
      <w:pPr>
        <w:pStyle w:val="ListBullet"/>
      </w:pPr>
      <w:r>
        <w:t>Por el daño de un servicio público, el particular reclama a la Administración, no al funcionario</w:t>
      </w:r>
      <w:r>
        <w:t xml:space="preserve"> (Ley 40/2015, art. 36.1)</w:t>
      </w:r>
      <w:r>
        <w:t>; la Administración que indemniza debe exigir después la responsabilidad de quien actuó con dolo, o culpa o negligencia graves</w:t>
      </w:r>
      <w:r>
        <w:t xml:space="preserve"> (ídem, art. 36.2)</w:t>
      </w:r>
      <w:r>
        <w:t>; y si hubo delito, la responsabilidad penal del empleado y la civil que nace de él se exigen por la ley penal</w:t>
      </w:r>
      <w:r>
        <w:t xml:space="preserve"> (ídem, art. 37.1)</w:t>
      </w:r>
      <w:r>
        <w:t>.</w:t>
      </w:r>
    </w:p>
    <w:p>
      <w:pPr>
        <w:pStyle w:val="ListBullet"/>
      </w:pPr>
      <w:r>
        <w:t>La autoridad o funcionario que, «a sabiendas de su injusticia», dicta una resolución arbitraria comete prevaricación</w:t>
      </w:r>
      <w:r>
        <w:t xml:space="preserve"> (Código Penal, art. 404)</w:t>
      </w:r>
      <w:r>
        <w:t>, y quien es responsable penalmente lo es también civilmente</w:t>
      </w:r>
      <w:r>
        <w:t xml:space="preserve"> (ídem, art. 116.1)</w:t>
      </w:r>
      <w:r>
        <w:t>.</w:t>
      </w:r>
    </w:p>
    <w:p>
      <w:pPr>
        <w:pStyle w:val="ListBullet"/>
      </w:pPr>
      <w:r>
        <w:t>La ley no ampara la obediencia a lo manifiestamente ilegal</w:t>
      </w:r>
      <w:r>
        <w:t xml:space="preserve"> (Código Penal, art. 410.2; Estatuto Básico del Empleado Público, art. 54.3; Ley Orgánica 2/1986, art. 5.1.d)</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t xml:space="preserve"> (Ley 39/2015, art. 53.1.b)</w:t>
      </w:r>
      <w:r>
        <w:t>.</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aquí, lo que lo sostiene.</w:t>
      </w:r>
    </w:p>
    <w:p>
      <w:r>
        <w:rPr>
          <w:b/>
        </w:rPr>
        <w:t>Lo que el escrito no hace.</w:t>
      </w:r>
      <w:r>
        <w:t xml:space="preserve"> No declara una «aceptación condicionada» ni pretende que el silencio equivalga a aceptación: el silencio tiene su régimen legal tasado</w:t>
      </w:r>
      <w:r>
        <w:t xml:space="preserve"> (Ley 39/2015, art. 24)</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Y no amenaza al funcionario que actúa dentro de su cargo. La regla de oro: todo lo que afirma se puede comprobar, y todo lo que pide se puede conceder.</w:t>
      </w:r>
    </w:p>
    <w:p>
      <w:r>
        <w:rPr>
          <w:b/>
        </w:rPr>
        <w:t>En qué derechos se apoya.</w:t>
      </w:r>
    </w:p>
    <w:p>
      <w:pPr>
        <w:pStyle w:val="ListBullet"/>
      </w:pPr>
      <w:r>
        <w:t>El derecho de petición: toda persona puede dirigir peticiones a los poderes públicos, y la Administración está obligada a acusar recibo y a contestar</w:t>
      </w:r>
      <w:r>
        <w:t xml:space="preserve"> (Constitución, art. 29; Ley Orgánica 4/2001)</w:t>
      </w:r>
      <w:r>
        <w:t>.</w:t>
      </w:r>
    </w:p>
    <w:p>
      <w:pPr>
        <w:pStyle w:val="ListBullet"/>
      </w:pPr>
      <w:r>
        <w:t>El deber de motivación: los actos que limiten derechos, resuelvan procedimientos o se aparten del criterio anterior deben motivarse, con sucinta referencia de hechos y fundamentos de derecho</w:t>
      </w:r>
      <w:r>
        <w:t xml:space="preserve"> (Ley 39/2015, art. 35)</w:t>
      </w:r>
      <w:r>
        <w:t>. Una motivación de plantilla no cumple ese deber.</w:t>
      </w:r>
    </w:p>
    <w:p>
      <w:pPr>
        <w:pStyle w:val="ListBullet"/>
      </w:pPr>
      <w:r>
        <w:t>El acceso a la información pública, con sus plazos y su reclamación ante el Consejo de Transparencia</w:t>
      </w:r>
      <w:r>
        <w:t xml:space="preserve"> (Ley 19/2013)</w:t>
      </w:r>
      <w:r>
        <w:t>.</w:t>
      </w:r>
    </w:p>
    <w:p>
      <w:pPr>
        <w:pStyle w:val="ListBullet"/>
      </w:pPr>
      <w:r>
        <w:t>La buena administración, como estándar europeo de referencia: tratamiento imparcial y equitativo, en un plazo razonable, con obligación de motivar</w:t>
      </w:r>
      <w:r>
        <w:t xml:space="preserve"> (Carta de los Derechos Fundamentales de la UE, art. 41)</w:t>
      </w:r>
      <w:r>
        <w:t>. Precisión honesta: vincula a las instituciones de la Unión, no directamente a un ayuntamiento.</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t xml:space="preserve"> (Ley 39/2015, art. 97.1)</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t xml:space="preserve"> (SSTC 66/1995, 207/1996 y 55/1996)</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t xml:space="preserve"> (Ley 39/2015, art. 53.1.a)</w:t>
      </w:r>
      <w:r>
        <w:t>.</w:t>
      </w:r>
    </w:p>
    <w:p>
      <w:pPr>
        <w:spacing w:after="60"/>
        <w:ind w:left="510" w:hanging="397"/>
      </w:pPr>
      <w:r>
        <w:rPr>
          <w:b w:val="0"/>
        </w:rPr>
        <w:t xml:space="preserve">6. </w:t>
      </w:r>
      <w:r>
        <w:t>Que se identifique a quien tramita el procedimiento</w:t>
      </w:r>
      <w:r>
        <w:t xml:space="preserve"> (ídem, art. 53.1.b)</w:t>
      </w:r>
      <w:r>
        <w:t xml:space="preserve"> y que, si se continúa, se haga constar por escrito con la norma y la resolución que lo amparan.</w:t>
      </w:r>
    </w:p>
    <w:p>
      <w:r>
        <w:t>Cada petición debe poder contestarse con un documento o con una cita normativa; si no, se elimina. Y los hechos, cada uno con su fuente: si un dato no se puede acreditar, se retira. Es mejor un escrito de diez líneas sólidas que uno de cinco páginas con una afirmación indefendible.</w:t>
      </w:r>
    </w:p>
    <w:p>
      <w:r>
        <w:rPr>
          <w:b/>
        </w:rPr>
        <w:t>El domicilio.</w:t>
      </w:r>
      <w:r>
        <w:t xml:space="preserve"> Designarlo de forma expresa tiene efecto real: la Administración debe notificar en el domicilio que el interesado ha designado</w:t>
      </w:r>
      <w:r>
        <w:t xml:space="preserve"> (STS 3259/2025, de 1 de julio)</w:t>
      </w:r>
      <w:r>
        <w:t>.</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dejar constancia de la voluntad de rectificar es lo contrario del dolo.</w:t>
      </w:r>
    </w:p>
    <w:p>
      <w:r>
        <w:rPr>
          <w:b/>
        </w:rPr>
        <w:t>La firma.</w:t>
      </w:r>
      <w:r>
        <w:t xml:space="preserve"> El nombre legal completo y la firma habitual. Sin anotaciones, sin siglas, sin huella, sin tinta de color: cualquier añadido de ese tipo convierte un escrito impecable en uno descalificable.</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t xml:space="preserve"> (Ley Orgánica 4/2001, art. 6)</w:t>
      </w:r>
      <w:r>
        <w:t xml:space="preserve">, y </w:t>
      </w:r>
      <w:r>
        <w:rPr>
          <w:b/>
        </w:rPr>
        <w:t>contestación motivada</w:t>
      </w:r>
      <w:r>
        <w:t xml:space="preserve"> en tres meses como máximo</w:t>
      </w:r>
      <w:r>
        <w:t xml:space="preserve"> (ídem, art. 11)</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t xml:space="preserve"> (ídem, art. 12; Constitución, art. 53.2)</w:t>
      </w:r>
      <w:r>
        <w:t>.</w:t>
      </w:r>
    </w:p>
    <w:p>
      <w:pPr>
        <w:pStyle w:val="ListBullet"/>
      </w:pPr>
      <w:r>
        <w:rPr>
          <w:b/>
        </w:rPr>
        <w:t>Información pública:</w:t>
      </w:r>
      <w:r>
        <w:t xml:space="preserve"> un mes, ampliable otro; sin respuesta, se entiende desestimada, y cabe reclamar ante el Consejo de Transparencia en un mes</w:t>
      </w:r>
      <w:r>
        <w:t xml:space="preserve"> (Ley 19/2013, arts. 20 y 24)</w:t>
      </w:r>
      <w:r>
        <w:t>.</w:t>
      </w:r>
    </w:p>
    <w:p>
      <w:pPr>
        <w:pStyle w:val="ListBullet"/>
      </w:pPr>
      <w:r>
        <w:rPr>
          <w:b/>
        </w:rPr>
        <w:t>En cualquier procedimiento</w:t>
      </w:r>
      <w:r>
        <w:t>, la Administración debe resolver de forma expresa</w:t>
      </w:r>
      <w:r>
        <w:t xml:space="preserve"> (Ley 39/2015, art. 21.1)</w:t>
      </w:r>
      <w:r>
        <w:t>, en tres meses si su norma no fija otro plazo</w:t>
      </w:r>
      <w:r>
        <w:t xml:space="preserve"> (ídem, art. 21.3)</w:t>
      </w:r>
      <w:r>
        <w:t>. El silencio en una petición del art. 29 es desestimatorio</w:t>
      </w:r>
      <w:r>
        <w:t xml:space="preserve"> (ídem, art. 24.1)</w:t>
      </w:r>
      <w:r>
        <w:t>: no da la razón, pero deja abierta la vía de recurso.</w:t>
      </w:r>
    </w:p>
    <w:p>
      <w:pPr>
        <w:pStyle w:val="ListBullet"/>
      </w:pPr>
      <w:r>
        <w:rPr>
          <w:b/>
        </w:rPr>
        <w:t>El Defensor del Pueblo</w:t>
      </w:r>
      <w:r>
        <w:t>, gratuito y sin abogado ni procurador</w:t>
      </w:r>
      <w:r>
        <w:t xml:space="preserve"> (Ley Orgánica 3/1981, art. 15)</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t xml:space="preserve"> (Ley 29/1998, arts. 29, 30 y 46)</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t xml:space="preserve"> (SSTC 59/2017 y 182/2021)</w:t>
      </w:r>
      <w:r>
        <w:t>, con efectos solo hacia adelante (</w:t>
      </w:r>
      <w:r>
        <w:t>5.1</w:t>
      </w:r>
      <w:r>
        <w:t xml:space="preserve">, n.º 9). </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t xml:space="preserve"> (STS 3259/2025, de 1 de julio; Ley General Tributaria, art. 211.4)</w:t>
      </w:r>
      <w:r>
        <w:t xml:space="preserve">. </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t xml:space="preserve"> (STC 184/2025, de 2 de diciembre)</w:t>
      </w:r>
      <w:r>
        <w:t xml:space="preserve"> (</w:t>
      </w:r>
      <w:r>
        <w:t>5.2</w:t>
      </w:r>
      <w:r>
        <w:t xml:space="preserve">). </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t xml:space="preserve"> (STS 3465/2025, de 17 de julio)</w:t>
      </w:r>
      <w:r>
        <w:t xml:space="preserve">. </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t xml:space="preserve"> (STC 121/2025, de 26 de mayo)</w:t>
      </w:r>
      <w:r>
        <w:t>, y el Supremo la corrigió en pleno: «el consumidor debe quedar indemne económicamente»</w:t>
      </w:r>
      <w:r>
        <w:t xml:space="preserve"> (SSTS 1785, 1786 y 1796/2025, de 4 y 5 de diciembre)</w:t>
      </w:r>
      <w:r>
        <w:t xml:space="preserve">. </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t xml:space="preserve"> (STS 1063/2025, de 21 de julio)</w:t>
      </w:r>
      <w:r>
        <w:t>. Y Hacienda no puede seguir por la vía penal una deuda ya prescrita en la administrativa</w:t>
      </w:r>
      <w:r>
        <w:t xml:space="preserve"> (STS 1182/2024, de 7 de enero de 2025)</w:t>
      </w:r>
      <w:r>
        <w:t xml:space="preserve">. </w:t>
      </w:r>
    </w:p>
    <w:p>
      <w:r>
        <w:rPr>
          <w:b/>
        </w:rPr>
        <w:t>Contra un reglamento ilegal.</w:t>
      </w:r>
      <w:r>
        <w:t xml:space="preserve"> El plazo de dos meses para recurrir un reglamento vence pronto, pero cada acto nuevo que lo aplique abre un plazo nuevo: es el recurso indirecto</w:t>
      </w:r>
      <w:r>
        <w:t xml:space="preserve"> (Ley 29/1998, art. 26)</w:t>
      </w:r>
      <w:r>
        <w:t>. Hace falta que la ilegalidad del reglamento tenga que ver con el acto recurrido: no cabe impugnar la norma «en abstracto»</w:t>
      </w:r>
      <w:r>
        <w:t xml:space="preserve"> (STS 932/2021, de 28 de junio)</w:t>
      </w:r>
      <w:r>
        <w:t>. Si el juez lo estima, la cuestión de ilegalidad lleva la norma al tribunal que puede anularla para todos</w:t>
      </w:r>
      <w:r>
        <w:t xml:space="preserve"> (Ley 29/1998, art. 27)</w:t>
      </w:r>
      <w:r>
        <w:t>. Las disposiciones nulas lo son sin plazo, pero el ciudadano solo puede pedir de parte la revisión de los actos; la de las disposiciones generales es de oficio</w:t>
      </w:r>
      <w:r>
        <w:t xml:space="preserve"> (Ley 39/2015, arts. 47.2 y 106)</w:t>
      </w:r>
      <w:r>
        <w:t>: frente a un reglamento nulo, su vía fuerte sigue siendo el recurso indirecto.</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t xml:space="preserve"> (Ley 40/2015, art. 36)</w:t>
      </w:r>
      <w:r>
        <w:t>. Para el error judicial, primero una decisión que lo reconozca, pedida en tres meses al Supremo, y después la reclamación al Ministerio de Justicia</w:t>
      </w:r>
      <w:r>
        <w:t xml:space="preserve"> (Ley Orgánica del Poder Judicial, arts. 292 y 293)</w:t>
      </w:r>
      <w:r>
        <w:t>. Ninguna de estas vías es una fórmula mágica: son el mapa de lo que el propio ordenamiento ya permite.</w:t>
      </w:r>
    </w:p>
    <w:p>
      <w:pPr>
        <w:pStyle w:val="Heading3"/>
      </w:pPr>
      <w:r>
        <w:t>Defenderse juntos</w:t>
      </w:r>
    </w:p>
    <w:p>
      <w:r>
        <w:rPr>
          <w:b/>
        </w:rPr>
        <w:t>Hechos.</w:t>
      </w:r>
      <w:r>
        <w:t xml:space="preserve"> La ley permite acumular los recursos sobre un mismo acto o sobre actos conectados</w:t>
      </w:r>
      <w:r>
        <w:t xml:space="preserve"> (Ley 29/1998, art. 34)</w:t>
      </w:r>
      <w:r>
        <w:t>; si hay muchos con idéntico objeto, el juez puede tramitar uno como pleito testigo y suspender los demás</w:t>
      </w:r>
      <w:r>
        <w:t xml:space="preserve"> (ídem, art. 37.2)</w:t>
      </w:r>
      <w:r>
        <w:t>; y en materia tributaria, quienes estén en idéntica situación pueden pedir que se les extiendan los efectos de una sentencia firme en el plazo de un año</w:t>
      </w:r>
      <w:r>
        <w:t xml:space="preserve"> (ídem, art. 110)</w:t>
      </w:r>
      <w:r>
        <w:t>. Ante un juzgado unipersonal, el procurador es opcional</w:t>
      </w:r>
      <w:r>
        <w:t xml:space="preserve"> (ídem, art. 23.1)</w:t>
      </w:r>
      <w:r>
        <w:t>. Y si se pierde del todo, el juez impone las costas a quien recurrió, salvo serias dudas</w:t>
      </w:r>
      <w:r>
        <w:t xml:space="preserve"> (ídem, art. 139.1)</w:t>
      </w:r>
      <w:r>
        <w:t>.</w:t>
      </w:r>
    </w:p>
    <w:p>
      <w:r>
        <w:rPr>
          <w:b/>
        </w:rPr>
        <w:t>Conclusión, lo que arrojan los datos:</w:t>
      </w:r>
      <w:r>
        <w:t xml:space="preserve"> los cauces para defenderse en grupo ya existen. Lo que falta es encontrar a quien tiene el mismo problema.</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t xml:space="preserve"> (Reglamento General de Protección de Datos, art. 6.1.a)</w:t>
      </w:r>
      <w:r>
        <w:t>.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w:t>
      </w:r>
    </w:p>
    <w:p>
      <w:pPr>
        <w:pStyle w:val="Heading3"/>
      </w:pPr>
      <w:r>
        <w:t>La respuesta probable de la Administración</w:t>
      </w:r>
    </w:p>
    <w:p>
      <w:r>
        <w:t>Conocer la respuesta probable antes de presentar el escrito es parte de la buena fe. Estas son las cinco, con lo que responde la obra.</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t xml:space="preserve"> (Ley Orgánica 4/2001, art. 3)</w:t>
      </w:r>
      <w:r>
        <w:t xml:space="preserve"> e inadmite las peticiones sobre un procedimiento ya iniciado</w:t>
      </w:r>
      <w:r>
        <w:t xml:space="preserve"> (ídem, art. 8)</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t xml:space="preserve"> (ídem, art. 9.1)</w:t>
      </w:r>
      <w:r>
        <w:t>. Además, el nombre que se dé al escrito no lo invalida</w:t>
      </w:r>
      <w:r>
        <w:t xml:space="preserve"> (Ley 39/2015, art. 115.2)</w:t>
      </w:r>
      <w:r>
        <w:t>.</w:t>
      </w:r>
    </w:p>
    <w:p>
      <w:pPr>
        <w:spacing w:after="60"/>
        <w:ind w:left="510" w:hanging="397"/>
      </w:pPr>
      <w:r>
        <w:rPr>
          <w:b w:val="0"/>
        </w:rPr>
        <w:t xml:space="preserve">2. </w:t>
      </w:r>
      <w:r>
        <w:rPr>
          <w:b/>
        </w:rPr>
        <w:t>«El acto ya cita su norma, y basta una motivación sucinta.»</w:t>
      </w:r>
      <w:r>
        <w:t xml:space="preserve"> (Ley 39/2015, art. 35)</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t xml:space="preserve"> (Ley 19/2013, art. 18.1.c)</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t xml:space="preserve"> (Ley 19/2013, art. 20.4)</w:t>
      </w:r>
      <w:r>
        <w:t xml:space="preserve"> </w:t>
      </w:r>
      <w:r>
        <w:rPr>
          <w:i/>
        </w:rPr>
        <w:t>La respuesta de la obra:</w:t>
      </w:r>
      <w:r>
        <w:t xml:space="preserve"> el silencio no libera de resolver</w:t>
      </w:r>
      <w:r>
        <w:t xml:space="preserve"> (Ley 39/2015, art. 21.1)</w:t>
      </w:r>
      <w:r>
        <w:t>, y la resolución tardía se dicta «sin vinculación alguna al sentido del silencio»</w:t>
      </w:r>
      <w:r>
        <w:t xml:space="preserve"> (ídem, art. 24.3.b)</w:t>
      </w:r>
      <w:r>
        <w:t>. El silencio no da la razón a nadie: es un hecho documentado.</w:t>
      </w:r>
    </w:p>
    <w:p>
      <w:pPr>
        <w:spacing w:after="60"/>
        <w:ind w:left="510" w:hanging="397"/>
      </w:pPr>
      <w:r>
        <w:rPr>
          <w:b w:val="0"/>
        </w:rPr>
        <w:t xml:space="preserve">5. </w:t>
      </w:r>
      <w:r>
        <w:rPr>
          <w:b/>
        </w:rPr>
        <w:t>«Una avalancha de escritos idénticos es abusiva.»</w:t>
      </w:r>
      <w:r>
        <w:t xml:space="preserve"> (Ley 19/2013, art. 18.1.e)</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w:t>
      </w:r>
    </w:p>
    <w:p>
      <w:pPr>
        <w:pStyle w:val="ListBullet"/>
      </w:pPr>
      <w:r>
        <w:t>Notificada una denuncia de tráfico, hay veinte días naturales para alegar</w:t>
      </w:r>
      <w:r>
        <w:t xml:space="preserve"> (Ley de Tráfico, art. 95.1)</w:t>
      </w:r>
      <w:r>
        <w:t>. Pagar en ese plazo reduce la multa a la mitad, pero las alegaciones «se tendrán por no presentadas» y la vía administrativa se agota</w:t>
      </w:r>
      <w:r>
        <w:t xml:space="preserve"> (ídem, art. 94)</w:t>
      </w:r>
      <w:r>
        <w:t xml:space="preserve">: o se paga con la reducción, o se alega. </w:t>
      </w:r>
    </w:p>
    <w:p>
      <w:pPr>
        <w:pStyle w:val="ListBullet"/>
      </w:pPr>
      <w:r>
        <w:t>El recurso de reposición, en un mes, y otro mes para resolverlo</w:t>
      </w:r>
      <w:r>
        <w:t xml:space="preserve"> (Ley 39/2015, arts. 123 y 124)</w:t>
      </w:r>
      <w:r>
        <w:t>. Recurrir no suspende por sí solo, pero se puede pedir la suspensión, y si no se resuelve en un mes, «la ejecución del acto impugnado se entenderá suspendida»</w:t>
      </w:r>
      <w:r>
        <w:t xml:space="preserve"> (ídem, art. 117)</w:t>
      </w:r>
      <w:r>
        <w:t xml:space="preserve">. </w:t>
      </w:r>
    </w:p>
    <w:p>
      <w:pPr>
        <w:pStyle w:val="ListBullet"/>
      </w:pPr>
      <w:r>
        <w:t>La providencia de apremio tiene «la misma fuerza ejecutiva que la sentencia judicial», y solo admite cinco motivos de oposición</w:t>
      </w:r>
      <w:r>
        <w:t xml:space="preserve"> (Ley General Tributaria, art. 167)</w:t>
      </w:r>
      <w:r>
        <w:t>. La reposición tributaria, en un mes, nunca empeora la situación de quien recurre, y si lo recurrido es una sanción se suspende sin garantía</w:t>
      </w:r>
      <w:r>
        <w:t xml:space="preserve"> (ídem, arts. 223 y 224.1)</w:t>
      </w:r>
      <w:r>
        <w:t xml:space="preserve">. </w:t>
      </w:r>
    </w:p>
    <w:p>
      <w:pPr>
        <w:pStyle w:val="ListBullet"/>
      </w:pPr>
      <w:r>
        <w:t>No se puede embargar el sueldo o la pensión que no exceda del salario mínimo</w:t>
      </w:r>
      <w:r>
        <w:t xml:space="preserve"> (Ley de Enjuiciamiento Civil, art. 607.1)</w:t>
      </w:r>
      <w:r>
        <w:t xml:space="preserve">. </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Este apartado dice qué compensación ya reconoce la ley.</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t xml:space="preserve"> (Código Civil, art. 1902)</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t xml:space="preserve"> (Ley de 16 de diciembre de 1954, art. 121)</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xml:space="preserve"> (Constitución, art. 106.2; Ley 40/2015, art. 32)</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t xml:space="preserve"> (Constitución, art. 121; Ley Orgánica del Poder Judicial, arts. 292 a 297)</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t xml:space="preserve"> (Ley 40/2015, art. 32.8)</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t xml:space="preserve"> (Directiva (UE) 2024/2853, art. 21)</w:t>
      </w:r>
      <w:r>
        <w:t>.</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t xml:space="preserve"> (Ley 40/2015, art. 32.3)</w:t>
      </w:r>
      <w:r>
        <w:t>.</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t xml:space="preserve"> (STS de 21 de junio de 1996, FJ 4)</w:t>
      </w:r>
      <w:r>
        <w:t>; hace falta una tardanza que, vista la complejidad del caso, sea impropia de un Estado que «propugna como uno de sus valores superiores la justicia»</w:t>
      </w:r>
      <w:r>
        <w:t xml:space="preserve"> (ídem)</w:t>
      </w:r>
      <w:r>
        <w:t>.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t xml:space="preserve"> (Código Civil, art. 384)</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t xml:space="preserve"> (Código Civil, art. 364)</w:t>
      </w:r>
      <w:r>
        <w:t>, pero esa tolerancia no le quita la propiedad: «los actos meramente tolerados […] no afectan a la posesión»</w:t>
      </w:r>
      <w:r>
        <w:t xml:space="preserve"> (ídem, art. 444)</w:t>
      </w:r>
      <w:r>
        <w:t>. Queda lo único que queda cuando hubo tolerancia por ambas partes: marcar otra vez el límite y compensar lo tomado de más.</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t xml:space="preserve"> (Tratado de la Unión Europea, art. 5.2)</w:t>
      </w:r>
      <w:r>
        <w:t>.</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Por eso lo que se pide es un deslinde, no una condena.</w:t>
      </w:r>
    </w:p>
    <w:p>
      <w:pPr>
        <w:pStyle w:val="Heading3"/>
      </w:pPr>
      <w:r>
        <w:t>La medida: el exceso que contamina el acto entero</w:t>
      </w:r>
    </w:p>
    <w:p>
      <w:r>
        <w:t>El criterio no es que el derecho castigue sobrepasar, que sería obvio, sino algo más raro: sitios donde el poder era legítimo, se ejerció más allá de su medida, y el exceso contamina el acto entero, no solo la parte sobrante.</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t xml:space="preserve"> (Código Civil, art. 7)</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t xml:space="preserve"> (Código Civil, art. 6.4)</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t xml:space="preserve"> (STC 66/1995)</w:t>
      </w:r>
      <w:r>
        <w:t>, al legislador</w:t>
      </w:r>
      <w:r>
        <w:t xml:space="preserve"> (STC 55/1996)</w:t>
      </w:r>
      <w:r>
        <w:t xml:space="preserve"> y a los jueces</w:t>
      </w:r>
      <w:r>
        <w:t xml:space="preserve"> (STC 207/1996)</w:t>
      </w:r>
      <w:r>
        <w:t>.</w:t>
      </w:r>
    </w:p>
    <w:p>
      <w:pPr>
        <w:pStyle w:val="ListBullet"/>
      </w:pPr>
      <w:r>
        <w:rPr>
          <w:b/>
        </w:rPr>
        <w:t>La piedra que la ley no puede mover:</w:t>
      </w:r>
      <w:r>
        <w:t xml:space="preserve"> el «contenido esencial» de los derechos</w:t>
      </w:r>
      <w:r>
        <w:t xml:space="preserve"> (Constitución, art. 53.1; STC 11/1981)</w:t>
      </w:r>
      <w:r>
        <w:t>, y la «interdicción de la arbitrariedad de los poderes públicos»</w:t>
      </w:r>
      <w:r>
        <w:t xml:space="preserve"> (Constitución, art. 9.3)</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t xml:space="preserve"> (Carta de los Derechos Fundamentales de la UE, art. 52.1)</w:t>
      </w:r>
      <w:r>
        <w:t xml:space="preserve">. No son alternativas: se cumplen las cuatro o la limitación no vale. La presunción de inocencia, también en lo administrativo, ya se vio en </w:t>
      </w:r>
      <w:r>
        <w:t>5.2</w:t>
      </w:r>
      <w:r>
        <w:t xml:space="preserve"> y </w:t>
      </w:r>
      <w:r>
        <w:t>7.5</w:t>
      </w:r>
      <w:r>
        <w:t xml:space="preserve">, n.º 3. </w:t>
      </w:r>
    </w:p>
    <w:p>
      <w:pPr>
        <w:pStyle w:val="ListBullet"/>
      </w:pPr>
      <w:r>
        <w:rPr>
          <w:b/>
        </w:rPr>
        <w:t>El techo dentro de la excepción:</w:t>
      </w:r>
      <w:r>
        <w:t xml:space="preserve"> la legítima defensa exige «necesidad racional del medio empleado»</w:t>
      </w:r>
      <w:r>
        <w:t xml:space="preserve"> (Código Penal, art. 20.4)</w:t>
      </w:r>
      <w:r>
        <w:t>, y el estado de necesidad, «que el mal causado no sea mayor que el que se trate de evitar»</w:t>
      </w:r>
      <w:r>
        <w:t xml:space="preserve"> (ídem, art. 20.5)</w:t>
      </w:r>
      <w:r>
        <w:t>.</w:t>
      </w:r>
    </w:p>
    <w:p>
      <w:pPr>
        <w:pStyle w:val="ListBullet"/>
      </w:pPr>
      <w:r>
        <w:rPr>
          <w:b/>
        </w:rPr>
        <w:t>La tradición:</w:t>
      </w:r>
      <w:r>
        <w:t xml:space="preserve"> «Maldito el que redujere el término de su prójimo. Y dirá todo el pueblo: Amén»</w:t>
      </w:r>
      <w:r>
        <w:t xml:space="preserve"> (Dt 27:17)</w:t>
      </w:r>
      <w:r>
        <w:t>, entre las maldiciones del monte Ebal, junto a la de quien deshonra a sus padres y la de quien pervierte el derecho del extranjero, del huérfano y de la viuda. Mover el límite se juzga junto al abandono del más débil.</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t xml:space="preserve"> (STS de 22 de marzo de 1996)</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t xml:space="preserve"> (STS de 7 de julio de 2026, recurso de casación 1823/2024)</w:t>
      </w:r>
      <w:r>
        <w:t>.</w:t>
      </w:r>
    </w:p>
    <w:p>
      <w:r>
        <w:t>Un patrón con sus excepciones reconocidas es un patrón; sin ellas sería propaganda.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t xml:space="preserve"> (Declaración Universal, arts. 7, 8 y 10)</w:t>
      </w:r>
      <w:r>
        <w:t>; la Carta de la Unión, la propiedad, la igualdad y la tutela judicial efectiva</w:t>
      </w:r>
      <w:r>
        <w:t xml:space="preserve"> (Carta de los Derechos Fundamentales, arts. 17, 20 y 47)</w:t>
      </w:r>
      <w:r>
        <w:t>; y el Convenio Europeo, el juicio en un plazo razonable y la propiedad</w:t>
      </w:r>
      <w:r>
        <w:t xml:space="preserve"> (Convenio Europeo de Derechos Humanos, art. 6.1, y Protocolo n.º 1, art. 1)</w:t>
      </w:r>
      <w:r>
        <w:t>.</w:t>
      </w:r>
    </w:p>
    <w:p>
      <w:pPr>
        <w:pStyle w:val="ListBullet"/>
      </w:pPr>
      <w:r>
        <w:t>El Tribunal Europeo de Derechos Humanos condenó a Italia porque sus autoridades tardaron demasiado en ejecutar el desalojo de unos ocupantes ilegales</w:t>
      </w:r>
      <w:r>
        <w:t xml:space="preserve"> (STEDH Casa di Cura Valle Fiorita c. Italia, 13-12-2018)</w:t>
      </w:r>
      <w:r>
        <w:t>, y a Grecia, por no actuar durante más de tres años frente a la ocupación de un hotel</w:t>
      </w:r>
      <w:r>
        <w:t xml:space="preserve"> (STEDH Papachela y Amazon c. Grecia, 3-12-2020)</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t xml:space="preserve"> (STC 125/2022, de 10 de octubre)</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t xml:space="preserve"> (STC 10/1991)</w:t>
      </w:r>
      <w:r>
        <w:t>; la demora tiene que ser injustificada.</w:t>
      </w:r>
    </w:p>
    <w:p>
      <w:pPr>
        <w:pStyle w:val="ListBullet"/>
      </w:pPr>
      <w:r>
        <w:t>El Código Civil: el poseedor de mala fe abona los frutos percibidos y los que el poseedor legítimo hubiera podido percibir</w:t>
      </w:r>
      <w:r>
        <w:t xml:space="preserve"> (Código Civil, art. 455)</w:t>
      </w:r>
      <w:r>
        <w:t>, responde del deterioro</w:t>
      </w:r>
      <w:r>
        <w:t xml:space="preserve"> (ídem, art. 457)</w:t>
      </w:r>
      <w:r>
        <w:t xml:space="preserve"> y no cobra las mejoras de lujo</w:t>
      </w:r>
      <w:r>
        <w:t xml:space="preserve"> (ídem, art. 454)</w:t>
      </w:r>
      <w:r>
        <w:t>.</w:t>
      </w:r>
    </w:p>
    <w:p>
      <w:r>
        <w:rPr>
          <w:b/>
        </w:rPr>
        <w:t>La ocupación, con su cifra.</w:t>
      </w:r>
      <w:r>
        <w:t xml:space="preserve"> El Ministerio del Interior contabilizó 16.426 delitos de usurpación y allanamiento de morada en 2024, un 7,4 % más que el año anterior y la tercera cifra más alta de la serie</w:t>
      </w:r>
      <w:r>
        <w:t xml:space="preserve"> (Ministerio del Interior, balance de criminalidad de 2024)</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t xml:space="preserve"> (Idealista, análisis de sus anuncios, tercer trimestre de 2025)</w:t>
      </w:r>
      <w:r>
        <w:t>. El CGPJ mide aparte los juicios verbales para recuperar una vivienda ocupada, una vía civil que solo pueden usar la persona física propietaria o poseedora legítima, las entidades sin ánimo de lucro y las entidades públicas de vivienda social</w:t>
      </w:r>
      <w:r>
        <w:t xml:space="preserve"> (Ley de Enjuiciamiento Civil, art. 250.1.4.º)</w:t>
      </w:r>
      <w:r>
        <w:t>; los delitos van por la vía penal. Cada categoría mide su trozo; nadie mide el total. Y desde el 3 de abril de 2025, la usurpación y el allanamiento van por juicio rápido, en el que el juicio oral se señala «dentro de los quince días siguientes»</w:t>
      </w:r>
      <w:r>
        <w:t xml:space="preserve"> (Ley de Enjuiciamiento Criminal, art. 800.3, tras la Ley Orgánica 1/2025)</w:t>
      </w:r>
      <w:r>
        <w:t>.</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r>
        <w:rPr>
          <w:b/>
        </w:rPr>
        <w:t>La tensión, dicha sin elegir bando.</w:t>
      </w:r>
      <w:r>
        <w:t xml:space="preserve"> Proteger a quien es vulnerable no vulnera la igualdad: la Constitución obliga a los poderes públicos a que la libertad y la igualdad sean «reales y efectivas»</w:t>
      </w:r>
      <w:r>
        <w:t xml:space="preserve"> (Constitución, art. 9.2)</w:t>
      </w:r>
      <w:r>
        <w:t>, y la protección frente a los desahucios de hogares vulnerables se ha prorrogado hasta el 31 de diciembre de 2026</w:t>
      </w:r>
      <w:r>
        <w:t xml:space="preserve"> (Real Decreto-ley 16/2025)</w:t>
      </w:r>
      <w:r>
        <w:t>. El problema real es otro: la buena fe se presume por igual en quien la merece y en quien no (</w:t>
      </w:r>
      <w:r>
        <w:t>2.5</w:t>
      </w:r>
      <w:r>
        <w:t>),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t xml:space="preserve"> (STC 148/2021)</w:t>
      </w:r>
      <w:r>
        <w:t xml:space="preserve"> (</w:t>
      </w:r>
      <w:r>
        <w:t>7.2</w:t>
      </w:r>
      <w:r>
        <w:t>, n.º 9). Y la Unión obliga: el Tribunal de Justicia declaró en 2024 que las medidas españolas contra el abuso de la temporalidad en el empleo público no se ajustan al Derecho de la Unión</w:t>
      </w:r>
      <w:r>
        <w:t xml:space="preserve"> (STJUE de 22 de febrero de 2024, asuntos C-59/22, C-110/22 y C-159/22)</w:t>
      </w:r>
      <w:r>
        <w:t>, y en 2026 lo repitió: llamar «indefinido no fijo» al trabajador no elimina por sí solo el abuso</w:t>
      </w:r>
      <w:r>
        <w:t xml:space="preserve"> (STJUE de 14 de abril de 2026, asunto C-418/24)</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t xml:space="preserve"> (Constitución, arts. 47 y 53.3)</w:t>
      </w:r>
      <w:r>
        <w:t>.</w:t>
      </w:r>
    </w:p>
    <w:p>
      <w:pPr>
        <w:pStyle w:val="Heading3"/>
      </w:pPr>
      <w:r>
        <w:t>La petición de deslinde</w:t>
      </w:r>
    </w:p>
    <w:p>
      <w:r>
        <w:t>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Ninguno espera al colapso: todos actúan con el poder todavía en pie, pidiendo que se corrija.</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t xml:space="preserve"> (Ley Orgánica 4/2001, art. 8)</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t xml:space="preserve"> (ídem, art. 9.1)</w:t>
      </w:r>
      <w:r>
        <w:t>. Por eso el pliego de cargos va institución por institución (</w:t>
      </w:r>
      <w:r>
        <w:t>11.3</w:t>
      </w:r>
      <w:r>
        <w:t xml:space="preserve">). </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t xml:space="preserve"> (Constitución, art. 10.2)</w:t>
      </w:r>
      <w:r>
        <w:t xml:space="preserve">. </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p>
    <w:p>
      <w:pPr>
        <w:spacing w:after="60"/>
        <w:ind w:left="510" w:hanging="397"/>
      </w:pPr>
      <w:r>
        <w:rPr>
          <w:b w:val="0"/>
        </w:rPr>
        <w:t xml:space="preserve">5. </w:t>
      </w:r>
      <w:r>
        <w:rPr>
          <w:b/>
        </w:rPr>
        <w:t>«La vivienda social es competencia de las comunidades autónomas.»</w:t>
      </w:r>
      <w:r>
        <w:t xml:space="preserve"> (Constitución, art. 148.1.3.ª)</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xml:space="preserve"> (Constitución, art. 125)</w:t>
      </w:r>
      <w:r>
        <w:t>. La ley reconoce tribunales de la costumbre que siguen funcionando, como el Tribunal de las Aguas de la Vega Valenciana</w:t>
      </w:r>
      <w:r>
        <w:t xml:space="preserve"> (Ley Orgánica del Poder Judicial, art. 19)</w:t>
      </w:r>
      <w:r>
        <w:t xml:space="preserve"> (</w:t>
      </w:r>
      <w:r>
        <w:t>1.5</w:t>
      </w:r>
      <w:r>
        <w:t>). La petición puede ser colectiva, firmada por todos</w:t>
      </w:r>
      <w:r>
        <w:t xml:space="preserve"> (Ley Orgánica 4/2001, art. 4.2)</w:t>
      </w:r>
      <w:r>
        <w:t>, y los tribunales pueden juzgar un caso testigo y extender sus efectos a otros iguales</w:t>
      </w:r>
      <w:r>
        <w:t xml:space="preserve"> (Ley 29/1998, arts. 37.2, 110 y 111)</w:t>
      </w:r>
      <w:r>
        <w:t>.</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o engañado. Por eso la brújula funciona con dos lecturas a la vez: lo que dicen los frutos, con su fuente, y lo que uno siente. Si no coinciden, esa diferencia ya es información.</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r>
        <w:br w:type="page"/>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t xml:space="preserve"> (Constitución, art. 9.1)</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Lo que ya existe está en este capítulo: los cargos, sus defensas y las preguntas, por escrito.</w:t>
      </w:r>
    </w:p>
    <w:p>
      <w:r>
        <w:rPr>
          <w:b/>
        </w:rPr>
        <w:t>La documentación del juicio.</w:t>
      </w:r>
      <w:r>
        <w:t xml:space="preserve"> Todo juicio se apoya en documentos, y a lo que se aporta con ellos la ley lo llama «la prueba documental»</w:t>
      </w:r>
      <w:r>
        <w:t xml:space="preserve"> (Ley de Enjuiciamiento Civil, art. 289.3)</w:t>
      </w:r>
      <w:r>
        <w:t>. Y pide que a toda demanda o contestación «habrán de acompañarse» «los documentos en que las partes funden su derecho a la tutela judicial que pretenden»</w:t>
      </w:r>
      <w:r>
        <w:t xml:space="preserve"> (Ley de Enjuiciamiento Civil, art. 265.1.1.º)</w:t>
      </w:r>
      <w:r>
        <w:t>. Lo que consta en un archivo del que se pueden obtener copias no se señala sin más: la parte «deberá acompañarlo a la demanda, sin que pueda limitarse a efectuar la designación»</w:t>
      </w:r>
      <w:r>
        <w:t xml:space="preserve"> (Ley de Enjuiciamiento Civil, art. 265.2)</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t xml:space="preserve"> (Constitución, art. 29.1)</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la cuarta la pide la Constitución para todos.</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t xml:space="preserve"> (Ley Orgánica 5/1995, art. 61.1.d)</w:t>
      </w:r>
      <w:r>
        <w:t>; y a todo juez: «Las sentencias serán siempre motivadas y se pronunciarán en audiencia pública»</w:t>
      </w:r>
      <w:r>
        <w:t xml:space="preserve"> (Constitución, art. 120.3)</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t xml:space="preserve"> (Ley Orgánica 5/1995, art. 11.5)</w:t>
      </w:r>
      <w:r>
        <w:t>, o quien mantenga con una parte las relaciones que obligan a abstenerse a jueces y magistrados</w:t>
      </w:r>
      <w:r>
        <w:t xml:space="preserve"> (Ley Orgánica 5/1995, art. 11.2)</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t xml:space="preserve"> (Ley Orgánica 5/1995, art. 38.3)</w:t>
      </w:r>
      <w:r>
        <w:t>, y además hasta cuatro «sin alegación de motivo determinado»</w:t>
      </w:r>
      <w:r>
        <w:t xml:space="preserve"> (Ley Orgánica 5/1995, art. 40.3)</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t xml:space="preserve"> (Constitución, art. 16.2)</w:t>
      </w:r>
      <w:r>
        <w:t>. La ley pide a su jurado cinco requisitos, y ninguno es de ideas</w:t>
      </w:r>
      <w:r>
        <w:t xml:space="preserve"> (Ley Orgánica 5/1995, art. 8)</w:t>
      </w:r>
      <w:r>
        <w:t>; {completo} son ser español mayor de edad, estar en el pleno ejercicio de los derechos políticos, saber leer y escribir, ser vecino de la provincia y «Contar con la aptitud suficiente para el desempeño de la función de jurado»</w:t>
      </w:r>
      <w:r>
        <w:t xml:space="preserve"> (Ley Orgánica 5/1995, art. 8.5)</w:t>
      </w:r>
      <w:r>
        <w:t>. Lo que se le pide es lo que jura el jurado de la ley: «desempeñar bien y fielmente la función del jurado, con imparcialidad, sin odio ni afecto»</w:t>
      </w:r>
      <w:r>
        <w:t xml:space="preserve"> (Ley Orgánica 5/1995, art. 41.1)</w:t>
      </w:r>
      <w:r>
        <w:t>. Aquí la obra se aparta de la ley en un punto, y lo dice: la ley deja a las partes hacer preguntas al jurado nombrado</w:t>
      </w:r>
      <w:r>
        <w:t xml:space="preserve"> (Ley Orgánica 5/1995, art. 40.3)</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Las respuestas y los silencios irán al Registro y se leerán ante el jurado antes del veredicto, junto a la mejor defensa que este capítulo ya expone. El jurado dará su veredicto con la vara de la obra: si la institución sirve al orden natural y a Dios, o a otros intereses.</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El pliego tiene veintiocho: los veintitrés que la obra formuló primero y cinco más, del 24 al 28, para hechos probados que aquellos no recogían: la separación de poderes, la carga, la responsabilidad, el diseño legal que enfrenta a la gente y la economía real.</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t xml:space="preserve"> (Ley de Enjuiciamiento Criminal, art. 739)</w:t>
      </w:r>
      <w:r>
        <w:t>. Y es la que pide la Escritura, que no juzga sin oír primero: «¿Juzga nuestra ley á hombre, si primero no oyere de él […]?»</w:t>
      </w:r>
      <w:r>
        <w:t xml:space="preserve"> (Jn 7:51)</w:t>
      </w:r>
      <w:r>
        <w:t>; «El primero en su propia causa parece justo; Y su adversario viene, y le sondea»</w:t>
      </w:r>
      <w:r>
        <w:t xml:space="preserve"> (Pr 18:17)</w:t>
      </w:r>
      <w:r>
        <w:t>. Dice «en verdad», y no «en tu verdad», porque en esta obra la verdad es lo comprobado con fuente (</w:t>
      </w:r>
      <w:r>
        <w:t>0.4</w:t>
      </w:r>
      <w:r>
        <w:t>). Y habla de tú porque es la voz del juicio; en los escritos a la Administración, la obra usa el usted (</w:t>
      </w:r>
      <w:r>
        <w:t>10.4</w:t>
      </w:r>
      <w:r>
        <w:t>).</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t xml:space="preserve"> (Constitución, art. 1.1)</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t xml:space="preserve"> (Código Civil, art. 1.2)</w:t>
      </w:r>
      <w:r>
        <w:t>. La Constitución garantiza «el principio de legalidad, la jerarquía normativa» y «la seguridad jurídica»</w:t>
      </w:r>
      <w:r>
        <w:t xml:space="preserve"> (Constitución, art. 9.3)</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t xml:space="preserve"> (Constitución, art. 10.1)</w:t>
      </w:r>
      <w:r>
        <w:t>. Lo inviolable y lo inherente no lo crea la ley: lo reconoce. Hasta el positivismo más influyente del siglo XX admitió un «contenido mínimo del derecho natural» que todo ordenamiento necesita para sostenerse</w:t>
      </w:r>
      <w:r>
        <w:t xml:space="preserve"> (Hart, El concepto de Derecho, 1961, cap. IX; fuente secundaria: artículo de la revista Problema, UNAM, 2025)</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t xml:space="preserve"> (Código Civil, art. 1.1)</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t xml:space="preserve"> (Código Civil, art. 1.4)</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t xml:space="preserve"> (Constitución, art. 1.1)</w:t>
      </w:r>
      <w:r>
        <w:t xml:space="preserve"> y garantiza «la libertad ideológica, religiosa y de culto»</w:t>
      </w:r>
      <w:r>
        <w:t xml:space="preserve"> (art. 16.1)</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t xml:space="preserve"> (Constitución, art. 10.2)</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rPr>
          <w:b/>
        </w:rPr>
        <w:t>5. «El Estado es aconfesional».</w:t>
      </w:r>
    </w:p>
    <w:p>
      <w:pPr>
        <w:pStyle w:val="ListBullet"/>
      </w:pPr>
      <w:r>
        <w:rPr>
          <w:i/>
        </w:rPr>
        <w:t>La defensa del Estado:</w:t>
      </w:r>
      <w:r>
        <w:t xml:space="preserve"> «Ninguna confesión tendrá carácter estatal»</w:t>
      </w:r>
      <w:r>
        <w:t xml:space="preserve"> (Constitución, art. 16.3)</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t xml:space="preserve"> (ídem)</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t xml:space="preserve"> (Constitución, art. 1.2)</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t xml:space="preserve"> (Constitución, preámbulo)</w:t>
      </w:r>
      <w:r>
        <w:t>; y manda que la libertad y la igualdad sean «reales y efectivas»</w:t>
      </w:r>
      <w:r>
        <w:t xml:space="preserve"> (art. 9.2)</w:t>
      </w:r>
      <w:r>
        <w:t>. De todos, no de la mayoría. Tomás de Aquino escribió que el bien común de la ciudad y el bien de una sola persona «no se diferencian solo según lo mucho y lo poco, sino por una diferencia formal»</w:t>
      </w:r>
      <w:r>
        <w:t xml:space="preserve"> (Suma teológica II-II, q. 58, a. 7, ad 2)</w:t>
      </w:r>
      <w:r>
        <w:t>: el bien común no es una suma de bienes particulares. Y John Stuart Mill, que renunciaba a apoyarse en un derecho anterior a la utilidad, contaba ya «la tiranía de la mayoría» entre los males de los que la sociedad debe guardarse</w:t>
      </w:r>
      <w:r>
        <w:t xml:space="preserve"> (Mill, Sobre la libertad, 1859, cap. I)</w:t>
      </w:r>
      <w:r>
        <w:t>.</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t xml:space="preserve"> (Constitución, art. 9.2)</w:t>
      </w:r>
      <w:r>
        <w:t>. Y el mismo artículo que garantiza la legalidad garantiza también «la interdicción de la arbitrariedad de los poderes públicos»</w:t>
      </w:r>
      <w:r>
        <w:t xml:space="preserve"> (art. 9.3)</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t xml:space="preserve"> (Constitución, art. 53.3)</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t xml:space="preserve"> (Constitución, art. 47)</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t xml:space="preserve"> (Constitución, art. 136.1 y 136.3)</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t xml:space="preserve"> (Constitución, art. 1.1)</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y «no os fijéis en la naturaleza, sino en la tara»</w:t>
      </w:r>
      <w:r>
        <w:t xml:space="preserve"> (Agustín, Tratado 42 sobre el Evangelio de Juan, n.º 10 y 15; traducción publicada en augustinus.it)</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t xml:space="preserve"> (Ley 40/2015, art. 32)</w:t>
      </w:r>
      <w:r>
        <w:t>, y la autoridad o el funcionario que, a sabiendas de su injusticia, dicta una resolución arbitraria comete prevaricación</w:t>
      </w:r>
      <w:r>
        <w:t xml:space="preserve"> (Código Penal, art. 404)</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t xml:space="preserve"> (Código Penal, art. 31 quinquies.1)</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t xml:space="preserve"> (Convención sobre Derechos y Deberes de los Estados, Montevideo, 26-12-1933, art. 3; facsímil de la OEA)</w:t>
      </w:r>
      <w:r>
        <w:t>. Ningún título superior lo crea: se lo da él mismo.</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t xml:space="preserve"> (Constitución, art. 9.1)</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t xml:space="preserve"> (Código Penal, art. 384)</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t xml:space="preserve"> (Ley 39/2015, art. 39.1)</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t xml:space="preserve"> (Ley 39/2015, art. 97.1)</w:t>
      </w:r>
      <w:r>
        <w:t>; y, cuando falta el título, hay vía de hecho y remedio propio</w:t>
      </w:r>
      <w:r>
        <w:t xml:space="preserve"> (Ley 29/1998, art. 30)</w:t>
      </w:r>
      <w:r>
        <w:t>. Pero la Administración se da a sí misma el título: sus actos se presumen válidos, y la providencia de apremio tiene «la misma fuerza ejecutiva que la sentencia judicial»</w:t>
      </w:r>
      <w:r>
        <w:t xml:space="preserve"> (Ley General Tributaria, art. 167.2)</w:t>
      </w:r>
      <w:r>
        <w:t>. Quien ejecuta es quien se da el título: el problema de ser juez en la propia causa (</w:t>
      </w:r>
      <w:r>
        <w:t>1.7</w:t>
      </w:r>
      <w:r>
        <w:t xml:space="preserve">). Se juzga en el </w:t>
      </w:r>
      <w:r>
        <w:t>cargo 13</w:t>
      </w:r>
      <w:r>
        <w:t>.</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t xml:space="preserve"> (Constitución, art. 22.1)</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t xml:space="preserve"> (Constitución, art. 24.2)</w:t>
      </w:r>
      <w:r>
        <w:t>, y el honor es el límite de la libertad de expresión</w:t>
      </w:r>
      <w:r>
        <w:t xml:space="preserve"> (arts. 18.1 y 20.4)</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La prueba de cada uno ya está en los capítulos anteriores, y aquí se remite a ella. Lo que la obra concede se dice en «Dónde aguanta» y en el límite honesto de cada cargo.</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t xml:space="preserve"> (Hch 5:29)</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t xml:space="preserve"> (Código Civil, art. 1.1)</w:t>
      </w:r>
      <w:r>
        <w:t>. La costumbre «sólo regirá en defecto de ley aplicable»</w:t>
      </w:r>
      <w:r>
        <w:t xml:space="preserve"> (art. 1.3)</w:t>
      </w:r>
      <w:r>
        <w:t>, y los principios generales, que es por donde entra la ley natural, «se aplicarán en defecto de ley o costumbre»</w:t>
      </w:r>
      <w:r>
        <w:t xml:space="preserve"> (art. 1.4)</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t xml:space="preserve"> (Constitución, art. 10.1)</w:t>
      </w:r>
      <w:r>
        <w:t>, es decir, anteriores a ella; aun así, el Código Civil pone los principios por los que entran en el último lugar. Contra la costumbre injusta ya hay un filtro escrito: solo vale si no es «contraria a la moral o al orden público» y si «resulte probada»</w:t>
      </w:r>
      <w:r>
        <w:t xml:space="preserve"> (Código Civil, art. 1.3)</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t xml:space="preserve"> (Ley Orgánica del Poder Judicial, art. 219.10.ª)</w:t>
      </w:r>
      <w:r>
        <w:t>, y a sus autoridades, por «tener interés personal en el asunto»</w:t>
      </w:r>
      <w:r>
        <w:t xml:space="preserve"> (Ley 40/2015, art. 23.2.a)</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t xml:space="preserve"> (Mt 22:21)</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t xml:space="preserve"> (STC 145/2012, de 2 de julio)</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t xml:space="preserve"> (Declaración Universal de Derechos Humanos, art. 30)</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t xml:space="preserve"> (reserva de España de 16-XII-1983, BOE núm. 69, de 21-III-1984)</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t xml:space="preserve"> (Constitución, art. 1.2)</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t xml:space="preserve"> (Constitución, art. 87.3)</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t xml:space="preserve"> (Oliver Araujo, «La reforma constitucional de la Corona», Revista de Derecho Político, n.º 77, 2010, resumen)</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t xml:space="preserve"> (Gn 1:27)</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t xml:space="preserve"> (Mt 6:19)</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t xml:space="preserve"> (Constitución, art. 50)</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t xml:space="preserve"> (Lc 16:2)</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t xml:space="preserve"> (texto refundido de la Ley Concursal, art. 1.3)</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t xml:space="preserve"> (Constitución, art. 67.2)</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t>. En democracia, la mayoría expresa la voluntad general. La Administración «sirve con objetividad los intereses generales»</w:t>
      </w:r>
      <w:r>
        <w:t xml:space="preserve"> (Constitución, art. 103.1)</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t xml:space="preserve"> (Congreso de los Diputados, retribuciones de 2026)</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t xml:space="preserve"> (INE, Encuesta Anual de Estructura Salarial, 2024)</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t xml:space="preserve"> (Is 10:1-2; </w:t>
      </w:r>
      <w:r>
        <w:t>1.1</w:t>
      </w:r>
      <w:r>
        <w:t>)</w:t>
      </w:r>
      <w:r>
        <w:t>; y a los que cumplían la letra: «dejasteis lo que es lo más grave de la ley, es á saber, el juicio y la misericordia y la fe»</w:t>
      </w:r>
      <w:r>
        <w:t xml:space="preserve"> (Mt 23:23)</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t xml:space="preserve"> (Código Civil, art. 6.1)</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t xml:space="preserve"> (Lc 11:46)</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t xml:space="preserve"> (Código Civil, art. 6.1)</w:t>
      </w:r>
      <w:r>
        <w:t>. Solo en 2024 se aprobaron 894 normas nuevas, 719 del Estado y 175 de las comunidades autónomas</w:t>
      </w:r>
      <w:r>
        <w:t xml:space="preserve"> (CEOE, «La producción normativa en 2024», estudio privado con datos del BOE y de las comunidades, pp. 2 y 7)</w:t>
      </w:r>
      <w:r>
        <w:t>, y se publicaron 1.298.086 páginas entre el BOE y los boletines autonómicos, unas 3.547 cada día (</w:t>
      </w:r>
      <w:r>
        <w:t>5.2</w:t>
      </w:r>
      <w:r>
        <w:t>). Y lo vigente, recopilado por el propio BOE en sus Códigos electrónicos, ocupa 345 códigos con 396.115 páginas</w:t>
      </w:r>
      <w:r>
        <w:t xml:space="preserve"> (BOE, Biblioteca Jurídica Digital, «Códigos electrónicos», consulta del 5-10-2026)</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t xml:space="preserve"> (Ministerio de Justicia, «Claridad y derecho a comprender», informe de la Comisión para la modernización del lenguaje jurídico)</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t xml:space="preserve"> (Jer 31:29-30)</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t xml:space="preserve"> (Stg 2:17)</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t xml:space="preserve"> (Analectas XX, 1, en la traducción inglesa de Legge)</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t xml:space="preserve"> (Comisión de Publicidad y Comunicación Institucional, informes anuales de 2019 y 2025)</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t xml:space="preserve"> (OCDE, «Average annual wages» (salarios medios anuales); fe de erratas, 20.00-35.5)</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t>En el nivel completo, las demás defensas que la Biblioteca escribió para este cargo, una por una, con su respuesta.</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t xml:space="preserve"> (Mt 5:37)</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t xml:space="preserve"> (Código Civil, art. 1261)</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t xml:space="preserve"> (Pr 21:5)</w:t>
      </w:r>
      <w:r>
        <w:t>.</w:t>
      </w:r>
    </w:p>
    <w:p>
      <w:pPr>
        <w:pStyle w:val="ListBullet"/>
      </w:pPr>
      <w:r>
        <w:rPr>
          <w:i/>
        </w:rPr>
        <w:t>Su propia ley:</w:t>
      </w:r>
      <w:r>
        <w:t xml:space="preserve"> «En caso de extraordinaria y urgente necesidad, el Gobierno podrá dictar disposiciones legislativas provisionales que tomarán la forma de Decretos-leyes»</w:t>
      </w:r>
      <w:r>
        <w:t xml:space="preserve"> (Constitución, art. 86.1)</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t xml:space="preserve"> (CEOE, «La producción normativa en 2024», estudio privado con datos del BOE, p. 3)</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t>, y en ese plazo las Cortes «podrán tramitarlos como proyectos de ley por el procedimiento de urgencia»</w:t>
      </w:r>
      <w:r>
        <w:t xml:space="preserve"> (art. 86.3)</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t xml:space="preserve"> (STC 61/2018, síntesis y fallo)</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t xml:space="preserve"> (STC 73/2017)</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t xml:space="preserve"> (BOE, «Referencias posteriores» de cada decreto-ley)</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t xml:space="preserve"> (Dt 24:10-11)</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t xml:space="preserve"> (Ley 39/2015, art. 98.1)</w:t>
      </w:r>
      <w:r>
        <w:t xml:space="preserve">, y ella misma puede ejecutarlos, incluido el «apremio sobre el patrimonio» (arts. 99 y 100.1.a; </w:t>
      </w:r>
      <w:r>
        <w:t>7.6</w:t>
      </w:r>
      <w:r>
        <w:t>). Un particular necesita siempre un título: «La acción ejecutiva deberá fundarse en un título que tenga aparejada ejecución»</w:t>
      </w:r>
      <w:r>
        <w:t xml:space="preserve"> (Ley de Enjuiciamiento Civil, art. 517.1)</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t xml:space="preserve"> (Ley General Tributaria, art. 31.2)</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t xml:space="preserve"> (art. 33.2)</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t xml:space="preserve"> (Pr 22:7)</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t xml:space="preserve"> (Constitución, art. 135.3)</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t xml:space="preserve"> (Lv 6:4-5)</w:t>
      </w:r>
      <w:r>
        <w:t>.</w:t>
      </w:r>
    </w:p>
    <w:p>
      <w:pPr>
        <w:pStyle w:val="ListBullet"/>
      </w:pPr>
      <w:r>
        <w:rPr>
          <w:i/>
        </w:rPr>
        <w:t>Las tradiciones:</w:t>
      </w:r>
      <w:r>
        <w:t xml:space="preserve"> «Alá os ordena que restituyáis los depósitos a sus propietarios»</w:t>
      </w:r>
      <w:r>
        <w:t xml:space="preserve"> (Corán 4:58, traducción de Julio Cortés)</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t xml:space="preserve"> (Ley General de la Seguridad Social, art. 110.1)</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t xml:space="preserve"> (Ez 18:20)</w:t>
      </w:r>
      <w:r>
        <w:t>; «Los padres no morirán por los hijos, ni los hijos por los padres; cada uno morirá por su pecado»</w:t>
      </w:r>
      <w:r>
        <w:t xml:space="preserve"> (Dt 24:16)</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t xml:space="preserve"> (Pr 11:1)</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t xml:space="preserve"> (Ley 46/1998, art. 3)</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t xml:space="preserve"> (Pr 20:10)</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t xml:space="preserve"> (INE, Encuesta Trimestral de Coste Laboral; índice de precios de consumo, cálculo de la obra)</w:t>
      </w:r>
      <w:r>
        <w:t>. La inflación interanual de agosto de 2026 fue del 4,3 %, la más alta desde febrero de 2023</w:t>
      </w:r>
      <w:r>
        <w:t xml:space="preserve"> (INE, índice general, cálculo de la obra)</w:t>
      </w:r>
      <w:r>
        <w:t>, y la Autoridad Fiscal prevé que en 2026 los salarios reales «disminuyan de manera moderada»</w:t>
      </w:r>
      <w:r>
        <w:t xml:space="preserve"> (AIReF, informe sobre los presupuestos iniciales de 2026, 15-4-2026)</w:t>
      </w:r>
      <w:r>
        <w:t xml:space="preserve"> (</w:t>
      </w:r>
      <w:r>
        <w:t>B.5</w:t>
      </w:r>
      <w:r>
        <w:t>).</w:t>
      </w:r>
    </w:p>
    <w:p>
      <w:r>
        <w:t>En el nivel completo, las demás defensas que la Biblioteca escribió para este cargo, una por una, con su respuesta.</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t xml:space="preserve"> (Ley 39/2015, art. 39.1)</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t>. La liquidación de un impuesto la dicta un órgano técnico con los datos del propio contribuyente. La ley ya obliga a la Administración a actuar con «Buena fe, confianza legítima y lealtad institucional»</w:t>
      </w:r>
      <w:r>
        <w:t xml:space="preserve"> (Ley 40/2015, art. 3.1.e)</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t xml:space="preserve"> (Ley 39/2015, art. 53.2.b)</w:t>
      </w:r>
      <w:r>
        <w:t>, y el Constitucional dijo que la presunción de inocencia «rige sin excepciones en el ordenamiento sancionador», y que la carga de la prueba corresponde «a quien acusa, sin que nadie esté obligado a probar su propia inocencia»</w:t>
      </w:r>
      <w:r>
        <w:t xml:space="preserve"> (STC 76/1990, FJ 8)</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t xml:space="preserve"> (Ley General Tributaria, art. 224.1)</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t xml:space="preserve"> (Dt 19:15)</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t xml:space="preserve"> (Ley 39/2015, art. 77.5)</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t xml:space="preserve"> (Lc 12:2)</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t xml:space="preserve"> (Espinosa, Tratado teológico-político, 1670, cap. XX)</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t xml:space="preserve"> (Ley 19/2013, art. 12)</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t xml:space="preserve"> (Lv 19:32)</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t xml:space="preserve"> (Ex 23:8)</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t xml:space="preserve"> (Constitución, art. 117.1)</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t xml:space="preserve"> (Constitución, art. 124.4)</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t xml:space="preserve"> (GRECO, Cuarta Ronda, segunda adenda al segundo informe de cumplimiento, 2024)</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t xml:space="preserve"> (Tribunal Constitucional, Memoria 2025)</w:t>
      </w:r>
      <w:r>
        <w:t>, fue la falta de «especial trascendencia constitucional» (</w:t>
      </w:r>
      <w:r>
        <w:t>7.2</w:t>
      </w:r>
      <w:r>
        <w:t>, n.º 3): un filtro que no está en la Constitución, sino en la ley que el propio sistema escribió. Y las providencias de inadmisión «especificarán el requisito incumplido»</w:t>
      </w:r>
      <w:r>
        <w:t xml:space="preserve"> (Ley Orgánica del Tribunal Constitucional, art. 50.3)</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 xml:space="preserve"> (Constitución, art. 31.1)</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t xml:space="preserve"> (Ley 20/2007, art. 38 ter)</w:t>
      </w:r>
      <w:r>
        <w:t>; su cuantía la fija cada ley de presupuestos, y los 80 euros al mes solo constan, en la Ley 31/2022, para quienes se dan de alta en Cuenca, Soria y Teruel, durante 36 meses</w:t>
      </w:r>
      <w:r>
        <w:t xml:space="preserve"> (Ley 31/2022)</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t xml:space="preserve"> (Constitución, art. 9.3)</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t xml:space="preserve"> (Ley 39/2015, art. 67.1)</w:t>
      </w:r>
      <w:r>
        <w:t>. Y si la Administración no contesta en seis meses, «podrá entenderse que la resolución es contraria a la indemnización del particular»</w:t>
      </w:r>
      <w:r>
        <w:t xml:space="preserve"> (Ley 39/2015, art. 91.3)</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t xml:space="preserve"> (Ley Orgánica del Poder Judicial, art. 293.1)</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t xml:space="preserve"> (STS 291/2022, de 8-III (recurso 183/2021))</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t xml:space="preserve"> (Constitución, art. 14)</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t xml:space="preserve"> (Convenio de Estambul, art. 48.1)</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Las objeciones vienen de los capítulos 6 a 9; las que decían lo mismo con otras palabras se oyen una sola vez.</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t xml:space="preserve"> (texto refundido de la Ley Concursal, art. 1.3)</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t xml:space="preserve"> (Constitución, art. 50)</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t xml:space="preserve"> (Constitución, art. 9.1)</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t xml:space="preserve"> (Constitución, art. 87.3)</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t xml:space="preserve"> (Constitución, art. 1.1)</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Todo este apartado es la voz del autor, y se lee como lectura del autor: no añade hechos. Los que nombra ya están probados en su capítulo, y se remite a él. Es la consecuencia práctica de todo lo anterior: pedir que quien ya lo sabe, actúe.</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t xml:space="preserve"> (Lc 14:14)</w:t>
      </w:r>
      <w:r>
        <w:t xml:space="preserve"> (</w:t>
      </w:r>
      <w:r>
        <w:t>anexo I</w:t>
      </w:r>
      <w:r>
        <w:t xml:space="preserve">). Y «despiértate, tú que duermes» se dice unas líneas más abajo. Lo que arrojan los datos de la salud y de la familia se mide en </w:t>
      </w:r>
      <w:r>
        <w:t>8.10</w:t>
      </w:r>
      <w:r>
        <w:t>.</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t xml:space="preserve"> (Platón, República VII, 515c, traducción inglesa de Jowett)</w:t>
      </w:r>
      <w:r>
        <w:t>. Lo que esta obra expone puede doler. No es un ataque: es la luz.</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t xml:space="preserve"> (Ef 5:14)</w:t>
      </w:r>
      <w:r>
        <w:t>.</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t xml:space="preserve"> (Ex 3:7)</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t xml:space="preserve"> (Stg 5:4)</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t xml:space="preserve"> (nota de la Asociación de Directoras y Gerentes de Servicios Sociales, 10-4-2026, con datos del Ministerio)</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t xml:space="preserve"> (Mt 13:9)</w:t>
      </w:r>
      <w:r>
        <w:t>.</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r>
        <w:br w:type="page"/>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t xml:space="preserve"> (Art. 1.2 CE; STC 31/2015 (BOE-A-2015-2832); STC 114/2017 (BOE-A-2017-12206); STC 51/2017, de 10-V, rec. 8912-2010)</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t xml:space="preserve"> (BOE-A-2017-12328 (Orden PRA/1034/2017, apartado E.9); BOE-A-2017-12327 (acuerdo del Senado, 27-X-2017); RD 946/2017 (BOE-A-2017-12330); RD 954/2017 (BOE-A-2017-12560); STC 89/2019 (BOE-A-2019-11901, fallo leído); STC 90/2019 (BOE-A-2019-11902, fallo leído); votación del Senado: Diario de Sesiones del Senado, XII Legislatura, Pleno núm. 24 (BOCG/DS núm. 45), 27-X-2017, leído en el original; cifras de cargos y de afectación económica: Acuerdo del Gobierno de la Generalitat de 13-XI-2018)</w:t>
      </w:r>
    </w:p>
    <w:p>
      <w:r>
        <w:t>Los decretos de cese y de disolución, los fallos de las SSTC 89/2019 y 90/2019 y las cifras de la Generalitat (parte interesada) están en el nivel completo.</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t xml:space="preserve"> (LO 3/2020 (BOE-A-2020-17264); rec. 1828-2021 ante el TC; STSJ Cataluña, Secc. 5ª, 16-XII-2020 (rec. 168/2015); SSTS 23 y 28-IV-2015; TSJ de Cataluña, autos de 4-V-2022 y 28-VII-2022 (ATSJ CAT 421/2022); cuestión de inconstitucionalidad 6052-2022 (BOE-A-2022-18184))</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t xml:space="preserve"> (Juzgado de lo Contencioso-Administrativo nº 2 de Bilbao; Ley 39/1981)</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t xml:space="preserve"> (Búsqueda sin hallazgos de conflicto)</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t xml:space="preserve"> (Art. 6 CE; GRECO, Tercera Ronda de Evaluación (2009), Tema II; informe de cumplimiento (2011) y segunda adenda al segundo informe de cumplimiento (2016), párrs. 29, 63 y 65; LO 3/2015)</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t xml:space="preserve"> (Ministerio de Defensa; OTAN, informes sobre el gasto en defensa (2024, 2025 y 2026), Tabla 3)</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t>(Miguel Hernández Serna, El Derecho (Tribuna), 25-III-2019; fuente secundaria)</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t xml:space="preserve"> (STC 45/2018, de 26-IV; STC 51/2018, de 10-V; STC 104/2016; STC 4/2016; STC 173/1996)</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t xml:space="preserve"> (ABC, 20-VIII-2025 (entrevista a la familia), e Idealista News, 12-IX-2025, fuente secundaria: prensa (no se encontró corroboración municipal ni judicial); art. 10.1 CE)</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t xml:space="preserve"> (Art. 11 CE; art. 24 del Código Civil)</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t xml:space="preserve"> (Art. 12 CE; Código Civil; Ley 25/2010)</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t xml:space="preserve"> (Defensor del Pueblo, Informe anual 2025, apartado 4.8, págs. 176 y 177; Defensor del Pueblo, resolución de 7-IV-2026 (queja 26008033))</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t xml:space="preserve"> (INE 2024; STC 79/2020, de 2-VII, rec. 500-2019 (BOE-A-2020-8960, fallo leído en el original); STC 108/2019; STC 76/1990; STC 145/1991)</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t xml:space="preserve"> (TEDH, demanda 3344/13; caso del director de Egunkaria)</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t xml:space="preserve"> (Agencia Tributaria, datos IRPF 2024; Ley 42/2006; Acuerdo España-Santa Sede (1979))</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t xml:space="preserve"> (STC 73/2021, de 18-III; STC 49/2022; STC 103/2022; STC 85/2024; STC 21/2026, de 10-III)</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t xml:space="preserve"> (Citizen Lab, informe de 18-IV-2022; comparecencia de la directora del CNI ante el Congreso; Audiencia Nacional, auto de sobreseimiento provisional de 22-I-2026 (caso distinto: espionaje al Gobierno español, no CatalanGate))</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t xml:space="preserve"> (STC 148/2021, de 14-VII (BOE-A-2021-13032); STC 183/2021, de 27-X)</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t xml:space="preserve"> (TEDH, sentencia de 13-III-2018)</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t xml:space="preserve"> (Art. 21 CE; arts. 36.2, 36.23, 37.1 y 39.1, LO 4/2015; STC 172/2020, de 19-XI-2020, rec. 2896-2015)</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t xml:space="preserve"> (Vírgala, REDCE n.º 13, que la atribuye a los §§ 84 a 86 de la sentencia; HUDOC no accesible; fuente secundaria)</w:t>
      </w:r>
      <w:r>
        <w:t>.</w:t>
      </w:r>
      <w:r>
        <w:t xml:space="preserve"> (STS, Sala Especial, 27-III-2003; SSTC 5 y 6/2004, de 16-I; TEDH, 30-VI-2009)</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t xml:space="preserve"> (LO 12/2022, de 30-IX (BOE-A-2022-16018))</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t xml:space="preserve"> (TEDH, Lizaso Azconobieta c. España, 28-VI-2011 (art. 6.2 CEDH; leída en francés, la lengua de la sentencia); STC 245/1991, de 16-XII)</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t xml:space="preserve"> (STC 169/2021, de 6-X, rec. 3866-2015; Kafkaris c. Chipre, TEDH (2008))</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t xml:space="preserve"> (LO 9/1960; Ley 9/1988; LO 5/2005, art. 21.2; STC 219/1989, de 11-XII)</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t xml:space="preserve"> (STC 2/2022, de 24-I; SSTC de 23-X-2013 y 25-VI-2015; SSTC 26/1981 y 53/1986)</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t xml:space="preserve"> (LO 4/2001, de 12-XI (BOE-A-2001-21090), Exposición de Motivos y art. 3)</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t xml:space="preserve"> (RD 247/2001, de 9-III (BOE-A-2001-4711); RD 342/2001, de 4-IV; Real Decreto 170/2026, de 4 de marzo, apartado sexto)</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t xml:space="preserve"> (STC 73/2017, de 8-VI; STC 182/2021, de 26-X; STC 150/1990; STC 233/1999; STC 126/2019)</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t xml:space="preserve"> (STC 198/2012, de 6-XI, rec. 6864-2005 (BOE-A-2012-14602))</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t xml:space="preserve"> (TEDH, sentencias de 13-XII-2018 (Italia) y 3-XII-2020 (Grecia); art. 1, Protocolo 1 CEDH)</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t xml:space="preserve"> (Tribunal de Cuentas, informe de 26-IV-2026)</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t xml:space="preserve"> (INE, Encuesta Anual de Estructura Salarial 2024 (nota de prensa); Eurostat 2024)</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t xml:space="preserve"> (CNMC, resoluciones sancionadoras y nota de prensa de 12-3-2018; CNC, informe de 18-IV-2012 sobre colegios profesionales; CNMC, nota de prensa de 5-I-2016 e informe IPN 110/13)</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t xml:space="preserve"> (RDL 32/2021, de 28-XII (BOE-A-2021-21788), arts. 84.2, 86.3 y 86.4 del Estatuto de los Trabajadores)</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t xml:space="preserve"> (Banco Mundial, Doing Business 2020; WEF, Informe de Competitividad Mundial 2019; Banco de España)</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t xml:space="preserve"> (UNICEF España, noticia de 17-X-2024)</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t xml:space="preserve"> (Ministerio de Trabajo y Economía Social, Análisis de las estadísticas de accidentes de trabajo, 2024)</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t xml:space="preserve"> (SEPE / Ministerio de Trabajo y Economía Social, notas de prensa sobre paro registrado y prestaciones (enero de 2026); RDL 2/2024)</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t xml:space="preserve"> (Defensor del Pueblo, informes de 2014, 2015 y 2017)</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t xml:space="preserve"> (Ministerio de Sanidad, listas de espera, diciembre de 2025; Ministerio de Sanidad, SISLE-SNS, datos por comunidades a 31-XII-2025)</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t xml:space="preserve"> (INE 2024; Fundación Cotec; Eurostat, rd_e_gerdtot)</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t xml:space="preserve"> (TJUE (Sala Octava), sentencia de 25-VII-2018, asunto C-205/17, fallo, extracto leído en EUR-Lex (CELEX 62017CJ0205); Ministerio para la Transición Ecológica, nota de prensa de 26-IX-2022, leída en el original; Comisión Europea, comunicado IP/26/838, abril de 2026, y nota de su Representación en España del 29-IV-2026)</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t xml:space="preserve"> (CGPJ, Estadística de Efectos de la Crisis Económica, 2025; STC 152/1988; STC 32/2019; STC 79/2024; STC 17/2026)</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t xml:space="preserve"> (Consejo de la Juventud de España, Observatorio de Emancipación, informe de 2025 (publicado mayo de 2026))</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t xml:space="preserve"> (La Moncloa, nota de 18-1-2024)</w:t>
      </w:r>
      <w:r>
        <w:t xml:space="preserve">, y actualizó su redacción sobre los derechos de las personas con discapacidad (el dato, en </w:t>
      </w:r>
      <w:r>
        <w:t>7.2</w:t>
      </w:r>
      <w:r>
        <w:t>, n.º 14).</w:t>
      </w:r>
      <w:r>
        <w:t xml:space="preserve"> (BOE-A-2024-3099 (reforma del art. 49 CE); La Moncloa, nota sobre la reforma de 2024)</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t xml:space="preserve"> (RDL 28/2012; STC 95/2015, de 14-V; STC 49/2015)</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t xml:space="preserve"> (STS 241/2013, de 9-V-2013, Sala de lo Civil, Rec. 485/2012 (ECLI:ES:TS:2013:1916); TJUE, sentencia de 21-XII-2016 (asuntos C-154/15, C-307/15, C-308/15); estimación de las entidades al cierre de 2016)</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t xml:space="preserve"> (Ley 12/2014, de 9-VII; STC 132/1989, de 18-VII)</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t xml:space="preserve"> (STC 152/1988, de 20-VII; STC 32/2019; STC 79/2024; STC 17/2026, de 24-II)</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t xml:space="preserve"> (Art. 30.1 y 30.2, LO 3/1981, del Defensor del Pueblo)</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t xml:space="preserve"> (STC 148/2021, de 14-VII (BOE-A-2021-13032); STC 183/2021, de 27-X)</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t xml:space="preserve"> (Revista de Derecho Político, UNED (2023); STC 98/2019, de 17-VII, FJ 3.c)</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t xml:space="preserve"> (LO 3/2014, de 18-VI (BOE núm. 148, de 19-VI-2014); reserva de España de 16-XII-1983 a la Convención sobre la mujer (BOE núm. 69, de 21-III-1984))</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t xml:space="preserve"> (casareal.es, agenda y biografía de la Reina)</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t xml:space="preserve"> (Art. 59 CE; ausencia de ley de desarrollo)</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t xml:space="preserve"> (Art. 60 CE; ausencia de ley de desarrollo)</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t xml:space="preserve"> (LO 3/2014 (BOE núm. 148, de 19-VI-2014); Cortes Generales, Diario de Sesiones, sesión solemne de 19-VI-2014)</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t xml:space="preserve"> (STS Pleno, 20-XI-2013, rec. 13/2013; STS 1.008/2025, de 16-VII-2025; Fundación CIVIO)</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t xml:space="preserve"> (LO 5/2005, de Defensa Nacional; doctrina jurídica especializada)</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t xml:space="preserve"> (Constitución, art. 64.1; BOE-A-2019-13558)</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t xml:space="preserve"> (Tribunal de Cuentas, informe de 2026)</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t xml:space="preserve"> (REMCO, informe sobre el coste de las jefaturas del Estado (marzo de 2026); fuente secundaria)</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t xml:space="preserve"> (BOE, «Referencias posteriores» de cada decreto-ley)</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t xml:space="preserve"> (ATC 147/1982, de 22-IV; sinopsis oficial del Congreso de los Diputados)</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t xml:space="preserve"> (Pacto Antitransfuguismo (1998, III Adenda 2020); doctrina del Tribunal Constitucional sobre el mandato representativo (STC 10/1983 y jurisprudencia posterior) -no se ha podido confirmar una STS de 27-X-2020 relacionada con este caso concreto; existe una sentencia de esa misma fecha, pero sobre concejales tránsfugas municipales, un asunto distinto-)</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t xml:space="preserve"> (Ministerio del Interior, resultados oficiales de las elecciones generales de julio de 2023; cálculo de la obra)</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t xml:space="preserve"> (Art. 69.2 CE; datos poblacionales del INE (aproximación razonada))</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t xml:space="preserve"> (Acuerdo JEC de 3-I-2020; STS 459/2019; STC 31/2024 (BOE-A-2024-6673); STC 45/2024 (BOE-A-2024-8188); TJUE C-502/19; STS 572/2021, de 28-IV-2021 (recurso del Parlament de Catalunya contra el Acuerdo de la JEC de 3-I-2020); STS 132/2023, de 2-II-2023 (rec. 95/2022, Presidenta de la Comunidad de Madrid contra el Acuerdo 390/2021 de la JEC); STS 444/2023, de 30-III-2023 (rec. 66/2022, pérdida de credencial de un diputado del Parlament por inelegibilidad sobrevenida))</w:t>
      </w:r>
    </w:p>
    <w:p>
      <w:r>
        <w:t>Cada caso con su fecha y su recurso está en el nivel completo.</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t xml:space="preserve"> (Congreso, sinopsis oficial del art. 71 CE)</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t xml:space="preserve"> (HayDerecho, 2024; fuente secundaria)</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t xml:space="preserve"> (HayDerecho, 2024, que da el título y la lista de comunidades)</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t xml:space="preserve"> (Real Decreto 977/2015, de 26 de octubre (disolución de las Cortes); Real Decreto 1167/2015 (cese del Gobierno))</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t xml:space="preserve"> (Sinopsis oficial del Congreso; art. 166 del Reglamento del Congreso; arts. 137-140 del Reglamento del Senado)</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t xml:space="preserve"> (Congreso, sinopsis oficial del art. 75 CE)</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t xml:space="preserve"> (Art. 502.1 CP; art. 399.1 LOPJ; archivo del TS de julio de 2016)</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t xml:space="preserve"> (Political Watch, estudio y blog de 3-II-2026; fuente secundaria)</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t xml:space="preserve"> (Political Watch, «El derecho de petición en el contexto digital» (M. Á. Gonzalo y B. Agüero), 3-II-2026, con financiación de Red.es)</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t xml:space="preserve"> (Real Decreto 400/2023, de 29 de mayo, art. 5; art. 78.2 CE)</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t xml:space="preserve"> (voto telemático del 3-II-2022; RDL 32/2021)</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t xml:space="preserve"> (Congreso, sinopsis oficial del art. 80 CE)</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t xml:space="preserve"> (STC 108/1986; STC 128/2023; STC 94/2023; STC 139/2024)</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t xml:space="preserve"> (STS de 9-II-2000 (Sala Tercera, recurso 486/1996; BOE-A-2000-5906, publicación de la sentencia); STC 166/2007, de 4-VII (BOE-T-2007-14794))</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t xml:space="preserve"> (Congreso, sinopsis oficial del art. 83 CE)</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t xml:space="preserve"> (Comentario oficial al art. 84 CE, Portal de la Constitución (Congreso de los Diputados); Reglamento del Senado, art. 128)</w:t>
      </w:r>
    </w:p>
    <w:p>
      <w:r>
        <w:t>El procedimiento del Reglamento del Senado (art. 128) está en el nivel completo.</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t xml:space="preserve"> (BOE, base de datos abiertos (título y fecha de cada texto))</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t xml:space="preserve"> (recuento de la obra sobre los datos abiertos del BOE 2012-2026; RDL 7/2025; RDL 8/2026; STC 111/1983)</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t xml:space="preserve"> (STC 111/1983; STC 182/1997 (fallo: nulidad del art. 2 RDL 5/1992); STC 73/2017 (nulidad de la amnistía fiscal, RDL 12/2012); STC 9/2023 y STC 17/2023)</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t xml:space="preserve"> (STC 61/2018, de 7-VI; STC 14/2020, de 28-I (BOE-A-2020-2941); cifras de decretos-leyes y leyes de la legislatura: Artículo14, 15-VIII-2026)</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t xml:space="preserve"> (BOE-A-2023-18907, resultados de las elecciones del 23-VII-2023 (censo de 37.469.458 electores))</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t xml:space="preserve"> (RD 931/2017, de 27-X)</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t xml:space="preserve"> (Comentario oficial al art. 89 CE, Portal de la Constitución (Congreso de los Diputados); art. 89.2 CE; Reglamentos del Congreso (art. 125) y del Senado (art. 108.5))</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t xml:space="preserve"> (Ley de Amnistía (2024); Diario de Sesiones del Senado, 14-X-2024; BOCG n.º 165; Mesa del Congreso, 15-X-2024; conflicto n.º 9110-2024)</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t xml:space="preserve"> (Congreso, sinopsis oficial del art. 91 CE)</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t xml:space="preserve"> (Resultados oficiales de los referéndums de 1986 y 2005)</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t xml:space="preserve"> (DTC 1/2004, de 13-XII; STC 26/2014 (caso Melloni))</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t xml:space="preserve"> (Oficina del Parlamento Europeo en España, 14-VIII-2025)</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t xml:space="preserve"> (DTC 1/1992, de 1-VII; DTC 1/2004, de 13-XII; Declaración 1/2025, de 16-XII-2025 (BOE-A-2026-1759); declaración del Pleno de 23-IX-2026 sobre el Tratado de Amistad y Cooperación con Francia)</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t xml:space="preserve"> (Art. 96.1 CE, segundo inciso (texto consolidado, boe.es); no se ha localizado ningún caso de contravención pese a la búsqueda)</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t xml:space="preserve"> (STSJ Madrid 185/2024, de 11-IV (el TS inadmitió el recurso de casación del Ayuntamiento por auto de 12-III-2025, quedando firme la nulidad); STS 1264/2024, de 15-VII (BOE-A-2024-18114); STS 527/2026, de 29-IV (rec. 671/2024, BOE-A-2026-11850); STS 868/2026, de 8-VII-2026, sobre el RD 1155/2024 (BOE-A-2026-19632). Otra sentencia posterior de la Sala Tercera, de 29-VII-2026 (recurso 21/2025, Cáritas Española y CEAR; BOE-A-2026-19633), mantuvo la nulidad del art. 197.2 y desestimó el resto de impugnaciones)</w:t>
      </w:r>
    </w:p>
    <w:p>
      <w:r>
        <w:t>Las sentencias con su fecha, su número y su recurso están en el nivel completo.</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t xml:space="preserve"> (Comisión Europea, Informe sobre el Estado de Derecho 2026)</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t xml:space="preserve"> (Congreso, sinopsis oficial del art. 99 CE)</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t xml:space="preserve"> (BOE, RD 184/2016 y RD 551/2019; LO 2/2016, de 31-X (BOE de 1-XI-2016))</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t xml:space="preserve"> (BOE, cese del ministro de Sanidad, 27-I-2021)</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t>(reseña de doctrina sobre la STS de 2-XII-2005; fuente secundaria)</w:t>
      </w:r>
      <w:r>
        <w:t>.</w:t>
      </w:r>
      <w:r>
        <w:t xml:space="preserve"> (STC 124/2018, de 14-XI; STS de 20-IX-2005 y STS de 2-XII-2005)</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t xml:space="preserve"> (STS 2/1998, de 29-VII-1998 (Sala Segunda, causa especial 2530/1995); STC 68/2001, de 17-III-2001 (recurso de amparo 3860/98, Pleno, BOE-T-2001-6813); TEDH, demanda 74181/01, sentencia de 6-I-2010)</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t xml:space="preserve"> (Ley 20/2021; STJUE de 14-IV-2026, asunto C-418/24 («asunto Obadal»))</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t xml:space="preserve"> (TEDH, demanda nº 41462/17, sentencia de 6-X-2020; sentencia condenatoria del TS a un mando de la Ertzaintza (número de sentencia no localizado))</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t xml:space="preserve"> (CTBG, Memoria 2025 (BOE de 31-VIII-2026))</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t xml:space="preserve"> (un magistrado del Tribunal Supremo, con datos del Ministerio de Justicia; fuente secundaria)</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t xml:space="preserve"> (STS de 18-VI-2026; Ministerio de Justicia, datos 2000-2019)</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t xml:space="preserve"> (Consejo de Estado, Memorias de 2023 y de 2024)</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t xml:space="preserve"> (Sinopsis oficial del Congreso de los Diputados sobre el art. 108 CE)</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t xml:space="preserve"> (CGPJ, nota de prensa sobre STS ECLI:ES:TS:2022:399 (Sala 3ª); Secretaría General del Congreso, nota sobre el deber de facilitar documentación al Congreso conforme al artículo 7.º del Reglamento de la Cámara, Revista de las Cortes Generales, núm. 5 (1985), pp. 231-240)</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t xml:space="preserve"> (Congreso, sinopsis oficial del art. 111 CE)</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t xml:space="preserve"> (Maldita.es y Qué hacen los diputados, 28-IV-2023; fuente secundaria)</w:t>
      </w:r>
      <w:r>
        <w:t xml:space="preserve"> A 23-IV-2026 había 726 preguntas sin responder pasados los 40 días, de más de 40.000 registradas en la legislatura en curso.</w:t>
      </w:r>
      <w:r>
        <w:t xml:space="preserve"> (Newtral, 6-V-2026; fuente secundaria)</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t xml:space="preserve"> (Congreso, ficha de la pregunta 184/029356, XIV Legislatura, consultada el 8-oct-2026)</w:t>
      </w:r>
      <w:r>
        <w:t>, pero entre sus datos abiertos de iniciativas, que son cuatro conjuntos (iniciativas legislativas aprobadas, proyectos de ley, propuestas de reforma de estatuto de autonomía y proposiciones de ley), no figuran las preguntas escritas</w:t>
      </w:r>
      <w:r>
        <w:t xml:space="preserve"> (Congreso, datos abiertos de iniciativas, consultados el 8-oct-2026)</w:t>
      </w:r>
      <w:r>
        <w:t>. Las cifras de plazos que se han podido leer son de terceros.</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t xml:space="preserve"> (Congreso, sinopsis oficial del art. 112 CE)</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t xml:space="preserve"> (Datos históricos completos de las seis mociones de censura (Statista))</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t xml:space="preserve"> (Congreso, sinopsis oficial de los arts. 101 y 113 CE)</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t xml:space="preserve"> (Blog oficial del Congreso de los Diputados; Revista de Derecho Político (UNED); Congreso, sinopsis oficial del art. 115 CE)</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t xml:space="preserve"> (STC 148/2021, de 14-VII; STC 183/2021, de 27-X)</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t xml:space="preserve"> (CGPJ, «La Justicia dato a dato 2025»; CGPJ, «Datos de Justicia» n.º 40, nota de 14-VII-2015; STSJ de Andalucía de 1-II-2002, rollo 29/2001 (fallo transcrito en la STS 279/2003, leída en el original); STS 279/2003, de 12-III (Sala Segunda, casación 459/2002, leída en el original))</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t xml:space="preserve"> (Comisión Europea, Informe sobre el Estado de Derecho 2026, documento de trabajo SWD(2026) 909, de 17-VII-2026, capítulo de España, apartado «Recomendaciones» (leído en el original))</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t xml:space="preserve"> (STS 162/2022, de 9-II (Sala de lo Contencioso, recurso 7128/2020, fundamento 5.º))</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t xml:space="preserve"> (Asociación de Letrados por un Turno de Oficio Digno (ALTODO); Orden de Canarias de 25-VIII-2025)</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t xml:space="preserve"> (CGPJ, informe de 2025; TEDH, sentencia de 25-XI-2003)</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t xml:space="preserve"> (STS 1484/2019, de 6-V; art. 293 LOPJ)</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t xml:space="preserve"> (Comisión Europea, informes 2022, 2023 y 2024 sobre el Estado de Derecho)</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t xml:space="preserve"> (LO 1/2025 (jurisdicciones social y penal), preámbulo; RDL 5/2023, de 28-VI (art. 477 LEC, jurisdicción civil))</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t xml:space="preserve"> (STS 1000/2025, Sala Segunda, Causa Especial 3/20557/2024, de 9-XII-2025 (firme 26-II-2026))</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t xml:space="preserve"> (STS 1045/2007, de 17-XII; STS 54/2008, de 8-IV; STC 205/2013, de 5-XII (avaló la doctrina Atutxa))</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t xml:space="preserve"> (Jueces para la Democracia (1991); RD 769/1987, de 19-VI)</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t xml:space="preserve"> (Búsqueda sin hallazgos de sanciones por esta causa)</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t xml:space="preserve"> (FROB, cronología de la intervención de BFA-Bankia (2012-2025))</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t xml:space="preserve"> (CEPES, nota de prensa (VII-2024); Comisión Internacional de Personas Expertas sobre la Democracia en el Trabajo (Ministerio de Trabajo y Economía Social), «Dos promesas a quienes trabajan: voz y propiedad», presentada el 2-II-2026)</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t xml:space="preserve"> (Banco de España, «La distribución espacial de la población en España y sus implicaciones económicas» (Informe Anual 2020, publ. 2021); Fundación «la Caixa» (Observatorio Social), «Más allá de la «España vaciada»: cambio climático, despoblación y globalización en las zonas rurales» (UAB))</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t xml:space="preserve"> (Sinopsis oficial del Congreso; STC 76/1983; RDL 36/2020)</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t xml:space="preserve"> (resumen doctrinal sobre la Ley de Costas; fuente secundaria)</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t xml:space="preserve"> (Ley 22/1988, de Costas; STC 149/1991, de 4-VII (BOE-T-1991-19353; fallo leído en el original))</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t xml:space="preserve"> (AEDAF, «50 años de evolución impositiva: avanzando juntos, superando barreras» (2019, aedaf.es/es/documentos/descarga/44858); STC 149/2023, de 7-XI (rec. 616-2023; HJ 29821))</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t xml:space="preserve"> (Instituto de Estudios Económicos (IEE); IGAE, ejecución presupuestaria 2025; BOE, leyes de presupuestos (base de datos abiertos))</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t xml:space="preserve"> (Banco de España, deuda de las Administraciones Públicas, mayo de 2026 (nota de 17-VII-2026); Eurostat, gov_10a_exp y gov_10dd_edpt1, 2024)</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t xml:space="preserve"> (BOE núm. 5, 6-I-2023, BOE-A-2023-440)</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t xml:space="preserve"> (Tribunal de Cuentas, Informe de la Revisión entre Pares, junio de 2015, págs. 10, 11 y 29)</w:t>
      </w:r>
      <w:r>
        <w:t xml:space="preserve"> Un análisis jurídico de 2024 añade que el informe anual del Tribunal no tiene el contenido que prevé la ley.</w:t>
      </w:r>
      <w:r>
        <w:t xml:space="preserve"> (HayDerecho, 15-I-2024; fuente secundaria)</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Las transferencias suman el 35,8 % de los ingresos de los gobiernos locales, y las del Estado, el 20,25 %.</w:t>
      </w:r>
      <w:r>
        <w:t xml:space="preserve"> (Congreso de Autoridades Locales y Regionales del Consejo de Europa, informe CG(2021)41-07 que acompaña a la Recomendación 465 (2021), §§ 78, 215, 225 y 294)</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t xml:space="preserve"> (Comisión Bilateral Generalitat-Estado, acuerdo de 14-VII-2025; Gestha)</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t xml:space="preserve"> (Gaceta Sanitaria (2016); Defensor del Pueblo; Ministerio de Sanidad, SISLE-SNS (31-XII-2025))</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t xml:space="preserve"> (STC 79/2017, de 22-VI; STC 111/2017, de 5-X)</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t xml:space="preserve"> (Ley 27/2013 (BOE-A-2013-13756); STC 41/2016 (BOE-A-2016-3407, fallo leído en el original); STC 111/2016, de 9-VI (rec. 1959-2014; título leído, fallo sin leer))</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t xml:space="preserve"> (REALA n.º 23, INAP, 2025; fuente secundaria)</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t xml:space="preserve"> (Martín-Retortillo Baquer (1991); STC 31/2010, de 28-VI)</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t xml:space="preserve"> (Instituto Nacional de Administración Pública (INAP); FEMP)</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t xml:space="preserve"> (Sinopsis oficial del Congreso sobre los arts. 143 y 148 CE)</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t xml:space="preserve"> (la consejera de Presidencia y Administración Pública de Melilla, declaraciones en sesión de control al Gobierno de Melilla, enero de 2025 (recogidas por ceutatv.com, 3-II-2025); LO 1/1995 (BOE-A-1995-6358) y LO 2/1995 (BOE-A-1995-6359); fecha de los Acuerdos Autonómicos: Hernández Lafuente (2023), fuente secundaria)</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t xml:space="preserve"> (STC 44/1986, de 17-IV; análisis académico sobre convenios interautonómicos)</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t xml:space="preserve"> (LO 12/1980, de 16-XII; análisis jurídico sobre el «caso Almería»; LO 2/2007 (preámbulo) y LO 6/1981)</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t xml:space="preserve"> (STC 31/2010, de 28-VI (BOE-A-2010-11409))</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t xml:space="preserve"> (Hooghe, Marks, Schakel, Chapman Osterkatz, Niedzwiecki y Shair-Rosenfield, libro de 2016 (Oxford University Press), según la reseña de decentralization.net; libro de códigos de 2021; fuente secundaria)</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t xml:space="preserve"> (STC 79/2024 (BOE-A-2024-12808); STC 44/2026 (BOE-A-2026-14760); STC 17/2026 (BOE-A-2026-7119); STC 26/2025, de 29-I-2025 (BOE-A-2025-4079, recurso 5514-2023, más de cincuenta diputados del Grupo Popular contra la Ley 12/2023 de vivienda) y STC 190/2025, de 16-XII-2025 (BOE-A-2026-1756, recurso 5516-2023, Consejo de Gobierno de las Illes Balears contra la misma ley) -ambas sobre la Ley estatal 12/2023, no sobre una ley autonómica catalana-)</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t xml:space="preserve"> (STC 118/1996 (BOE-T-1996-17381); STC 61/1997 (BOE-T-1997-8872); STC 147/1991, de 4-VII-1991 (BOE-T-1991-19351, Pleno, conflictos positivos de competencia acumulados 384/1985, 407/1985 y 340/1989))</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t xml:space="preserve"> (Sinopsis oficial del Congreso sobre las vías de acceso a la autonomía)</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t xml:space="preserve"> (CGPJ, La Justicia dato a dato 2025)</w:t>
      </w:r>
      <w:r>
        <w:t>.</w:t>
      </w:r>
      <w:r>
        <w:t xml:space="preserve"> (CGPJ, La Justicia dato a dato 2025, datos por Tribunal Superior de Justicia)</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t xml:space="preserve"> (Memoria del Tribunal Constitucional, 2018 (tribunalconstitucional.es); cifra citada por Noticias Jurídicas, TheObjective y El Derecho)</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t xml:space="preserve"> (Julio Ponce, «Los delegados del Gobierno en España (1997-2018)», Historia y Política n.º 44 (2020))</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t xml:space="preserve"> (J. M. Lafuente Balle, Revista de Derecho Político (UNED), n.º 102 (2018))</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t xml:space="preserve"> (Estudios sobre corresponsabilidad fiscal autonómica; Ley 22/2009)</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t xml:space="preserve"> (AEDAF, «50 años de evolución impositiva»)</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t xml:space="preserve"> (Comité de Inversiones Públicas del Ministerio de Hacienda; Ley 29/1990)</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t xml:space="preserve"> (Constitución, art. 159.1)</w:t>
      </w:r>
      <w:r>
        <w:t>. Tres de ellos fueron nombrados por los Reales Decretos 260, 262 y 263/2017, de 10 de marzo de 2017, y el cargo dura nueve años</w:t>
      </w:r>
      <w:r>
        <w:t xml:space="preserve"> (Constitución, art. 159.3; Ley Orgánica 2/1979, art. 16.3)</w:t>
      </w:r>
      <w:r>
        <w:t>: el suyo se cumplió el 10 de marzo de 2026. El cuarto fue nombrado por el Real Decreto 757/2024, de 29 de julio, para cubrir una vacante, y la ley lo nombra «por el tiempo que a éste restase»</w:t>
      </w:r>
      <w:r>
        <w:t xml:space="preserve"> (Ley Orgánica 2/1979, art. 16.5; BOE, Real Decreto 757/2024 (BOE-A-2024-15661))</w:t>
      </w:r>
      <w:r>
        <w:t>; el decreto no dice qué vacante cubre. A 21 de septiembre de 2026, los cuatro seguían en la lista de magistrados del Tribunal, porque la ley les deja continuar «hasta que hayan tomado posesión quienes hubieren de sucederles»</w:t>
      </w:r>
      <w:r>
        <w:t xml:space="preserve"> (Ley Orgánica 2/1979, art. 17.2; Tribunal Constitucional, fichas de los magistrados, leídas el 7-X-2026 con la información a 21-IX-2026)</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t xml:space="preserve"> (Tribunal Constitucional, Auto 177/2022, de 19-XII-2022, amparo 8263-2022 (BOE núm. 17, de 20-I-2023, BOE-A-2023-1773))</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t xml:space="preserve"> (Congreso, sinopsis oficial del art. 161 CE)</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t xml:space="preserve"> (Memoria del Tribunal Constitucional, 2020; STC 42/1985, de 15-III; STC 150/1990, de 4-X; ATC 155/2022 (HJ 29152; cita leída en el original, las dos sentencias solo a través de él). El ATC 874/1985, citado antes en la obra, trata de otra cuestión (retirada de la firma de un diputado) y se retira como fuente)</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t xml:space="preserve"> (Memoria del Tribunal Constitucional, 2024)</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t xml:space="preserve"> (AATC 141/2016, 170/2016, 24/2017 (BOE-A-2017-3258) y 123/2017 (BOE-A-2017-10826); STC 185/2016 (BOE-A-2016-11818); STC 215/2016 (BOE-A-2017-650))</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t xml:space="preserve"> (LO 4/2021; LO 8/2022; STC 128/2023; STC 139/2024; voto particular en la STC 153/2024)</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t xml:space="preserve"> (Registro del Congreso de los Diputados; Revista de Derecho Político (UNED), n.º 121 (2024))</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t xml:space="preserve"> (Congreso, sinopsis oficial del art. 167 CE; BOE-A-1992-20403; BOE-A-2011-15210; BOE-A-2024-3099; BOE-A-2026-10881 (reforma del art. 69.3 CE, de 19 de mayo de 2026))</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t xml:space="preserve"> (Congreso, sinopsis oficial de los arts. 167 y 168 CE)</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t xml:space="preserve"> (Congreso, sinopsis oficial de los arts. 167 y 169 CE)</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r>
        <w:br w:type="page"/>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INE, Encuesta de Población Activa</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Agencia Tributaria, Modelo 190</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w:t>
      </w:r>
    </w:p>
    <w:p>
      <w:r>
        <w:t>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w:t>
      </w:r>
    </w:p>
    <w:p>
      <w:r>
        <w:t>Los altos cargos que no son funcionarios cotizan en el Régimen General</w:t>
      </w:r>
      <w:r>
        <w:t xml:space="preserve"> (Ley General de la Seguridad Social, art. 136.2.ñ)</w:t>
      </w:r>
      <w:r>
        <w:t>; cuántos son y qué cobran está en C.1.</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p>
    <w:p>
      <w:pPr>
        <w:pStyle w:val="ListBullet"/>
      </w:pPr>
      <w:r>
        <w:rPr>
          <w:i/>
        </w:rPr>
        <w:t>Autónomo con sociedad.</w:t>
      </w:r>
      <w:r>
        <w:t xml:space="preserve"> La capa 4 es el Impuesto de Sociedades real de la sociedad, no una hipótesis; por eso no es comparable capa a capa con los demás perfiles. </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t xml:space="preserve"> (Ley General de la Seguridad Social, art. 264.1; lectura de la obra del texto)</w:t>
      </w:r>
      <w:r>
        <w:t>. La Orden PJC/297/2026 es coherente con ello: los reservistas voluntarios cotizan por desempleo «salvo cuando sean funcionarios de carrera»</w:t>
      </w:r>
      <w:r>
        <w:t xml:space="preserve"> (Orden PJC/297/2026, art. 33.2.a), 10.º)</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El cuadro mide lo que el funcionario y su empleador aportan, no lo que costará pagar su pensión ni si lo aportado alcanza.</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t xml:space="preserve"> (Instituto Juan de Mariana, Impuestómetro 2026, Anexo 1)</w:t>
      </w:r>
      <w:r>
        <w:t>.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w:t>
      </w:r>
    </w:p>
    <w:p>
      <w:r>
        <w:rPr>
          <w:b/>
        </w:rPr>
        <w:t>El IVA de la vida cotidiana.</w:t>
      </w:r>
      <w:r>
        <w:t xml:space="preserve"> No está solo el de la luz y el agua: es la parte principal de la capa del IVA. La recaudación de IVA sobre el consumo de los hogares fue de 61.289 millones de euros en 2022</w:t>
      </w:r>
      <w:r>
        <w:t xml:space="preserve"> (Fedea)</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t xml:space="preserve"> (Ley 37/1992, del IVA)</w:t>
      </w:r>
      <w:r>
        <w:t>.</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t xml:space="preserve"> (Eurostat, cuentas nacionales)</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t xml:space="preserve"> (Instituto Juan de Mariana, Impuestómetro 2026, con datos del Institut économique Molinari)</w:t>
      </w:r>
      <w:r>
        <w:t>, y supone, por decisión de la obra, que gasta entre el 88 y el 100 % (de 20.525 a 23.324 euros): ese reparto es un supuesto, no un dato.</w:t>
      </w:r>
    </w:p>
    <w:p>
      <w:r>
        <w:rPr>
          <w:b/>
        </w:rPr>
        <w:t>Lo que no está en las capas.</w:t>
      </w:r>
      <w:r>
        <w:t xml:space="preserve"> La nueva tasa de basuras, que ronda los 200 euros por hogar en determinados municipios, según el propio Impuestómetro, que no la suma a la espera de estudios</w:t>
      </w:r>
      <w:r>
        <w:t xml:space="preserve"> (Instituto Juan de Mariana, Impuestómetro 2026)</w:t>
      </w:r>
      <w:r>
        <w:t>; las tasas de ITV y de tráfico; el impuesto de matriculación</w:t>
      </w:r>
      <w:r>
        <w:t xml:space="preserve"> (Ley 38/1992, art. 70, con tipos por epígrafes de emisiones de CO2)</w:t>
      </w:r>
      <w:r>
        <w:t>; el impuesto sobre las primas de seguros; el efecto de no deflactar el IRPF, que el informe cuenta como subida encubierta pero no cuantifica en euros; y las tasas y aranceles de notarios y registros.</w:t>
      </w:r>
    </w:p>
    <w:p>
      <w:r>
        <w:rPr>
          <w:b/>
        </w:rPr>
        <w:t>Los tributos de la vida diaria, con lo que consta.</w:t>
      </w:r>
      <w:r>
        <w:t xml:space="preserve"> El IBI tiene un tipo mínimo del 0,4 % y máximo del 1,10 % del valor catastral en los inmuebles urbanos</w:t>
      </w:r>
      <w:r>
        <w:t xml:space="preserve"> (Texto refundido de la Ley Reguladora de las Haciendas Locales, art. 72.1)</w:t>
      </w:r>
      <w:r>
        <w:t>. El impuesto sobre vehículos de tracción mecánica tiene una cuota base por caballos fiscales —en turismos, de 12,62 a 112,00 euros— que los ayuntamientos pueden subir con un coeficiente no superior a 2</w:t>
      </w:r>
      <w:r>
        <w:t xml:space="preserve"> (art. 95.1 y 95.4)</w:t>
      </w:r>
      <w:r>
        <w:t>; ambos están dentro de los tributos municipales. Del permiso de circulación, las tasas de tráfico, la ITV (cuyas tarifas fijan las comunidades autónomas) y el seguro obligatorio no se han verificado los importes, y no están en las capas: se citan como existentes, sin cifra.</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t xml:space="preserve"> (INE, EPF 2025)</w:t>
      </w:r>
      <w:r>
        <w:t>. Son medias por hogar, de unas 2,5 personas, no por trabajador (cálculo de la obra con la nota del INE).</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quien sea autónomo debe tenerla en cuenta aparte. Cuánto cuesta no se ha leído en una fuente oficial: no entra todavía.</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nunca se compara con 100 lo que suma 130,6.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Son euros nominales de 2025 y 2026. Los gastos fijos de vivienda y banco no se restan aquí: son costes de un hogar, no de un individuo, y mezclarían dos bases.</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t xml:space="preserve"> (Eurostat, índice armonizado de precios de consumo)</w:t>
      </w:r>
      <w:r>
        <w:t>.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t xml:space="preserve"> (INE, Encuesta Trimestral de Coste Laboral; índice de precios de consumo, cálculo de la obra)</w:t>
      </w:r>
      <w:r>
        <w:t>.</w:t>
      </w:r>
    </w:p>
    <w:p>
      <w:r>
        <w:t>Esa ganancia no está garantizada en 2026. La inflación interanual de agosto de 2026 fue del 4,3 %, la más alta desde febrero de 2023; la media de los últimos doce meses es del 3,1 %</w:t>
      </w:r>
      <w:r>
        <w:t xml:space="preserve"> (INE, índice general, cálculo de la obra)</w:t>
      </w:r>
      <w:r>
        <w:t>. El INE atribuye la subida del grupo Transporte, hasta el 9,5 %, «principalmente, al incremento de los precios de los combustibles y lubricantes para vehículos personales»</w:t>
      </w:r>
      <w:r>
        <w:t xml:space="preserve"> (INE, nota de prensa del IPC de agosto de 2026)</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t xml:space="preserve"> (AIReF, informe sobre los presupuestos iniciales de 2026, 15-4-2026)</w:t>
      </w:r>
      <w:r>
        <w:t>. Lo que queda tras las capas es una fotografía nominal de un año concreto, y la inflación erosiona ese margen en cada año en que los precios suben más deprisa que el salario.</w:t>
      </w:r>
    </w:p>
    <w:p>
      <w:r>
        <w:rPr>
          <w:b/>
        </w:rPr>
        <w:t>El ahorrador paga tres veces por el mismo dinero.</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t xml:space="preserve"> (Banco de España, tipos de depósitos a plazo de hogares; cálculo de la obra)</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t xml:space="preserve"> (ASUFIN, Barómetro de Comisiones Bancarias, nota de 18-5-2026, https://www.asufin.com/escalada-precios-comisiones-bancarias/; asociación de usuarios, fuente privada)</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t xml:space="preserve"> (Banco Santander, información precontractual de la Cuenta Santander One, de particulares, 28-7-2022, https://wcm.bancosantander.es/wce/documentos-cms/do-info-precontractual-santander-one.pdf; de la Cuenta Santander One Empresas (autónomos), 14-1-2021, https://wcm.bancosantander.es/wce/documentos-cms/do-cuenta-santander-one-autonomos-julio-2021.pdf; y de la Cuenta Santander, de particulares, con metadatos de 2025, https://wcm.bancosantander.es/wce/documentos-cms/do-info-precontractual-cuenta-santander.pdf)</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t xml:space="preserve"> (Banco Santander, nota de prensa de 13-6-2024, https://www.santander.com/es/sala-de-comunicacion/notas-de-prensa/2024/06/santander-lanza-la-cuenta-negocios-sin-comisiones-para-autonomos-comercios-y-microempresas)</w:t>
      </w:r>
      <w:r>
        <w:t>; su página de autónomos, leída el 7-10-2026, la ofrece sin comisión</w:t>
      </w:r>
      <w:r>
        <w:t xml:space="preserve"> (Banco Santander, https://www.bancosantander.es/empresas/autonomos/cuenta-online/)</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Para ilustrarlo se usan dos importes redondos, no una media: sobre 5.000 euros, el interés de 88,44 no cubre ni la media de ASUFIN (167,27), y quedan −78,83.</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el mecanismo no necesita suponer intención para ser injusto.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se pueden valorar con dos referencias oficiales distintas, para no forzar una sola cifra:</w:t>
      </w:r>
    </w:p>
    <w:p>
      <w:pPr>
        <w:pStyle w:val="ListBullet"/>
      </w:pPr>
      <w:r>
        <w:rPr>
          <w:i/>
        </w:rPr>
        <w:t>Con el salario mínimo de 2026,</w:t>
      </w:r>
      <w:r>
        <w:t xml:space="preserve"> 17.094 euros brutos al año</w:t>
      </w:r>
      <w:r>
        <w:t xml:space="preserve"> (Real Decreto 126/2026, de 18 de febrero)</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p>
    <w:p>
      <w:pPr>
        <w:pStyle w:val="ListBullet"/>
      </w:pPr>
      <w:r>
        <w:rPr>
          <w:i/>
        </w:rPr>
        <w:t>Con el salario medio bruto,</w:t>
      </w:r>
      <w:r>
        <w:t xml:space="preserve"> 29.540,26 euros</w:t>
      </w:r>
      <w:r>
        <w:t xml:space="preserve"> (INE, Encuesta Anual de Estructura Salarial 2024)</w:t>
      </w:r>
      <w:r>
        <w:t xml:space="preserve">, la hora vale unos 16,18 euros y las 226 horas, unos 3.657 euros al año; coherente con la propia estimación de la asociación, de 15 euros la hora y 3.390 al año, que queda entre las dos. </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t xml:space="preserve"> (Orden PJC/297/2026, arts. 4 y 33)</w:t>
      </w:r>
      <w:r>
        <w:t>. No incluye la cotización por accidentes de trabajo y enfermedades profesionales, que depende de la actividad.</w:t>
      </w:r>
    </w:p>
    <w:p>
      <w:r>
        <w:t>Sumando esa cotización a las dos referencias: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r>
        <w:br w:type="page"/>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w:t>
      </w:r>
    </w:p>
    <w:p>
      <w:r>
        <w:rPr>
          <w:b/>
        </w:rPr>
        <w:t>Lo que la ley obliga a publicar.</w:t>
      </w:r>
      <w:r>
        <w:t xml:space="preserve"> Las retribuciones de los altos cargos son públicas</w:t>
      </w:r>
      <w:r>
        <w:t xml:space="preserve"> (Ley 3/2015, art. 4; Ley 19/2013)</w:t>
      </w:r>
      <w:r>
        <w:t>, y el número y las retribuciones del personal eventual, también</w:t>
      </w:r>
      <w:r>
        <w:t xml:space="preserve"> (Estatuto Básico del Empleado Público, art. 12.2)</w:t>
      </w:r>
      <w:r>
        <w:t>. Pero la ley deja a cada administración publicar lo suyo: sumarlo exige buscar en fuentes distintas, con formatos, fechas y criterios distintos.</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t xml:space="preserve"> (Portal de la Transparencia, retribuciones de altos cargos; recuento de la obra)</w:t>
      </w:r>
      <w:r>
        <w:t>. Los importes de 2024 del Portal suman 64,6 millones (cálculo de la obra); los de los asesores no están en él.</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t xml:space="preserve"> (Estadística del Personal al Servicio de las Administraciones Públicas, enero de 2026, tabla 2.3)</w:t>
      </w:r>
      <w:r>
        <w:t>. En enero de 2025 había además 46 en organismos autónomos. Son un mínimo (</w:t>
      </w:r>
      <w:r>
        <w:t>5.1</w:t>
      </w:r>
      <w:r>
        <w:t>). Lo que cuesta el conjunto solo consta en la Presidencia del Gobierno: 18,03 millones al año (</w:t>
      </w:r>
      <w:r>
        <w:t>C.2</w:t>
      </w:r>
      <w:r>
        <w:t>).</w:t>
      </w:r>
    </w:p>
    <w:p>
      <w:r>
        <w:rPr>
          <w:b/>
        </w:rPr>
        <w:t>Cargos electos.</w:t>
      </w:r>
      <w:r>
        <w:t xml:space="preserve"> 350 diputados y 266 senadores en la XV Legislatura. Los 17 parlamentos autonómicos suman 1.212 escaños, y 1.262 con las asambleas de Ceuta y Melilla</w:t>
      </w:r>
      <w:r>
        <w:t xml:space="preserve"> (la ley o el decreto de cada comunidad, suma de la obra)</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Fuente: ISPA 2025 (retribuciones de 2024), recuento de la obra en sus hojas. La nota del propio ISPA advierte de que los datos los facilitan las entidades, de que los listados no son definitivos y de que no responde de su veracidad.</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t xml:space="preserve"> (La Moncloa, notas de prensa del Ministerio de Justicia de 12 y 14-9-2018)</w:t>
      </w:r>
      <w:r>
        <w:t>.</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t xml:space="preserve"> (Eurostat, remuneración de asalariados por subsectores; el último, por diferencia)</w:t>
      </w:r>
      <w:r>
        <w:t>. En enero de 2026 trabajaban para ellas 3.071.725 personas: 546.554 en el Estado, 1.930.273 en las comunidades autónomas y 594.898 en la Administración local</w:t>
      </w:r>
      <w:r>
        <w:t xml:space="preserve"> (Estadística del Personal al Servicio de las Administraciones Públicas, enero de 2026, tabla 1.1)</w:t>
      </w:r>
      <w:r>
        <w:t>. Cálculo de la obra, solo como orden de magnitud y con fechas que no coinciden: unos 56.000 euros de coste medio por empleado público al año, cotizaciones incluidas.</w:t>
      </w:r>
    </w:p>
    <w:p>
      <w:r>
        <w:t>Los Presupuestos Generales del Estado de 2023 se han prorrogado en 2024, 2025 y 2026, así que sus cifras siguen vigentes.</w:t>
      </w:r>
    </w:p>
    <w:p>
      <w:r>
        <w:rPr>
          <w:b/>
        </w:rPr>
        <w:t>Lo que se puede desglosar.</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t xml:space="preserve"> (Senado, régimen económico, actualizado el 15-9-2026)</w:t>
      </w:r>
      <w:r>
        <w:t>. Cálculo de la obra: un senador sin cargo y de fuera de Madrid recibe unos 78.555 euros al año, de los que unos 30.700 están exentos de impuestos. {completo} El diputado recibe una indemnización exenta de 2.162,85 euros al mes, o de 1.032,38 si es elegido por Madrid</w:t>
      </w:r>
      <w:r>
        <w:t xml:space="preserve"> (Congreso de los Diputados, régimen económico de 2026)</w:t>
      </w:r>
      <w:r>
        <w:t>.</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t xml:space="preserve"> (Casa de S.M. el Rey, presupuesto y retribuciones de 2026)</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t xml:space="preserve"> (Tribunal de Cuentas, informe de 25-6-2026, y cuentas anuales de 2025 de la Casa)</w:t>
      </w:r>
      <w:r>
        <w:t>. Ni el Tribunal de Cuentas ni las cuentas atribuyen ese resultado a que el presupuesto esté congelado.</w:t>
      </w:r>
    </w:p>
    <w:p>
      <w:r>
        <w:t>Lo que no dicen ni su presupuesto ni sus cuentas es cuántas personas trabajan en ella. El presupuesto de 2026 dedica 32.500 euros al personal laboral de la Casa y 1.818.350 a «los complementos que percibe el personal que presta servicio en la Casa»</w:t>
      </w:r>
      <w:r>
        <w:t xml:space="preserve"> (Casa de S.M. el Rey, distribución del presupuesto de 2026, artículos 13 y 15)</w:t>
      </w:r>
      <w:r>
        <w:t>; y las cuentas explican que esos complementos «se puedan asignar a otro personal que presta servicio en la Casa»</w:t>
      </w:r>
      <w:r>
        <w:t xml:space="preserve"> (cuentas anuales de 2025, nota 11.1; Real Decreto 434/1988, art. 12.1)</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t xml:space="preserve"> (Portal de la Transparencia, relación de puestos de trabajo del Ministerio de la Presidencia, anexo de la Casa de S.M. el Rey, 1-X-2026)</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t xml:space="preserve"> (REMCO, informe sobre el coste de las jefaturas del Estado (marzo de 2026); fuente secundaria)</w:t>
      </w:r>
      <w:r>
        <w:t>.</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t xml:space="preserve"> (Ley 22/2009, art. 35)</w:t>
      </w:r>
      <w:r>
        <w:t xml:space="preserve"> y, en la práctica, con la mitad del IRPF</w:t>
      </w:r>
      <w:r>
        <w:t xml:space="preserve"> (art. 26)</w:t>
      </w:r>
      <w:r>
        <w:t>, además de impuestos cedidos enteros y de los fondos del sistema. Sus entregas a cuenta fueron de 156.990 millones de euros en 2026 y serán de 170.529 millones en 2027</w:t>
      </w:r>
      <w:r>
        <w:t xml:space="preserve"> (Ministerio de Hacienda, notas de 30-7-2025 y 29-7-2026)</w:t>
      </w:r>
      <w:r>
        <w:t>. El País Vasco y Navarra tienen régimen foral propio, que aquí no se analiza. Los ayuntamientos tienen sus impuestos obligatorios, el de bienes inmuebles, el de actividades económicas y el de vehículos, y otros voluntarios</w:t>
      </w:r>
      <w:r>
        <w:t xml:space="preserve"> (Ley Reguladora de las Haciendas Locales, art. 59)</w:t>
      </w:r>
      <w:r>
        <w:t>, más su participación en los impuestos del Estado: 31.826 millones de entregas a cuenta en 2027, importe provisional</w:t>
      </w:r>
      <w:r>
        <w:t xml:space="preserve"> (Ministerio de Hacienda, 29-7-2026)</w:t>
      </w:r>
      <w:r>
        <w:t>. Cálculo de la obra, como orden de magnitud: la nómina de las comunidades, 108.023 millones en 2024, equivale a unos dos tercios de lo que reciben del sistema de financiación.</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t xml:space="preserve"> (Eurostat, gov_10a_main)</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7.2 y 8.6</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Es un hecho que no encaja con la dirección de aquellos cinco años, y se dice.</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Solo se recoge lo verificado en el texto oficial.</w:t>
      </w:r>
    </w:p>
    <w:p>
      <w:r>
        <w:rPr>
          <w:b/>
        </w:rPr>
        <w:t>Cuándo se retira cada uno.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Ley General de la Seguridad Social, art. 205.1.a y disposición transitoria séptima</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Ley de Clases Pasivas, art. 28.2.b</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Ley 39/2007, de la carrera militar, arts. 113.4 y 114.2</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Ley 29/2014, art. 94.1.a; Ley Orgánica 9/2015, art. 5.2.b</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Real Decreto 1449/2018, art. 2</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Ley General de la Seguridad Social, disposiciones adicionales 20.ª, 20.ª bis y 20.ª ter</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Ley 7/1985, de Bases del Régimen Local, art. 75.1 y 75.2</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t xml:space="preserve"> (Real Decreto 405/1992, arts. 3 y 4)</w:t>
      </w:r>
      <w:r>
        <w:t>. Esa pensión es mensual, igual a la doceava parte del 80 % de las retribuciones del cargo, durante un plazo igual al tiempo que se desempeñó y con un máximo de veinticuatro mensualidades</w:t>
      </w:r>
      <w:r>
        <w:t xml:space="preserve"> (Ley 74/1980, art. 10.5, norma primera)</w:t>
      </w:r>
      <w:r>
        <w:t>. No es vitalicia: la idea, muy extendida, de un 80 % sin límite de plazo no está en la norma. Lo vitalicio es su condición de consejeros natos del Consejo de Estado, con el estatuto de los consejeros permanentes</w:t>
      </w:r>
      <w:r>
        <w:t xml:space="preserve"> (Ley Orgánica 3/1980, art. 8.1)</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t xml:space="preserve"> (Presupuestos Generales del Estado de 2023, programa 912M, concepto 480)</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t xml:space="preserve"> (Estatuto Básico del Empleado Público, art. 12)</w:t>
      </w:r>
      <w:r>
        <w:t>. El real decreto les reconoce derechos, pero no les fija ninguna obligación.</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t xml:space="preserve"> (Ley 6/2003, arts. 2 y 3)</w:t>
      </w:r>
      <w:r>
        <w:t>. En el País Vasco, una pensión vitalicia del 50 % del sueldo anual del cargo al llegar a la edad de jubilación, con al menos dos años en el cargo</w:t>
      </w:r>
      <w:r>
        <w:t xml:space="preserve"> (Ley 7/1981, de Gobierno, art. 38)</w:t>
      </w:r>
      <w:r>
        <w:t>. En Andalucía, la asignación del 60 % desde los 65 años se suprimió en 2011</w:t>
      </w:r>
      <w:r>
        <w:t xml:space="preserve"> (Ley 9/2011)</w:t>
      </w:r>
      <w:r>
        <w:t>, y hoy solo quedan la oficina y la seguridad</w:t>
      </w:r>
      <w:r>
        <w:t xml:space="preserve"> (Ley 2/2005)</w:t>
      </w:r>
      <w:r>
        <w:t>. Las otras catorce comunidades están por investigar.</w:t>
      </w:r>
    </w:p>
    <w:p>
      <w:r>
        <w:rPr>
          <w:b/>
        </w:rPr>
        <w:t>Lectura del autor:</w:t>
      </w:r>
      <w:r>
        <w:t xml:space="preserve"> lo previsible es que las demás sigan una tendencia parecida, aunque Andalucía muestra que estos privilegios también se pueden suprimir.</w:t>
      </w:r>
    </w:p>
    <w:p>
      <w:r>
        <w:rPr>
          <w:b/>
        </w:rPr>
        <w:t>Diputados y senadores.</w:t>
      </w:r>
      <w:r>
        <w:t xml:space="preserve"> Durante el mandato, sus cotizaciones a la Seguridad Social las paga el presupuesto de la Cámara</w:t>
      </w:r>
      <w:r>
        <w:t xml:space="preserve"> (Congreso de los Diputados, protección social)</w:t>
      </w:r>
      <w:r>
        <w:t>. El complemento que elevaba su pensión de jubilación con cargo a los presupuestos de las Cámaras, que exigía haber sido diputado o senador al menos siete años</w:t>
      </w:r>
      <w:r>
        <w:t xml:space="preserve"> (Reglamento de Pensiones Parlamentarias, art. 2)</w:t>
      </w:r>
      <w:r>
        <w:t>, se suprimió en 2011, pero sin efecto retroactivo: lo conservan quienes «el día de la constitución del Congreso de los Diputados y del Senado de la X Legislatura hubieren devengado el derecho»</w:t>
      </w:r>
      <w:r>
        <w:t xml:space="preserve"> (reforma del Reglamento de 19-7-2011, art. 2, BOCG, Cortes Generales, serie A, núm. 455)</w:t>
      </w:r>
      <w:r>
        <w:t>. La página de protección social del Congreso fija esa fecha: «se mantiene para quienes hubiesen devengado el derecho a su percepción con anterioridad al 13 de diciembre de 2011»</w:t>
      </w:r>
      <w:r>
        <w:t xml:space="preserve"> (Congreso de los Diputados, «Protección Social»)</w:t>
      </w:r>
      <w:r>
        <w:t>. Al cesar, quien haya estado al menos dos años en el cargo cobra, mes a mes, una indemnización equivalente a una mensualidad de la asignación constitucional por cada año de mandato o fracción superior a seis meses, con un máximo de veinticuatro</w:t>
      </w:r>
      <w:r>
        <w:t xml:space="preserve"> (Reglamento, arts. 13 y 14.1)</w:t>
      </w:r>
      <w:r>
        <w:t>; desde la X Legislatura es incompatible con «cualquier retribución, sueldo, salario, pensión, dieta, indemnización o percepción de cualquier naturaleza, sea de carácter público o privado»</w:t>
      </w:r>
      <w:r>
        <w:t xml:space="preserve"> (art. 14.2, reformado en 2011)</w:t>
      </w:r>
      <w:r>
        <w:t>.</w:t>
      </w:r>
    </w:p>
    <w:p>
      <w:r>
        <w:rPr>
          <w:b/>
        </w:rPr>
        <w:t>¿Se les puede despedir?</w:t>
      </w:r>
    </w:p>
    <w:p>
      <w:pPr>
        <w:pStyle w:val="ListBullet"/>
      </w:pPr>
      <w:r>
        <w:rPr>
          <w:i/>
        </w:rPr>
        <w:t>Asalariado:</w:t>
      </w:r>
      <w:r>
        <w:t xml:space="preserve"> sí, con indemnización tasada (</w:t>
      </w:r>
      <w:r>
        <w:t>8.6</w:t>
      </w:r>
      <w:r>
        <w:t>): por causas objetivas, 20 días de salario por año trabajado, con un máximo de doce mensualidades</w:t>
      </w:r>
      <w:r>
        <w:t xml:space="preserve"> (Estatuto de los Trabajadores, art. 53.1.b)</w:t>
      </w:r>
      <w:r>
        <w:t xml:space="preserve">. </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t xml:space="preserve"> (Estatuto Básico del Empleado Público, arts. 63 y 96.1.a)</w:t>
      </w:r>
      <w:r>
        <w:t>. El personal laboral de la Administración sí puede ser despedido, por falta muy grave</w:t>
      </w:r>
      <w:r>
        <w:t xml:space="preserve"> (art. 96.1.b)</w:t>
      </w:r>
      <w:r>
        <w:t xml:space="preserve"> o por las causas del Estatuto de los Trabajadores. </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p>
    <w:p>
      <w:pPr>
        <w:pStyle w:val="ListBullet"/>
      </w:pPr>
      <w:r>
        <w:rPr>
          <w:i/>
        </w:rPr>
        <w:t>Gobierno y alcaldes:</w:t>
      </w:r>
      <w:r>
        <w:t xml:space="preserve"> al Gobierno lo puede hacer caer el Congreso con una moción de censura aprobada por mayoría absoluta</w:t>
      </w:r>
      <w:r>
        <w:t xml:space="preserve"> (Constitución, art. 113.1)</w:t>
      </w:r>
      <w:r>
        <w:t>; al alcalde, una moción de censura de los concejales</w:t>
      </w:r>
      <w:r>
        <w:t xml:space="preserve"> (Ley Orgánica del Régimen Electoral General, art. 197.1)</w:t>
      </w:r>
      <w:r>
        <w:t xml:space="preserve">. </w:t>
      </w:r>
    </w:p>
    <w:p>
      <w:r>
        <w:t xml:space="preserve">La evaluación del desempeño que la ley exige a todas las administraciones, y la regla transitoria que la sustituye en la del Estado, se explican en </w:t>
      </w:r>
      <w:r>
        <w:t>5.1</w:t>
      </w:r>
      <w:r>
        <w:t>.</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w:t>
      </w:r>
    </w:p>
    <w:p>
      <w:r>
        <w:rPr>
          <w:b/>
        </w:rPr>
        <w:t>Lectura del autor:</w:t>
      </w:r>
      <w:r>
        <w:t xml:space="preserve"> la brecha entre unos regímenes y otros es desproporcionada.</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p>
    <w:p>
      <w:r>
        <w:t>Fuente: Ministerio de Inclusión, Seguridad Social y Migraciones, nota de pensiones de 25-9-2026, que incluye los datos de Clases Pasivas de agosto.</w:t>
      </w:r>
    </w:p>
    <w:p>
      <w:r>
        <w:t>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t xml:space="preserve"> (Ley 7/1985, art. 75.1 y 75.2)</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un nombre que sugiere una cosa, y una norma que dice otra; describirla no exige suponer intención.</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p>
    <w:p>
      <w:pPr>
        <w:pStyle w:val="ListBullet"/>
      </w:pPr>
      <w:r>
        <w:rPr>
          <w:i/>
        </w:rPr>
        <w:t>B. Clases Pasivas:</w:t>
      </w:r>
      <w:r>
        <w:t xml:space="preserve"> funcionarios del Estado que ingresaron antes de 2011. Unos 1.774 millones al mes: el 6,6 % de las pensiones y el 10,9 % de la nómina. </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t xml:space="preserve"> (Presupuestos Generales del Estado de 2023, prorrogados, sección 07, concepto 48000)</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Este anexo es de consulta: lleva su propia defensa.</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p>
    <w:p>
      <w:pPr>
        <w:pStyle w:val="ListBullet"/>
      </w:pPr>
      <w:r>
        <w:rPr>
          <w:b/>
        </w:rPr>
        <w:t>La nómina pública es la que exigen los servicios.</w:t>
      </w:r>
      <w:r>
        <w:t xml:space="preserve"> La mayor parte del personal trabaja en las comunidades autónomas, que gestionan la sanidad y la educación.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p>
    <w:p>
      <w:pPr>
        <w:pStyle w:val="ListBullet"/>
      </w:pPr>
      <w:r>
        <w:rPr>
          <w:b/>
        </w:rPr>
        <w:t>Clases Pasivas es un régimen a extinguir.</w:t>
      </w:r>
      <w:r>
        <w:t xml:space="preserve"> Desde 2011, los nuevos funcionarios cotizan en el régimen general, con las mismas edades que el resto.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r>
        <w:br w:type="page"/>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p>
    <w:p>
      <w:pPr>
        <w:pStyle w:val="ListBullet"/>
      </w:pPr>
      <w:r>
        <w:rPr>
          <w:b/>
        </w:rPr>
        <w:t>Base legal:</w:t>
      </w:r>
      <w:r>
        <w:t xml:space="preserve"> Constitución, art. 29; Ley Orgánica 4/2001, reguladora del derecho de petición, arts. 4, 9 y 11. </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 xml:space="preserve">Expediente o referencia: </w:t>
      </w:r>
      <w:r>
        <w:rPr>
          <w:i/>
          <w:color w:val="6B665E"/>
        </w:rPr>
        <w:t xml:space="preserve">Remitente: [nombre y apellidos completos, tal como constan en el DNI] · DNI [número] · Domicilio a efectos de notificaciones: </w:t>
      </w:r>
      <w:r>
        <w:rPr>
          <w:i/>
          <w:color w:val="6B665E"/>
        </w:rPr>
        <w:t>Fecha: [día, mes, año] · Lugar:</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t xml:space="preserve"> (ídem, art. 9.1)</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t xml:space="preserve"> (ídem, art. 11.2)</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p>
    <w:p>
      <w:pPr>
        <w:pStyle w:val="ListBullet"/>
      </w:pPr>
      <w:r>
        <w:rPr>
          <w:b/>
        </w:rPr>
        <w:t>Base legal:</w:t>
      </w:r>
      <w:r>
        <w:t xml:space="preserve"> Ley 19/2013, de transparencia, acceso a la información pública y buen gobierno, arts. 12, 17, 20 y 24. </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En [lugar], a [fecha]. Firma:</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t xml:space="preserve"> (ídem, art. 14.2)</w:t>
      </w:r>
      <w:r>
        <w:t>, y la denegación debe ser motivada</w:t>
      </w:r>
      <w:r>
        <w:t xml:space="preserve"> (ídem, art. 20.2)</w:t>
      </w:r>
      <w:r>
        <w:t>.</w:t>
      </w:r>
    </w:p>
    <w:p>
      <w:pPr>
        <w:spacing w:after="60"/>
        <w:ind w:left="510" w:hanging="397"/>
      </w:pPr>
      <w:r>
        <w:rPr>
          <w:b w:val="0"/>
        </w:rPr>
        <w:t xml:space="preserve">2. </w:t>
      </w:r>
      <w:r>
        <w:t>Si el límite afecta solo a una parte, hay que dar acceso al resto</w:t>
      </w:r>
      <w:r>
        <w:t xml:space="preserve"> (ídem, art. 16)</w:t>
      </w:r>
      <w:r>
        <w:t>.</w:t>
      </w:r>
    </w:p>
    <w:p>
      <w:pPr>
        <w:spacing w:after="60"/>
        <w:ind w:left="510" w:hanging="397"/>
      </w:pPr>
      <w:r>
        <w:rPr>
          <w:b w:val="0"/>
        </w:rPr>
        <w:t xml:space="preserve">3. </w:t>
      </w:r>
      <w:r>
        <w:t>Contra la denegación o el silencio cabe reclamación ante el Consejo de Transparencia en un mes</w:t>
      </w:r>
      <w:r>
        <w:t xml:space="preserve"> (ídem, art. 24.2)</w:t>
      </w:r>
      <w:r>
        <w:t>. La obra ya documentó el patrón: cada dato publicado por separado, nunca la suma (</w:t>
      </w:r>
      <w:r>
        <w:t>8.6</w:t>
      </w:r>
      <w:r>
        <w:t>).</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p>
    <w:p>
      <w:pPr>
        <w:pStyle w:val="ListBullet"/>
      </w:pPr>
      <w:r>
        <w:rPr>
          <w:b/>
        </w:rPr>
        <w:t>Cuándo usarlo:</w:t>
      </w:r>
      <w:r>
        <w:t xml:space="preserve"> cuando llega una denuncia o una sanción, por ejemplo de tráfico, y se considera injusta o mal tramitada. </w:t>
      </w:r>
    </w:p>
    <w:p>
      <w:pPr>
        <w:pStyle w:val="ListBullet"/>
      </w:pPr>
      <w:r>
        <w:rPr>
          <w:b/>
        </w:rPr>
        <w:t>Base legal:</w:t>
      </w:r>
      <w:r>
        <w:t xml:space="preserve"> Real Decreto Legislativo 6/2015, texto refundido de la Ley de Tráfico, arts. 94, 95 y 96; Ley 39/2015, del Procedimiento Administrativo Común, arts. 30 y 124. </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En [lugar], a [fecha]. Firma:</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w:t>
      </w:r>
    </w:p>
    <w:p>
      <w:r>
        <w:rPr>
          <w:i/>
        </w:rPr>
        <w:t>La respuesta de la obra:</w:t>
      </w:r>
    </w:p>
    <w:p>
      <w:pPr>
        <w:spacing w:after="60"/>
        <w:ind w:left="510" w:hanging="397"/>
      </w:pPr>
      <w:r>
        <w:rPr>
          <w:b w:val="0"/>
        </w:rPr>
        <w:t xml:space="preserve">1. </w:t>
      </w:r>
      <w:r>
        <w:t>Ese valor probatorio es «salvo prueba en contrario»</w:t>
      </w:r>
      <w:r>
        <w:t xml:space="preserve"> (Ley de Tráfico, art. 88)</w:t>
      </w:r>
      <w:r>
        <w:t>, y en todo procedimiento sancionador el ciudadano tiene derecho a «la presunción de no existencia de responsabilidad administrativa mientras no se demuestre lo contrario»</w:t>
      </w:r>
      <w:r>
        <w:t xml:space="preserve"> (Ley 39/2015, art. 53.2.b)</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xml:space="preserve"> (ídem, art. 53.2.a)</w:t>
      </w:r>
      <w:r>
        <w:t>, y a copia del expediente, con las pruebas en que se basa</w:t>
      </w:r>
      <w:r>
        <w:t xml:space="preserve"> (ídem, art. 53.1.a)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p>
    <w:p>
      <w:pPr>
        <w:pStyle w:val="ListBullet"/>
      </w:pPr>
      <w:r>
        <w:rPr>
          <w:b/>
        </w:rPr>
        <w:t>Cuándo usarlo:</w:t>
      </w:r>
      <w:r>
        <w:t xml:space="preserve"> cuando Hacienda reclama una deuda tributaria, la pasa a apremio o embarga bienes o cuentas. </w:t>
      </w:r>
    </w:p>
    <w:p>
      <w:pPr>
        <w:pStyle w:val="ListBullet"/>
      </w:pPr>
      <w:r>
        <w:rPr>
          <w:b/>
        </w:rPr>
        <w:t>Base legal:</w:t>
      </w:r>
      <w:r>
        <w:t xml:space="preserve"> Ley 58/2003, General Tributaria, arts. 167.3, 170.3, 223, 224 y 235. </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En [lugar], a [fecha]. Firma:</w:t>
      </w:r>
    </w:p>
    <w:p>
      <w:r>
        <w:rPr>
          <w:b/>
        </w:rPr>
        <w:t>La respuesta probable de la Administración:</w:t>
      </w:r>
      <w:r>
        <w:t xml:space="preserve"> que el motivo alegado no está entre los admitidos por la ley</w:t>
      </w:r>
      <w:r>
        <w:t xml:space="preserve"> (Ley General Tributaria, arts. 167.3 y 170.3)</w:t>
      </w:r>
      <w:r>
        <w:t>, que el recurso no suspende el cobro y que el embargo sigue adelante.</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t xml:space="preserve"> (ídem, art. 224.1)</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t xml:space="preserve"> (ídem, arts. 167.3.c y 170.3.b)</w:t>
      </w:r>
      <w:r>
        <w:t>: pedir siempre la prueba de la notificación.</w:t>
      </w:r>
    </w:p>
    <w:p>
      <w:pPr>
        <w:spacing w:after="60"/>
        <w:ind w:left="510" w:hanging="397"/>
      </w:pPr>
      <w:r>
        <w:rPr>
          <w:b w:val="0"/>
        </w:rPr>
        <w:t xml:space="preserve">3. </w:t>
      </w:r>
      <w:r>
        <w:t>El espejo: si Hacienda devuelve tarde, debe intereses sin que se le pidan</w:t>
      </w:r>
      <w:r>
        <w:t xml:space="preserve"> (ídem, art. 31.2)</w:t>
      </w:r>
      <w:r>
        <w:t xml:space="preserve"> (</w:t>
      </w:r>
      <w:r>
        <w:t>D.11</w:t>
      </w:r>
      <w:r>
        <w:t>), y el recargo se aplica solo al ciudadano, sin que la obra haya hallado una justificación oficial de por qué existe en una sola dirección (</w:t>
      </w:r>
      <w:r>
        <w:t>7.6</w:t>
      </w:r>
      <w:r>
        <w:t xml:space="preserve">; </w:t>
      </w:r>
      <w:r>
        <w:t>cargo 13</w:t>
      </w:r>
      <w:r>
        <w:t>).</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p>
    <w:p>
      <w:pPr>
        <w:pStyle w:val="ListBullet"/>
      </w:pPr>
      <w:r>
        <w:rPr>
          <w:b/>
        </w:rPr>
        <w:t>Cuándo usarlo:</w:t>
      </w:r>
      <w:r>
        <w:t xml:space="preserve"> cuando la Administración está obligada a dar algo concreto a una persona, por una norma, un acto o un contrato, y no lo da. </w:t>
      </w:r>
    </w:p>
    <w:p>
      <w:pPr>
        <w:pStyle w:val="ListBullet"/>
      </w:pPr>
      <w:r>
        <w:rPr>
          <w:b/>
        </w:rPr>
        <w:t>Base legal:</w:t>
      </w:r>
      <w:r>
        <w:t xml:space="preserve"> Ley 29/1998, de la Jurisdicción Contencioso-administrativa, art. 29.1; Ley 39/2015, art. 21 (obligación de resolver). </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En [lugar], a [fecha]. Firma:</w:t>
      </w:r>
    </w:p>
    <w:p>
      <w:r>
        <w:rPr>
          <w:b/>
        </w:rPr>
        <w:t>La respuesta probable de la Administración:</w:t>
      </w:r>
      <w:r>
        <w:t xml:space="preserve"> silencio, o que no existe una «prestación concreta» a la que la Administración esté obligada.</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t xml:space="preserve"> (Ley 39/2015, art. 21.1)</w:t>
      </w:r>
      <w:r>
        <w:t>, y quien despacha el asunto es directamente responsable de hacerlo en plazo</w:t>
      </w:r>
      <w:r>
        <w:t xml:space="preserve"> (ídem, art. 21.6)</w:t>
      </w:r>
      <w:r>
        <w:t>.</w:t>
      </w:r>
    </w:p>
    <w:p>
      <w:pPr>
        <w:spacing w:after="60"/>
        <w:ind w:left="510" w:hanging="397"/>
      </w:pPr>
      <w:r>
        <w:rPr>
          <w:b w:val="0"/>
        </w:rPr>
        <w:t xml:space="preserve">3. </w:t>
      </w:r>
      <w:r>
        <w:t>Pasados tres meses, queda el recurso contencioso contra la inactividad</w:t>
      </w:r>
      <w:r>
        <w:t xml:space="preserve"> (Ley 29/1998, art. 29.1)</w:t>
      </w:r>
      <w:r>
        <w:t>, y el silencio se archiva en el Registro (</w:t>
      </w:r>
      <w:r>
        <w:t>10.8</w:t>
      </w:r>
      <w:r>
        <w:t>).</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p>
    <w:p>
      <w:pPr>
        <w:pStyle w:val="ListBullet"/>
      </w:pPr>
      <w:r>
        <w:rPr>
          <w:b/>
        </w:rPr>
        <w:t>Cuándo usarlo:</w:t>
      </w:r>
      <w:r>
        <w:t xml:space="preserve"> cuando una administración ha actuado mal o no ha respondido, y se quiere que una institución independiente lo investigue. </w:t>
      </w:r>
    </w:p>
    <w:p>
      <w:pPr>
        <w:pStyle w:val="ListBullet"/>
      </w:pPr>
      <w:r>
        <w:rPr>
          <w:b/>
        </w:rPr>
        <w:t>Base legal:</w:t>
      </w:r>
      <w:r>
        <w:t xml:space="preserve"> Ley Orgánica 3/1981, del Defensor del Pueblo, art. 15. </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En [lugar], a [fecha]. Firma:</w:t>
      </w:r>
    </w:p>
    <w:p>
      <w:r>
        <w:rPr>
          <w:b/>
        </w:rPr>
        <w:t>La respuesta probable de la Administración:</w:t>
      </w:r>
      <w:r>
        <w:t xml:space="preserve"> que no entra en el caso porque está pendiente de resolución judicial</w:t>
      </w:r>
      <w:r>
        <w:t xml:space="preserve"> (Ley Orgánica 3/1981, art. 17.2)</w:t>
      </w:r>
      <w:r>
        <w:t>, o que lo remite a la administración afectada.</w:t>
      </w:r>
    </w:p>
    <w:p>
      <w:r>
        <w:rPr>
          <w:i/>
        </w:rPr>
        <w:t>La respuesta de la obra:</w:t>
      </w:r>
    </w:p>
    <w:p>
      <w:pPr>
        <w:spacing w:after="60"/>
        <w:ind w:left="510" w:hanging="397"/>
      </w:pPr>
      <w:r>
        <w:rPr>
          <w:b w:val="0"/>
        </w:rPr>
        <w:t xml:space="preserve">1. </w:t>
      </w:r>
      <w:r>
        <w:t>El rechazo tiene que hacerse por escrito motivado, y puede informar de las vías más oportunas</w:t>
      </w:r>
      <w:r>
        <w:t xml:space="preserve"> (ídem, art. 17.1)</w:t>
      </w:r>
      <w:r>
        <w:t>: pedir siempre esa motivación.</w:t>
      </w:r>
    </w:p>
    <w:p>
      <w:pPr>
        <w:spacing w:after="60"/>
        <w:ind w:left="510" w:hanging="397"/>
      </w:pPr>
      <w:r>
        <w:rPr>
          <w:b w:val="0"/>
        </w:rPr>
        <w:t xml:space="preserve">2. </w:t>
      </w:r>
      <w:r>
        <w:t>La queja es gratuita, no necesita abogado y siempre se acusa recibo</w:t>
      </w:r>
      <w:r>
        <w:t xml:space="preserve"> (ídem, art. 15.2)</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p>
    <w:p>
      <w:pPr>
        <w:pStyle w:val="ListBullet"/>
      </w:pPr>
      <w:r>
        <w:rPr>
          <w:b/>
        </w:rPr>
        <w:t>Cuándo usarlo:</w:t>
      </w:r>
      <w:r>
        <w:t xml:space="preserve"> para dejar escrito que el consentimiento que el sistema presume nunca se ha dado, y archivarlo en el Registro (</w:t>
      </w:r>
      <w:r>
        <w:t>10.8</w:t>
      </w:r>
      <w:r>
        <w:t xml:space="preserve">). </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En [lugar], a [fecha]. Firma:</w:t>
      </w:r>
    </w:p>
    <w:p>
      <w:r>
        <w:rPr>
          <w:b/>
        </w:rPr>
        <w:t>La respuesta probable de la Administración:</w:t>
      </w:r>
      <w:r>
        <w:t xml:space="preserve"> ninguna respuesta, o que el documento «carece de efectos jurídicos», o tratarlo como un escrito pseudolegal.</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xml:space="preserve"> (ídem, art. 35.1)</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xml:space="preserve"> (ídem, art. 53.2.a)</w:t>
      </w:r>
      <w:r>
        <w:t>; y en todos, a identificar al personal responsable y a dar copia del expediente</w:t>
      </w:r>
      <w:r>
        <w:t xml:space="preserve"> (ídem, art. 53.1.a y b)</w:t>
      </w:r>
      <w:r>
        <w:t>.</w:t>
      </w:r>
    </w:p>
    <w:p>
      <w:pPr>
        <w:spacing w:after="60"/>
        <w:ind w:left="510" w:hanging="397"/>
      </w:pPr>
      <w:r>
        <w:rPr>
          <w:b w:val="0"/>
        </w:rPr>
        <w:t xml:space="preserve">3. </w:t>
      </w:r>
      <w:r>
        <w:t>La presunción de validez admite prueba en contrario, y los actos de un órgano manifiestamente incompetente son nulos</w:t>
      </w:r>
      <w:r>
        <w:t xml:space="preserve"> (ídem, art. 47.1.b)</w:t>
      </w:r>
      <w:r>
        <w:t>. Si no contesta, D.10.</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p>
    <w:p>
      <w:r>
        <w:rPr>
          <w:b/>
        </w:rPr>
        <w:t>Qué es una presunción, en el lenguaje del Derecho.</w:t>
      </w:r>
      <w:r>
        <w:t xml:space="preserve"> El diccionario jurídico de la Real Academia la define así: «Aceptación de un hecho del que no se tiene prueba y que se infiere de otro hecho demostrado»</w:t>
      </w:r>
      <w:r>
        <w:t xml:space="preserve"> (RAE, Diccionario panhispánico del español jurídico, «presunción»)</w:t>
      </w:r>
      <w:r>
        <w:t>. Y la ley dice cuándo vale: las presunciones que la ley establece eximen de probar el hecho presunto, pero «sólo serán admisibles cuando la certeza del hecho indicio del que parte la presunción haya quedado establecida mediante admisión o prueba»</w:t>
      </w:r>
      <w:r>
        <w:t xml:space="preserve"> (Ley de Enjuiciamiento Civil, art. 385.1)</w:t>
      </w:r>
      <w:r>
        <w:t>, y admiten prueba en contrario, salvo que la ley lo prohíba expresamente</w:t>
      </w:r>
      <w:r>
        <w:t xml:space="preserve"> (ídem, art. 385.3)</w:t>
      </w:r>
      <w:r>
        <w:t>. Esa ley se aplica también, en lo que no regulen las suyas, a los procesos contencioso-administrativos</w:t>
      </w:r>
      <w:r>
        <w:t xml:space="preserve"> (ídem, art. 4)</w:t>
      </w:r>
      <w:r>
        <w:t>. En pocas palabras: una presunción necesita un hecho de partida admitido o probado. El escrito pide ese hecho.</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w:t>
      </w:r>
    </w:p>
    <w:p>
      <w:r>
        <w:rPr>
          <w:i/>
        </w:rPr>
        <w:t>La respuesta de la obra:</w:t>
      </w:r>
    </w:p>
    <w:p>
      <w:pPr>
        <w:spacing w:after="60"/>
        <w:ind w:left="510" w:hanging="397"/>
      </w:pPr>
      <w:r>
        <w:rPr>
          <w:b w:val="0"/>
        </w:rPr>
        <w:t xml:space="preserve">1. </w:t>
      </w:r>
      <w:r>
        <w:t>La inadmisión tiene que ser motivada y en cuarenta y cinco días hábiles</w:t>
      </w:r>
      <w:r>
        <w:t xml:space="preserve"> (Ley Orgánica 4/2001, art. 9.1)</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p>
    <w:p>
      <w:pPr>
        <w:pStyle w:val="ListBullet"/>
      </w:pPr>
      <w:r>
        <w:rPr>
          <w:b/>
        </w:rPr>
        <w:t>Base legal:</w:t>
      </w:r>
      <w:r>
        <w:t xml:space="preserve"> Ley 39/2015, arts. 20.1, 20.2, 21.1, 21.6 y 53.1.a y b; Ley 29/1998, art. 29 (si la Administración está obligada a una prestación concreta, </w:t>
      </w:r>
      <w:r>
        <w:t>D.5</w:t>
      </w:r>
      <w:r>
        <w:t xml:space="preserve">). </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En [lugar], a [fecha]. Firma:</w:t>
      </w:r>
    </w:p>
    <w:p>
      <w:r>
        <w:rPr>
          <w:b/>
        </w:rPr>
        <w:t>La respuesta probable de la Administración:</w:t>
      </w:r>
      <w:r>
        <w:t xml:space="preserve"> que el retraso se debe a la carga de trabajo, o seguir en silencio.</w:t>
      </w:r>
    </w:p>
    <w:p>
      <w:r>
        <w:rPr>
          <w:i/>
        </w:rPr>
        <w:t>La respuesta de la obra:</w:t>
      </w:r>
    </w:p>
    <w:p>
      <w:pPr>
        <w:spacing w:after="60"/>
        <w:ind w:left="510" w:hanging="397"/>
      </w:pPr>
      <w:r>
        <w:rPr>
          <w:b w:val="0"/>
        </w:rPr>
        <w:t xml:space="preserve">1. </w:t>
      </w:r>
      <w:r>
        <w:t>La obligación de resolver no tiene excepción por carga de trabajo</w:t>
      </w:r>
      <w:r>
        <w:t xml:space="preserve"> (Ley 39/2015, art. 21.1)</w:t>
      </w:r>
      <w:r>
        <w:t>, y su incumplimiento da lugar a responsabilidad disciplinaria</w:t>
      </w:r>
      <w:r>
        <w:t xml:space="preserve"> (ídem, art. 21.6)</w:t>
      </w:r>
      <w:r>
        <w:t>.</w:t>
      </w:r>
    </w:p>
    <w:p>
      <w:pPr>
        <w:spacing w:after="60"/>
        <w:ind w:left="510" w:hanging="397"/>
      </w:pPr>
      <w:r>
        <w:rPr>
          <w:b w:val="0"/>
        </w:rPr>
        <w:t xml:space="preserve">2. </w:t>
      </w:r>
      <w:r>
        <w:t>Se puede pedir a la Administración de la que depende el personal que exija esa responsabilidad</w:t>
      </w:r>
      <w:r>
        <w:t xml:space="preserve"> (ídem, art. 20.2)</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p>
    <w:p>
      <w:pPr>
        <w:pStyle w:val="ListBullet"/>
      </w:pPr>
      <w:r>
        <w:rPr>
          <w:b/>
        </w:rPr>
        <w:t>Cuándo usarlo:</w:t>
      </w:r>
      <w:r>
        <w:t xml:space="preserve"> cuando Hacienda devuelve tarde una cantidad, o devuelve algo cobrado de forma indebida, sin pagar los intereses de demora. </w:t>
      </w:r>
    </w:p>
    <w:p>
      <w:pPr>
        <w:pStyle w:val="ListBullet"/>
      </w:pPr>
      <w:r>
        <w:rPr>
          <w:b/>
        </w:rPr>
        <w:t>Base legal:</w:t>
      </w:r>
      <w:r>
        <w:t xml:space="preserve"> Ley 58/2003, General Tributaria, arts. 26, 31.2, 32.2 y 223.1. </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procede porque la demora no es imputable a la Administración</w:t>
      </w:r>
      <w:r>
        <w:t xml:space="preserve"> (Ley General Tributaria, art. 31.2)</w:t>
      </w:r>
      <w:r>
        <w:t>, o que los intereses ya se incluyeron.</w:t>
      </w:r>
    </w:p>
    <w:p>
      <w:r>
        <w:rPr>
          <w:i/>
        </w:rPr>
        <w:t>La respuesta de la obra:</w:t>
      </w:r>
    </w:p>
    <w:p>
      <w:pPr>
        <w:spacing w:after="60"/>
        <w:ind w:left="510" w:hanging="397"/>
      </w:pPr>
      <w:r>
        <w:rPr>
          <w:b w:val="0"/>
        </w:rPr>
        <w:t xml:space="preserve">1. </w:t>
      </w:r>
      <w:r>
        <w:t>El interés se debe «sin necesidad de que el obligado lo solicite»</w:t>
      </w:r>
      <w:r>
        <w:t xml:space="preserve"> (ídem, arts. 31.2 y 32.2)</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 xml:space="preserve"> (ídem, art. 26)</w:t>
      </w:r>
      <w:r>
        <w:t>.</w:t>
      </w:r>
    </w:p>
    <w:p>
      <w:pPr>
        <w:spacing w:after="60"/>
        <w:ind w:left="510" w:hanging="397"/>
      </w:pPr>
      <w:r>
        <w:rPr>
          <w:b w:val="0"/>
        </w:rPr>
        <w:t xml:space="preserve">3. </w:t>
      </w:r>
      <w:r>
        <w:t>El espejo: al ciudadano el recargo se le aplica sin preguntar por qué pagó tarde</w:t>
      </w:r>
      <w:r>
        <w:t xml:space="preserve"> (ídem, art. 28)</w:t>
      </w:r>
      <w:r>
        <w:t xml:space="preserve"> (</w:t>
      </w:r>
      <w:r>
        <w:t>7.6</w:t>
      </w:r>
      <w:r>
        <w:t>). Contra la negativa, recurso de reposición en un mes</w:t>
      </w:r>
      <w:r>
        <w:t xml:space="preserve"> (ídem, art. 223.1)</w:t>
      </w:r>
      <w:r>
        <w:t>.</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p>
    <w:p>
      <w:pPr>
        <w:pStyle w:val="ListBullet"/>
      </w:pPr>
      <w:r>
        <w:rPr>
          <w:b/>
        </w:rPr>
        <w:t>Base legal:</w:t>
      </w:r>
      <w:r>
        <w:t xml:space="preserve"> Ley 40/2015, del Régimen Jurídico del Sector Público, arts. 32 y 36.1; Ley 39/2015, arts. 67.1, 67.2 y 91.3. </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En [lugar], a [fecha]. Firma:</w:t>
      </w:r>
    </w:p>
    <w:p>
      <w:r>
        <w:rPr>
          <w:b/>
        </w:rPr>
        <w:t>La respuesta probable de la Administración:</w:t>
      </w:r>
      <w:r>
        <w:t xml:space="preserve"> que el daño es de los que el ciudadano «tiene el deber jurídico de soportar», que no hay relación de causalidad, que ha prescrito, o el silencio a los seis meses.</w:t>
      </w:r>
    </w:p>
    <w:p>
      <w:r>
        <w:rPr>
          <w:i/>
        </w:rPr>
        <w:t>La respuesta de la obra:</w:t>
      </w:r>
    </w:p>
    <w:p>
      <w:pPr>
        <w:spacing w:after="60"/>
        <w:ind w:left="510" w:hanging="397"/>
      </w:pPr>
      <w:r>
        <w:rPr>
          <w:b w:val="0"/>
        </w:rPr>
        <w:t xml:space="preserve">1. </w:t>
      </w:r>
      <w:r>
        <w:t>El daño tiene que ser efectivo, evaluable e individualizado</w:t>
      </w:r>
      <w:r>
        <w:t xml:space="preserve"> (Ley 40/2015, art. 32.2)</w:t>
      </w:r>
      <w:r>
        <w:t>: documentarlo desde el primer día y presentar la reclamación antes de que pase un año</w:t>
      </w:r>
      <w:r>
        <w:t xml:space="preserve"> (Ley 39/2015, art. 67.1)</w:t>
      </w:r>
      <w:r>
        <w:t>.</w:t>
      </w:r>
    </w:p>
    <w:p>
      <w:pPr>
        <w:spacing w:after="60"/>
        <w:ind w:left="510" w:hanging="397"/>
      </w:pPr>
      <w:r>
        <w:rPr>
          <w:b w:val="0"/>
        </w:rPr>
        <w:t xml:space="preserve">2. </w:t>
      </w:r>
      <w:r>
        <w:t>Con sinceridad: la anulación de un acto no da por sí sola derecho a indemnización</w:t>
      </w:r>
      <w:r>
        <w:t xml:space="preserve"> (Ley 40/2015, art. 32.1)</w:t>
      </w:r>
      <w:r>
        <w:t>; hay que probar el daño y la relación con el servicio.</w:t>
      </w:r>
    </w:p>
    <w:p>
      <w:pPr>
        <w:spacing w:after="60"/>
        <w:ind w:left="510" w:hanging="397"/>
      </w:pPr>
      <w:r>
        <w:rPr>
          <w:b w:val="0"/>
        </w:rPr>
        <w:t xml:space="preserve">3. </w:t>
      </w:r>
      <w:r>
        <w:t>Si a los seis meses no hay resolución, se entiende desestimada</w:t>
      </w:r>
      <w:r>
        <w:t xml:space="preserve"> (Ley 39/2015, art. 91.3)</w:t>
      </w:r>
      <w:r>
        <w:t xml:space="preserve"> y queda la vía contencioso-administrativa; la respuesta, o el silencio, se archivan en el Registro (</w:t>
      </w:r>
      <w:r>
        <w:t>10.8</w:t>
      </w:r>
      <w:r>
        <w:t>).</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aquí no se repite. Cada presunción lleva entre paréntesis el apartado de la obra que la explica; en el escrito que se presente, esos paréntesis se quitan.</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t xml:space="preserve"> (Ley 39/2015, art. 39.1)</w:t>
      </w:r>
      <w:r>
        <w:t>; en los municipios, provincias e islas, la ley les reconoce «La presunción de legitimidad y la ejecutividad de sus actos»</w:t>
      </w:r>
      <w:r>
        <w:t xml:space="preserve"> (Ley 7/1985, de Bases del Régimen Local, art. 4.1.e)</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t xml:space="preserve"> (Ley 39/2015, art. 98.1)</w:t>
      </w:r>
      <w:r>
        <w:t>, y la Administración puede ejecutarlos por sí misma, previo apercibimiento</w:t>
      </w:r>
      <w:r>
        <w:t xml:space="preserve"> (ídem, art. 99)</w:t>
      </w:r>
      <w:r>
        <w:t>; la providencia de apremio «tendrá la misma fuerza ejecutiva que la sentencia judicial»</w:t>
      </w:r>
      <w:r>
        <w:t xml:space="preserve"> (Ley General Tributaria, art. 167.2)</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t xml:space="preserve"> (Ley 39/2015, art. 77.5)</w:t>
      </w:r>
      <w:r>
        <w:t>; las denuncias de los agentes de tráfico «tendrán valor probatorio, salvo prueba en contrario»</w:t>
      </w:r>
      <w:r>
        <w:t xml:space="preserve"> (Ley de Tráfico, art. 88)</w:t>
      </w:r>
      <w:r>
        <w:t>; las actas de la inspección de los tributos «hacen prueba de los hechos que motiven su formalización, salvo que se acredite lo contrario»</w:t>
      </w:r>
      <w:r>
        <w:t xml:space="preserve"> (Ley General Tributaria, art. 144.1)</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t xml:space="preserve"> (Ley General Tributaria, art. 108.4)</w:t>
      </w:r>
      <w:r>
        <w:t>, y lo que acepta en un acta de inspección se presume cierto y solo puede rectificarse probando un error de hecho</w:t>
      </w:r>
      <w:r>
        <w:t xml:space="preserve"> (ídem, art. 144.2)</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t xml:space="preserve"> (ídem, art. 108.3)</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t xml:space="preserve"> (Ley 39/2015, art. 43.2)</w:t>
      </w:r>
      <w:r>
        <w:t>, y la de tráfico publicada en el BOE se entenderá practicada a los veinte días naturales</w:t>
      </w:r>
      <w:r>
        <w:t xml:space="preserve"> (Ley de Tráfico, art. 91)</w:t>
      </w:r>
      <w:r>
        <w:t>.</w:t>
      </w:r>
    </w:p>
    <w:p>
      <w:pPr>
        <w:spacing w:after="60"/>
        <w:ind w:left="510" w:hanging="397"/>
      </w:pPr>
      <w:r>
        <w:rPr>
          <w:b w:val="0"/>
        </w:rPr>
        <w:t xml:space="preserve">7. </w:t>
      </w:r>
      <w:r>
        <w:rPr>
          <w:b/>
        </w:rPr>
        <w:t>El silencio que dice no.</w:t>
      </w:r>
      <w:r>
        <w:t xml:space="preserve"> En el derecho de petición, el silencio tiene efecto desestimatorio</w:t>
      </w:r>
      <w:r>
        <w:t xml:space="preserve"> (Ley 39/2015, art. 24.1)</w:t>
      </w:r>
      <w:r>
        <w:t>, y en el acceso a la información pública, la solicitud sin respuesta «se entenderá que […] ha sido desestimada»</w:t>
      </w:r>
      <w:r>
        <w:t xml:space="preserve"> (Ley 19/2013, art. 20.4)</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t xml:space="preserve"> (Código Civil, art. 6.1)</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t xml:space="preserve"> (Constitución, art. 24.2)</w:t>
      </w:r>
      <w:r>
        <w:t>, y en todo procedimiento sancionador, «a la presunción de no existencia de responsabilidad administrativa mientras no se demuestre lo contrario»</w:t>
      </w:r>
      <w:r>
        <w:t xml:space="preserve"> (Ley 39/2015, art. 53.2.b)</w:t>
      </w:r>
      <w:r>
        <w:t>.</w:t>
      </w:r>
    </w:p>
    <w:p>
      <w:pPr>
        <w:pStyle w:val="ListBullet"/>
      </w:pPr>
      <w:r>
        <w:t>«La buena fe se presume siempre, y al que afirma la mala fe de un poseedor corresponde la prueba»</w:t>
      </w:r>
      <w:r>
        <w:t xml:space="preserve"> (Código Civil, art. 434)</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t xml:space="preserve"> (Ley 39/2015, art. 24.1)</w:t>
      </w:r>
      <w:r>
        <w:t>.</w:t>
      </w:r>
    </w:p>
    <w:p>
      <w:pPr>
        <w:pStyle w:val="ListBullet"/>
      </w:pPr>
      <w:r>
        <w:t>Toda presunción legal admite prueba en contrario, salvo que la ley lo prohíba expresamente</w:t>
      </w:r>
      <w:r>
        <w:t xml:space="preserve"> (Ley de Enjuiciamiento Civil, art. 385.3; Ley General Tributaria, art. 108.1)</w:t>
      </w:r>
      <w:r>
        <w:t>; y la que no establece ninguna norma solo vale si entre el hecho demostrado y el que se deduce «haya un enlace preciso y directo según las reglas del criterio humano»</w:t>
      </w:r>
      <w:r>
        <w:t xml:space="preserve"> (Ley General Tributaria, art. 108.2; Ley de Enjuiciamiento Civil, art. 386.1)</w:t>
      </w:r>
      <w:r>
        <w:t>.</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t xml:space="preserve"> (Código Civil, art. 1.3)</w:t>
      </w:r>
      <w:r>
        <w:t>; la jerarquía termina en la Constitución</w:t>
      </w:r>
      <w:r>
        <w:t xml:space="preserve"> (Constitución, art. 9.1)</w:t>
      </w:r>
      <w:r>
        <w:t>, que reconoce derechos «inherentes» a la persona, anteriores a ella</w:t>
      </w:r>
      <w:r>
        <w:t xml:space="preserve"> (art. 10.1)</w:t>
      </w:r>
      <w:r>
        <w:t>; y «Ninguna confesión tendrá carácter estatal»</w:t>
      </w:r>
      <w:r>
        <w:t xml:space="preserve"> (art. 16.3)</w:t>
      </w:r>
      <w:r>
        <w:t xml:space="preserve">, con lo que ninguna ley de Dios entra en el ordenamiento. Según el aforismo </w:t>
      </w:r>
      <w:r>
        <w:rPr>
          <w:i/>
        </w:rPr>
        <w:t>prior tempore potior iure</w:t>
      </w:r>
      <w:r>
        <w:t>, «Primero en el tiempo, preferido en el derecho»</w:t>
      </w:r>
      <w:r>
        <w:t xml:space="preserve"> (RAE, Diccionario panhispánico del español jurídico, «prior tempore potior iure»)</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t xml:space="preserve"> (Ley 40/2015, art. 23)</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t xml:space="preserve"> (Constitución, art. 1.2)</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t xml:space="preserve"> (RAE, Diccionario de la lengua española, «usurpar», 2.ª acepción)</w:t>
      </w:r>
      <w:r>
        <w:t>; y arrogarse es, en el diccionario jurídico, «Apropiarse indebidamente de honores, títulos o derechos»</w:t>
      </w:r>
      <w:r>
        <w:t xml:space="preserve"> (RAE, Diccionario panhispánico del español jurídico, «arrogarse»)</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t xml:space="preserve"> (Elio Antonio de Nebrija, Vocabulario español-latino, Salamanca, ¿1495?, hoja 159; NTLLE de la RAE)</w:t>
      </w:r>
      <w:r>
        <w:t>. El poder de uno solo vive de que muchos se lo den (</w:t>
      </w:r>
      <w:r>
        <w:t>4.1</w:t>
      </w:r>
      <w:r>
        <w:t>); el aliento que articula sus palabras es el que le prestan quienes creen en él y consienten. Por eso esta parte se llama la vacuna: quien sabe en qué se cree sin prueba ya no consiente sin saberlo.</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r>
        <w:br w:type="page"/>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dictó una sentencia de 736 párrafos</w:t>
      </w:r>
      <w:r>
        <w:t xml:space="preserve"> (Meads v. Meads, 2012 ABQB 571, de 18-9-2012, ¶ 736)</w:t>
      </w:r>
      <w:r>
        <w:t>. En ella reúne a unos litigantes que se presentan con distintos nombres («no hay una lista cerrada»)</w:t>
      </w:r>
      <w:r>
        <w:t>, y les da un nombre común, que es del juez y no de esta obra: litigantes del «argumento comercial pseudolegal organizado» (OPCA, por sus siglas en inglés)</w:t>
      </w:r>
      <w:r>
        <w:t xml:space="preserve"> (ídem, ¶ 1)</w:t>
      </w:r>
      <w:r>
        <w:t>.</w:t>
      </w:r>
    </w:p>
    <w:p>
      <w:r>
        <w:t>De los papeles que le presentó el propio litigante, el juez dice: «Esto es, por supuesto, un disparate»; no tienen «fuerza ni sentido en derecho»</w:t>
      </w:r>
      <w:r>
        <w:t xml:space="preserve"> (ídem, ¶ 44)</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y que CanLII la da como la decisión más citada del Tribunal del Banco de la Reina de Alberta desde 2012</w:t>
      </w:r>
      <w:r>
        <w:t>. Fuera de Canadá, el mismo estudio dice que se acepta ampliamente en la Commonwealth: Reino Unido, Australia, Jersey, Irlanda, Nueva Zelanda, Irlanda del Norte y Escocia</w:t>
      </w:r>
      <w:r>
        <w:t xml:space="preserve"> (Donald J. Netolitzky, «After the Hammer: Six Years of Meads v. Meads», Alberta Law Review 56:4 (2019), pág. 1186; fuente secundaria, académica)</w:t>
      </w:r>
      <w:r>
        <w:t>.</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t xml:space="preserve"> (Meads v. Meads, ¶ 212)</w:t>
      </w:r>
      <w:r>
        <w:t>. Recoge que los tribunales canadienses ya habían rechazado que haya diferencia legal entre un nombre escrito en mayúsculas y minúsculas y un nombre todo en mayúsculas</w:t>
      </w:r>
      <w:r>
        <w:t xml:space="preserve"> (ídem, ¶ 323, con las sentencias que cita)</w:t>
      </w:r>
      <w:r>
        <w:t>. Y concluye: «Los esquemas de la "persona doble o dividida" no tienen efecto jurídico. No tienen base en la ley. A una persona solo le corresponde una identidad legal»</w:t>
      </w:r>
      <w:r>
        <w:t xml:space="preserve"> (ídem, ¶ 445)</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que calificó objeciones parecidas de «manifiestamente carentes de fundamento»</w:t>
      </w:r>
      <w:r>
        <w:t>. Y aclaró que la persona acusada es «Rodney Class, el ser humano, y no una corporación ni ninguna otra “entidad ficticia”»</w:t>
      </w:r>
      <w:r>
        <w:t xml:space="preserve"> (United States v. Class, causa 13-253 (GK), D.D.C., 16-4-2014, págs. 5 y 6)</w:t>
      </w:r>
      <w:r>
        <w:t>. Otra petición suya, que decía que su nombre de nacimiento se había convertido en un «nombre comercial registrado» en violación del Código de Comercio Uniforme, la descartó por «no respaldada e irrelevante»</w:t>
      </w:r>
      <w:r>
        <w:t xml:space="preserve"> (ídem, pág. 29)</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y si reaparece, el arrendatario vuelve a la finca y cobra los beneficios que perdió, con intereses</w:t>
      </w:r>
      <w:r>
        <w:t xml:space="preserve"> (Cestui Que Vie Act 1666, arts. I y IV, legislation.gov.uk)</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t xml:space="preserve"> (Meads v. Meads, ¶ 42 y 435)</w:t>
      </w:r>
      <w:r>
        <w:t>, y pidió que lo que debía a su mujer y a sus hijos se pagara desde una cuenta bancaria secreta</w:t>
      </w:r>
      <w:r>
        <w:t xml:space="preserve"> (ídem, ¶ 43 y 538)</w:t>
      </w:r>
      <w:r>
        <w:t>. El juez explica la creencia: quienes venden este esquema aseguran que, «con la combinación correcta de documentos oficiales», una persona puede acceder a su cuenta bancaria secreta y a sus fondos</w:t>
      </w:r>
      <w:r>
        <w:t xml:space="preserve"> (ídem, ¶ 536)</w:t>
      </w:r>
      <w:r>
        <w:t>. Y responde que todo ese esquema ya lo habían examinado y rechazado otros tribunales: «Yo hago lo mismo»</w:t>
      </w:r>
      <w:r>
        <w:t xml:space="preserve"> (ídem, ¶ 541)</w:t>
      </w:r>
      <w:r>
        <w:t>.</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y que cualquier ciudadano perjudicado puede reclamar contra ella, o incluso embargar al funcionario, para cobrarse el daño.</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Las leyes de Illinois la exigen, por ejemplo, a los tesoreros y a los recaudadores de condado</w:t>
      </w:r>
      <w:r>
        <w:t xml:space="preserve"> (Tribunal Supremo de Illinois, Bueker v. Madison County, 2016 IL 120024, de 1-12-2016, ¶ 9, con la definición del Restatement (Third) of Suretyship and Guaranty)</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t xml:space="preserve"> (ídem, ¶ 3)</w:t>
      </w:r>
      <w:r>
        <w:t>, y demandaron directamente a la aseguradora que avalaba su fianza</w:t>
      </w:r>
      <w:r>
        <w:t xml:space="preserve"> (ídem, ¶ 4)</w:t>
      </w:r>
      <w:r>
        <w:t>. El Tribunal Supremo de Illinois confirmó que la demanda contra la aseguradora se desestimara: «los demandantes, como ciudadanos particulares, no pueden reclamar contra la fianza de cargo público exigida por ley de que se trata»</w:t>
      </w:r>
      <w:r>
        <w:t xml:space="preserve"> (ídem, ¶ 1; casi igual en el ¶ 26)</w:t>
      </w:r>
      <w:r>
        <w:t>. La fianza nombraba como beneficiario al condado; el Tribunal dice que por error, porque las leyes que la exigen nombran al pueblo del Estado de Illinois</w:t>
      </w:r>
      <w:r>
        <w:t xml:space="preserve"> (ídem, ¶ 16)</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t xml:space="preserve"> (Meads v. Meads, ¶ 507)</w:t>
      </w:r>
      <w:r>
        <w:t>) exige a ese funcionario entregar «todas y cada una de las fianzas» y pólizas de seguro que hagan falta para pagar lo que el litigante le reclame</w:t>
      </w:r>
      <w:r>
        <w:t xml:space="preserve"> (ídem, apéndice A, pág. PDF 181)</w:t>
      </w:r>
      <w:r>
        <w:t>. De esos documentos, el juez dice que no tienen fuerza legal, y que por eso las amenazas que contienen son, por definición, ilícitas</w:t>
      </w:r>
      <w:r>
        <w:t xml:space="preserve"> (ídem, ¶ 526)</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r>
        <w:br w:type="page"/>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t xml:space="preserve"> (Dt 17:17-20)</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t xml:space="preserve"> (Ez 34:2-4)</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t xml:space="preserve"> (Dt 5:15)</w:t>
      </w:r>
      <w:r>
        <w:t>.</w:t>
      </w:r>
    </w:p>
    <w:p>
      <w:pPr>
        <w:pStyle w:val="ListBullet"/>
      </w:pPr>
      <w:r>
        <w:rPr>
          <w:b/>
        </w:rPr>
        <w:t>P4.</w:t>
      </w:r>
      <w:r>
        <w:t xml:space="preserve"> «No tendrás en tu bolsa pesa grande y pesa chica. No tendrás en tu casa epha grande y epha pequeño. Pesas cumplidas y justas tendrás»</w:t>
      </w:r>
      <w:r>
        <w:t xml:space="preserve"> (Dt 25:13-15)</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t xml:space="preserve"> (Lc 19:8)</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t xml:space="preserve"> (Avesta, Yasna 48.5)</w:t>
      </w:r>
      <w:r>
        <w:t>. Y la plegaria Ahuna Vairya: «el Reino es para Ahura, que dará al pobre quien lo sustente»</w:t>
      </w:r>
      <w:r>
        <w:t xml:space="preserve"> (Avesta, Ahuna Vairya)</w:t>
      </w:r>
      <w:r>
        <w:t>.</w:t>
      </w:r>
    </w:p>
    <w:p>
      <w:pPr>
        <w:pStyle w:val="ListBullet2"/>
      </w:pPr>
      <w:r>
        <w:rPr>
          <w:b/>
        </w:rPr>
        <w:t>El islam:</w:t>
      </w:r>
      <w:r>
        <w:t xml:space="preserve"> «¡No obedezcáis las órdenes de los inmoderados, que corrompen en la tierra y no la reforman!»</w:t>
      </w:r>
      <w:r>
        <w:t xml:space="preserve"> (Corán 26:151-152, traducción de Julio Cortés)</w:t>
      </w:r>
      <w:r>
        <w:t>. Y: «Mi alianza no incluye a los impíos»</w:t>
      </w:r>
      <w:r>
        <w:t xml:space="preserve"> (Corán 2:124, traducción de Julio Cortés)</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t xml:space="preserve"> (Sahih al-Bujari 7150; fuente secundaria)</w:t>
      </w:r>
      <w:r>
        <w:t>.</w:t>
      </w:r>
    </w:p>
    <w:p>
      <w:pPr>
        <w:pStyle w:val="ListBullet2"/>
      </w:pPr>
      <w:r>
        <w:t>«¿Creéis que os doy autoridad? Servidumbre os doy»</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t xml:space="preserve"> (Mishná, Bava Metsiá 7:1)</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t xml:space="preserve"> (Corán 28:73, traducción de Julio Cortés)</w:t>
      </w:r>
      <w:r>
        <w:t>; y ha «hecho de vuestro sueño descanso […] del día medio de subsistencia»</w:t>
      </w:r>
      <w:r>
        <w:t xml:space="preserve"> (Corán 78:9-11, traducción de Julio Cortés)</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t xml:space="preserve"> (Corán 7:85, traducción de Julio Cortés)</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t xml:space="preserve"> (Corán 2:283, traducción de Julio Cortés)</w:t>
      </w:r>
      <w:r>
        <w:t xml:space="preserve">. Corán 4:58 y 8:27, en </w:t>
      </w:r>
      <w:r>
        <w:t>3.2</w:t>
      </w:r>
      <w:r>
        <w:t>.</w:t>
      </w:r>
    </w:p>
    <w:p>
      <w:pPr>
        <w:pStyle w:val="ListBullet2"/>
      </w:pPr>
      <w:r>
        <w:rPr>
          <w:b/>
        </w:rPr>
        <w:t>Persia:</w:t>
      </w:r>
      <w:r>
        <w:t xml:space="preserve"> «no rompas el contrato, ni el que hiciste con un infiel ni el que hiciste con uno de tu fe»</w:t>
      </w:r>
      <w:r>
        <w:t xml:space="preserve"> (Avesta, Mihr Yasht 10.2)</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y, si la víctima murió, a sus herederos</w:t>
      </w:r>
      <w:r>
        <w:t xml:space="preserve"> (Mishná, Bava Kamma 9:5)</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t xml:space="preserve"> (Corán 53:39, traducción de Julio Cortés)</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t xml:space="preserve"> (Corán 5:42 y 5:63, traducción de Julio Cortés)</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t xml:space="preserve"> (Corán 2:185, traducción de Julio Cortés)</w:t>
      </w:r>
      <w:r>
        <w:t>; el Profeta «les libera de sus cargas y de las cadenas que sobre ellos pesaban»</w:t>
      </w:r>
      <w:r>
        <w:t xml:space="preserve"> (Corán 7:157, traducción de Julio Cortés)</w:t>
      </w:r>
      <w:r>
        <w:t>; Dios «no os ha impuesto ninguna carga en la religión»</w:t>
      </w:r>
      <w:r>
        <w:t xml:space="preserve"> (Corán 22:78, traducción de Julio Cortés)</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t xml:space="preserve"> (Sahih Muslim 1847; fuente secundaria)</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t xml:space="preserve"> (Talmud, Bava Kamma 113a)</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t xml:space="preserve"> (Mencio 1B8)</w:t>
      </w:r>
      <w:r>
        <w:t>.</w:t>
      </w:r>
    </w:p>
    <w:p>
      <w:pPr>
        <w:pStyle w:val="ListBullet2"/>
      </w:pPr>
      <w:r>
        <w:t>El gobernante es la barca y el pueblo, el agua: «el agua la sostiene y el agua la vuelca»</w:t>
      </w:r>
      <w:r>
        <w:t xml:space="preserve"> (Xunzi, 王制)</w:t>
      </w:r>
      <w:r>
        <w:t>.</w:t>
      </w:r>
    </w:p>
    <w:p>
      <w:pPr>
        <w:pStyle w:val="ListBullet2"/>
      </w:pPr>
      <w:r>
        <w:t>«El Cielo ve como ve mi pueblo; el Cielo oye como oye mi pueblo»</w:t>
      </w:r>
      <w:r>
        <w:t xml:space="preserve"> (Mencio 5A5)</w:t>
      </w:r>
      <w:r>
        <w:t>.</w:t>
      </w:r>
    </w:p>
    <w:p>
      <w:pPr>
        <w:pStyle w:val="ListBullet2"/>
      </w:pPr>
      <w:r>
        <w:t>Los jefes no se pusieron para engrosar sus rangos y salarios, sino «para procurar el beneficio y quitar el daño a todo el pueblo»</w:t>
      </w:r>
      <w:r>
        <w:t xml:space="preserve"> (Mozi, 尚同中)</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y el señor sabio «toma del pueblo con límite fijo»</w:t>
      </w:r>
      <w:r>
        <w:t xml:space="preserve"> (Mencio 3A3)</w:t>
      </w:r>
      <w:r>
        <w:t>.</w:t>
      </w:r>
    </w:p>
    <w:p>
      <w:pPr>
        <w:pStyle w:val="ListBullet2"/>
      </w:pPr>
      <w:r>
        <w:t>Cargar más que el camino de los reyes sabios Yao y Shun «es un gran Jie o un pequeño Jie»</w:t>
      </w:r>
      <w:r>
        <w:t>, es decir, un tirano</w:t>
      </w:r>
      <w:r>
        <w:t xml:space="preserve"> (Mencio 6B10)</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t xml:space="preserve"> (Mencio 3B8)</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palabras que Xunzi atribuye a Confucio</w:t>
      </w:r>
      <w:r>
        <w:t xml:space="preserve"> (Xunzi, 宥坐)</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t xml:space="preserve"> (Xunzi, 君道)</w:t>
      </w:r>
      <w:r>
        <w:t>.</w:t>
      </w:r>
    </w:p>
    <w:p>
      <w:pPr>
        <w:pStyle w:val="ListBullet2"/>
      </w:pPr>
      <w:r>
        <w:t>En el equinoccio «se unifican las medidas y se igualan las balanzas»</w:t>
      </w:r>
      <w:r>
        <w:t xml:space="preserve"> (Libro de los Ritos, 月令)</w:t>
      </w:r>
      <w:r>
        <w:t>.</w:t>
      </w:r>
    </w:p>
    <w:p>
      <w:pPr>
        <w:pStyle w:val="ListBullet2"/>
      </w:pPr>
      <w:r>
        <w:t>«Los tiranos y los funcionarios corruptos siempre descuidan los linderos»</w:t>
      </w:r>
      <w:r>
        <w:t xml:space="preserve"> (Mencio 3A3)</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o se quedará mirando cómo mueren</w:t>
      </w:r>
      <w:r>
        <w:t xml:space="preserve"> (Mencio 2B4)</w:t>
      </w:r>
      <w:r>
        <w:t>.</w:t>
      </w:r>
    </w:p>
    <w:p>
      <w:pPr>
        <w:pStyle w:val="ListBullet2"/>
      </w:pPr>
      <w:r>
        <w:t>Es noble aquel a quien «se le puede confiar un huérfano»</w:t>
      </w:r>
      <w:r>
        <w:t xml:space="preserve"> (Analectas 8.6)</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y dijo a su señor que así le había comprado la justicia</w:t>
      </w:r>
      <w:r>
        <w:t xml:space="preserve"> (Estrategias de los Reinos Combatientes, Feng Xuan)</w:t>
      </w:r>
      <w:r>
        <w:t>.</w:t>
      </w:r>
    </w:p>
    <w:p>
      <w:pPr>
        <w:pStyle w:val="ListBullet2"/>
      </w:pPr>
      <w:r>
        <w:t>«El sabio guarda la mitad izquierda del contrato y no reclama a los demás»</w:t>
      </w:r>
      <w:r>
        <w:t xml:space="preserve"> (Daodejing 79)</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t xml:space="preserve"> (Mencio 1B5)</w:t>
      </w:r>
      <w:r>
        <w:t>.</w:t>
      </w:r>
    </w:p>
    <w:p>
      <w:pPr>
        <w:pStyle w:val="ListBullet2"/>
      </w:pPr>
      <w:r>
        <w:t>«El castigo no excedía el delito»</w:t>
      </w:r>
      <w:r>
        <w:t>; en los tiempos de desorden, «si uno delinque, se extermina a los tres clanes»</w:t>
      </w:r>
      <w:r>
        <w:t xml:space="preserve"> (Xunzi, 君子)</w:t>
      </w:r>
      <w:r>
        <w:t>.</w:t>
      </w:r>
    </w:p>
    <w:p>
      <w:pPr>
        <w:pStyle w:val="ListBullet2"/>
      </w:pPr>
      <w:r>
        <w:t>«Si todos lo odian, hay que examinarlo»</w:t>
      </w:r>
      <w:r>
        <w:t xml:space="preserve"> (Analectas 15.27)</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y quien incurre en ellos comete un delito igual al del reo; y «lo que se gana con los pleitos no es un tesoro»: acumula culpa</w:t>
      </w:r>
      <w:r>
        <w:t xml:space="preserve"> (Libro de los Documentos, 呂刑)</w:t>
      </w:r>
      <w:r>
        <w:t>.</w:t>
      </w:r>
    </w:p>
    <w:p>
      <w:pPr>
        <w:pStyle w:val="ListBullet2"/>
      </w:pPr>
      <w:r>
        <w:t>Esperar a que el pueblo sin medios caiga en delito para castigarlo «es tenderle una red al pueblo»</w:t>
      </w:r>
      <w:r>
        <w:t xml:space="preserve"> (Mencio 3A3)</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t xml:space="preserve"> (Comentario de Zuo, duque Zhao, año 6)</w:t>
      </w:r>
      <w:r>
        <w:t xml:space="preserve">; el mismo pasaje, «cuando un Estado va a perecer, multiplica sus reglamentos», está en </w:t>
      </w:r>
      <w:r>
        <w:t>3.2</w:t>
      </w:r>
      <w:r>
        <w:t>.</w:t>
      </w:r>
    </w:p>
    <w:p>
      <w:pPr>
        <w:pStyle w:val="ListBullet2"/>
      </w:pPr>
      <w:r>
        <w:t>«Cuantos más castigos, menos se vence el mal»</w:t>
      </w:r>
      <w:r>
        <w:t xml:space="preserve"> (Xunzi, 宥坐)</w:t>
      </w:r>
      <w:r>
        <w:t>.</w:t>
      </w:r>
    </w:p>
    <w:p>
      <w:pPr>
        <w:pStyle w:val="ListBullet2"/>
      </w:pPr>
      <w:r>
        <w:t>Los gobernantes de hoy cargan pesos excesivos y castigan al que no puede; «sin bienes, [el pueblo] roba»: ¿a quién hay que culpar?</w:t>
      </w:r>
      <w:r>
        <w:t xml:space="preserve"> (Zhuangzi, 則陽)</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a los que opinaban sobre las leyes los desterró, y después «nadie se atrevió a opinar sobre las órdenes»</w:t>
      </w:r>
      <w:r>
        <w:t xml:space="preserve"> (Shiji 68)</w:t>
      </w:r>
      <w:r>
        <w:t>.</w:t>
      </w:r>
    </w:p>
    <w:p>
      <w:pPr>
        <w:pStyle w:val="ListBullet2"/>
      </w:pPr>
      <w:r>
        <w:t>Han Feizi defiende «agravar las penas para prohibir el mal»</w:t>
      </w:r>
      <w:r>
        <w:t xml:space="preserve"> y la recaudación «para llenar los graneros»</w:t>
      </w:r>
      <w:r>
        <w:t>, y dice que la inteligencia del pueblo no sirve, porque es «como la mente de un niño de pecho»</w:t>
      </w:r>
      <w:r>
        <w:t xml:space="preserve"> (Han Feizi, 顯學)</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t xml:space="preserve"> (Código de Hammurabi, epílogo)</w:t>
      </w:r>
      <w:r>
        <w:t>.</w:t>
      </w:r>
    </w:p>
    <w:p>
      <w:pPr>
        <w:pStyle w:val="ListBullet2"/>
      </w:pPr>
      <w:r>
        <w:t>«El huérfano no será sometido al rico»</w:t>
      </w:r>
      <w:r>
        <w:t xml:space="preserve"> (Código de Ur-Namma, líneas 162-163)</w:t>
      </w:r>
      <w:r>
        <w:t>; y Urukagina dice lo mismo de la viuda y el huérfano frente al poderoso.</w:t>
      </w:r>
    </w:p>
    <w:p>
      <w:pPr>
        <w:pStyle w:val="ListBullet2"/>
      </w:pPr>
      <w:r>
        <w:t>Dios hizo para los hombres gobernantes, «un sostén para sostener la espalda del débil»</w:t>
      </w:r>
      <w:r>
        <w:t xml:space="preserve"> (Enseñanza para Merikare)</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t xml:space="preserve"> (Aristóteles, Política V, 1313b)</w:t>
      </w:r>
      <w:r>
        <w:t>.</w:t>
      </w:r>
    </w:p>
    <w:p>
      <w:pPr>
        <w:pStyle w:val="ListBullet2"/>
      </w:pPr>
      <w:r>
        <w:t>Hay que esforzarse para que no haya que imponer el tributo «por la escasez del erario»</w:t>
      </w:r>
      <w:r>
        <w:t xml:space="preserve"> (Cicerón, De officiis II, 74)</w:t>
      </w:r>
      <w:r>
        <w:t>.</w:t>
      </w:r>
    </w:p>
    <w:p>
      <w:pPr>
        <w:pStyle w:val="ListBullet2"/>
      </w:pPr>
      <w:r>
        <w:t>Pisístrato «cargó al pueblo lo menos posible»</w:t>
      </w:r>
      <w:r>
        <w:t xml:space="preserve"> (Constitución de los atenienses 16)</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t xml:space="preserve"> (El Campesino Elocuente)</w:t>
      </w:r>
      <w:r>
        <w:t>.</w:t>
      </w:r>
    </w:p>
    <w:p>
      <w:pPr>
        <w:pStyle w:val="ListBullet2"/>
      </w:pPr>
      <w:r>
        <w:t>En Atenas, los inspectores de pesos y medidas, elegidos por sorteo, «vigilan que los vendedores usen pesos y medidas justos»</w:t>
      </w:r>
      <w:r>
        <w:t xml:space="preserve"> (Constitución de los atenienses 51)</w:t>
      </w:r>
      <w:r>
        <w:t>.</w:t>
      </w:r>
    </w:p>
    <w:p>
      <w:pPr>
        <w:pStyle w:val="ListBullet2"/>
      </w:pPr>
      <w:r>
        <w:t>«Toma medida justa de tu vecino y devuélvele con justicia la misma medida»</w:t>
      </w:r>
      <w:r>
        <w:t xml:space="preserve"> (Hesíodo, Trabajos y días 349-350)</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t xml:space="preserve"> (Constitución de los atenienses 6)</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t xml:space="preserve"> (Séneca, De ira I, 18)</w:t>
      </w:r>
      <w:r>
        <w:t>.</w:t>
      </w:r>
    </w:p>
    <w:p>
      <w:pPr>
        <w:pStyle w:val="ListBullet2"/>
      </w:pPr>
      <w:r>
        <w:t>«Toma al hombre por sus actos»</w:t>
      </w:r>
      <w:r>
        <w:t xml:space="preserve"> (Enseñanza para Merikare)</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t xml:space="preserve"> (Trabajos y días 263-264)</w:t>
      </w:r>
      <w:r>
        <w:t xml:space="preserve">; su «enderezad vuestras sentencias», en </w:t>
      </w:r>
      <w:r>
        <w:t>3.2</w:t>
      </w:r>
      <w:r>
        <w:t>.</w:t>
      </w:r>
    </w:p>
    <w:p>
      <w:pPr>
        <w:pStyle w:val="ListBullet2"/>
      </w:pPr>
      <w:r>
        <w:t>La ley dice: «no prestes ningún servicio a cambio de regalos»</w:t>
      </w:r>
      <w:r>
        <w:t xml:space="preserve"> (Platón, Leyes XII, 955d)</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t xml:space="preserve"> (Tácito, Anales III, 25)</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t xml:space="preserve"> (Código de Hammurabi § 210)</w:t>
      </w:r>
      <w:r>
        <w:t>; y «a menudo toda una ciudad sufre por un solo malvado»</w:t>
      </w:r>
      <w:r>
        <w:t xml:space="preserve"> (Hesíodo, Trabajos y días 240)</w:t>
      </w:r>
      <w:r>
        <w:t xml:space="preserve">. Séneca (De ira I, 19), en </w:t>
      </w:r>
      <w:r>
        <w:t>3.2</w:t>
      </w:r>
      <w:r>
        <w:t>.</w:t>
      </w:r>
    </w:p>
    <w:p>
      <w:pPr>
        <w:pStyle w:val="ListBullet2"/>
      </w:pPr>
      <w:r>
        <w:t xml:space="preserve">Contra P5: el depósito que no se devuelve al que ha enloquecido (Cicerón), en </w:t>
      </w:r>
      <w:r>
        <w:t>3.2</w:t>
      </w:r>
      <w:r>
        <w: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t xml:space="preserve"> (Instrucciones de Shuruppak, líneas 28-31 (The Electronic Text Corpus of Sumerian Literature [Corpus electrónico de la literatura sumeria], Universidad de Oxford, c.5.6.1))</w:t>
      </w:r>
      <w:r>
        <w:t>. Sus tablillas más antiguas son de hacia 2600 a. C., una fecha que su editor da como «no más que una sugerencia»</w:t>
      </w:r>
      <w:r>
        <w:t xml:space="preserve"> (R. D. Biggs, Inscriptions from Tell Abū Ṣalābīkh (Inscripciones de Tell Abu Salabikh), Chicago, 1974, p. 26)</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t xml:space="preserve"> (Máximas de Ptahhotep 19 y 20, vv. 300 y 317 (Z. Žába, Les Maximes de Ptahhotep [Las máximas de Ptahhotep], Praga, 1956; la fecha, p. 1))</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t xml:space="preserve"> (Musonio Rufo, Disertación XI (O. Hense, C. Musonii Rufi reliquiae [Restos de Musonio Rufo], Leipzig, 1905, p. 60))</w:t>
      </w:r>
      <w:r>
        <w:t>, y tuvo por el medio de vida más apropiado para el filósofo el que sale del campo</w:t>
      </w:r>
      <w:r>
        <w:t xml:space="preserve"> (ídem, p. 63)</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t xml:space="preserve"> (Biblioteca del Congreso de Estados Unidos, registro de autoridad de al-Bujari)</w:t>
      </w:r>
      <w:r>
        <w:t>. No todos son independientes: el Talmud comenta la Biblia, Musonio heredó a los griegos y el hadiz nombra a David. Pero al menos tres lo escribieron sin haberse leído entre sí: Grecia, Israel y la India (</w:t>
      </w:r>
      <w:r>
        <w:t>3.1</w:t>
      </w:r>
      <w:r>
        <w:t>).</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t xml:space="preserve"> (Digha Nikaya 27, traducción de Baron)</w:t>
      </w:r>
      <w:r>
        <w:t>.</w:t>
      </w:r>
    </w:p>
    <w:p>
      <w:pPr>
        <w:pStyle w:val="ListBullet2"/>
      </w:pPr>
      <w:r>
        <w:t>«El rey que no protege a sus súbditos es en verdad un ladrón»</w:t>
      </w:r>
      <w:r>
        <w:t xml:space="preserve"> (Mahabharata 12.137.96)</w:t>
      </w:r>
      <w:r>
        <w:t>.</w:t>
      </w:r>
    </w:p>
    <w:p>
      <w:pPr>
        <w:pStyle w:val="ListBullet2"/>
      </w:pPr>
      <w:r>
        <w:t>El rey que dice a su pueblo que es su protector, y no lo protege o no puede, «debería morir a manos de sus súbditos unidos»</w:t>
      </w:r>
      <w:r>
        <w:t xml:space="preserve"> (Mahabharata 13.60.20)</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t xml:space="preserve"> (Leyes de Manu VIII, 336)</w:t>
      </w:r>
      <w:r>
        <w:t>.</w:t>
      </w:r>
    </w:p>
    <w:p>
      <w:pPr>
        <w:pStyle w:val="ListBullet2"/>
      </w:pPr>
      <w:r>
        <w:t>Guru Nanak: «los reyes son tigres, y sus oficiales, perros»; y en la Corte del Señor, «los que traicionaron la confianza del pueblo quedarán deshonrados»</w:t>
      </w:r>
      <w:r>
        <w:t xml:space="preserve"> (Guru Granth Sahib, Ang 1288)</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t xml:space="preserve"> (Jataka 520)</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t xml:space="preserve"> (Arthashastra 5.2.70)</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t xml:space="preserve"> (Arthashastra 2.1)</w:t>
      </w:r>
      <w:r>
        <w:t xml:space="preserve">. </w:t>
      </w:r>
      <w:r>
        <w:rPr>
          <w:b/>
        </w:rPr>
        <w:t>Cautela:</w:t>
      </w:r>
      <w:r>
        <w:t xml:space="preserve"> el motivo que da el texto es fiscal.</w:t>
      </w:r>
    </w:p>
    <w:p>
      <w:pPr>
        <w:pStyle w:val="ListBullet2"/>
      </w:pPr>
      <w:r>
        <w:t>En el jainismo, «sobrecargar» a personas y bestias es una falta contra el voto de no violencia</w:t>
      </w:r>
      <w:r>
        <w:t xml:space="preserve"> (Tattvartha Sutra 7.20)</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t xml:space="preserve"> (Tattvartha Sutra 7.22)</w:t>
      </w:r>
      <w:r>
        <w:t>.</w:t>
      </w:r>
    </w:p>
    <w:p>
      <w:pPr>
        <w:pStyle w:val="ListBullet2"/>
      </w:pPr>
      <w:r>
        <w:t>Kabir: «no miden con la cinta completa y cobran grandes sobornos»</w:t>
      </w:r>
      <w:r>
        <w:t xml:space="preserve"> (Guru Granth Sahib, Ang 793)</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t xml:space="preserve"> (Arthashastra 3.12)</w:t>
      </w:r>
      <w:r>
        <w:t>.</w:t>
      </w:r>
    </w:p>
    <w:p>
      <w:pPr>
        <w:pStyle w:val="ListBullet2"/>
      </w:pPr>
      <w:r>
        <w:t>Quien, al reclamarle la deuda, huye diciendo «¡no te debo nada!» es un paria</w:t>
      </w:r>
      <w:r>
        <w:t xml:space="preserve"> (Sutta Nipata 1.7:8)</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t xml:space="preserve"> (Vasishtha 2.49)</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t xml:space="preserve"> (Mahabharata 12.259.9-10)</w:t>
      </w:r>
      <w:r>
        <w:t>: por eso el rey debe reflexionar a fondo antes de castigar.</w:t>
      </w:r>
    </w:p>
    <w:p>
      <w:pPr>
        <w:pStyle w:val="ListBullet2"/>
      </w:pPr>
      <w:r>
        <w:t>Antes de castigar hay que averiguar el motivo, el tiempo y el lugar</w:t>
      </w:r>
      <w:r>
        <w:t xml:space="preserve"> (Leyes de Manu VIII, 126)</w:t>
      </w:r>
      <w:r>
        <w:t>; y si se castiga a un inocente, el rey ayuna tres días</w:t>
      </w:r>
      <w:r>
        <w:t xml:space="preserve"> (Vasishtha 19.42-43)</w:t>
      </w:r>
      <w:r>
        <w:t>.</w:t>
      </w:r>
    </w:p>
    <w:p>
      <w:pPr>
        <w:pStyle w:val="ListBullet2"/>
      </w:pPr>
      <w:r>
        <w:t>Ashoka: «aun cumpliendo la ley, algunos son encarcelados, maltratados e incluso muertos sin causa»</w:t>
      </w:r>
      <w:r>
        <w:t xml:space="preserve"> (Ashoka, edicto separado de Kalinga I)</w:t>
      </w:r>
      <w:r>
        <w:t>; y pide «igualdad en la ley y en las penas»</w:t>
      </w:r>
      <w:r>
        <w:t xml:space="preserve"> (Ashoka, edicto de la columna IV)</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t xml:space="preserve"> (Leyes de Manu IX, 246)</w:t>
      </w:r>
      <w:r>
        <w:t>.</w:t>
      </w:r>
    </w:p>
    <w:p>
      <w:pPr>
        <w:pStyle w:val="ListBullet2"/>
      </w:pPr>
      <w:r>
        <w:t>«No eres justo por juzgar con precipitación»</w:t>
      </w:r>
      <w:r>
        <w:t xml:space="preserve"> (Dhammapada 256-257)</w:t>
      </w:r>
      <w:r>
        <w:t>; según el comentario, los versos nacen al ver a unos «señores de la justicia que aceptaban sobornos»</w:t>
      </w:r>
      <w:r>
        <w:t xml:space="preserve"> (comentario al Dhammapada)</w:t>
      </w:r>
      <w:r>
        <w:t>.</w:t>
      </w:r>
    </w:p>
    <w:p>
      <w:pPr>
        <w:pStyle w:val="ListBullet2"/>
      </w:pPr>
      <w:r>
        <w:t>Guru Nanak: «se hacen jueces y se sientan a impartir justicia […]; aceptan sobornos y niegan el derecho»</w:t>
      </w:r>
      <w:r>
        <w:t xml:space="preserve"> (Guru Granth Sahib, Ang 951)</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t xml:space="preserve"> (Majjhima Nikaya 65)</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t xml:space="preserve"> (Digha Nikaya 16)</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t xml:space="preserve"> (Arthashastra 5.2)</w:t>
      </w:r>
      <w:r>
        <w:t>.</w:t>
      </w:r>
    </w:p>
    <w:p>
      <w:pPr>
        <w:pStyle w:val="ListBullet2"/>
      </w:pPr>
      <w:r>
        <w:t>Contra P7: «estas son las dieciocho clases de tortura»</w:t>
      </w:r>
      <w:r>
        <w:t xml:space="preserve"> (Arthashastra 4.8)</w:t>
      </w:r>
      <w:r>
        <w:t>; pero el mismo capítulo pide «pruebas concluyentes»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t xml:space="preserve"> (Mahabharata 12.72.21)</w:t>
      </w:r>
      <w:r>
        <w:t>.</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t xml:space="preserve"> (Malo, Antigüedades hawaianas XVIII, 3)</w:t>
      </w:r>
      <w:r>
        <w:t>; y «antiguamente el pueblo hacía la guerra a los malos reyes»</w:t>
      </w:r>
      <w:r>
        <w:t xml:space="preserve"> (Malo, Antigüedades hawaianas XVIII, 45)</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t xml:space="preserve"> (Casalis, Los basutos, p. 155)</w:t>
      </w:r>
      <w:r>
        <w:t>, y deben, con sus rebaños, «alimentar a los pobres»</w:t>
      </w:r>
      <w:r>
        <w:t xml:space="preserve"> (Casalis, Los basutos, p. 216)</w:t>
      </w:r>
      <w:r>
        <w:t>.</w:t>
      </w:r>
    </w:p>
    <w:p>
      <w:pPr>
        <w:pStyle w:val="ListBullet2"/>
      </w:pPr>
      <w:r>
        <w:rPr>
          <w:b/>
        </w:rPr>
        <w:t>Los yorubas de Oyó:</w:t>
      </w:r>
      <w:r>
        <w:t xml:space="preserve"> el poder del rey «debe ejercerse dentro del límite de la constitución no escrita»</w:t>
      </w:r>
      <w:r>
        <w:t>, y si es tiránico, el Basorun, «como portavoz del pueblo», propone su rechazo</w:t>
      </w:r>
      <w:r>
        <w:t xml:space="preserve"> (Johnson, Historia de los yorubas, p. 70)</w:t>
      </w:r>
      <w:r>
        <w:t>.</w:t>
      </w:r>
    </w:p>
    <w:p>
      <w:pPr>
        <w:pStyle w:val="ListBullet2"/>
      </w:pPr>
      <w:r>
        <w:rPr>
          <w:b/>
        </w:rPr>
        <w:t>Los iroqueses:</w:t>
      </w:r>
      <w:r>
        <w:t xml:space="preserve"> «esta sarta de wampum da al pueblo el derecho de corregir a sus señores extraviados»</w:t>
      </w:r>
      <w:r>
        <w:t xml:space="preserve"> (Gran Ley de la Paz, art. 59)</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y no aceptar el consejo de los suyos «era causa legítima de destronamiento»</w:t>
      </w:r>
      <w:r>
        <w:t xml:space="preserve"> (Rattray, Derecho y constitución ashanti, p. 82)</w:t>
      </w:r>
      <w:r>
        <w:t>.</w:t>
      </w:r>
    </w:p>
    <w:p>
      <w:pPr>
        <w:pStyle w:val="ListBullet2"/>
      </w:pPr>
      <w:r>
        <w:rPr>
          <w:b/>
        </w:rPr>
        <w:t>Los mexicas:</w:t>
      </w:r>
      <w:r>
        <w:t xml:space="preserve"> el señor es nombrado «padre y madre de este reino», y ha de sustentar al pueblo «como á niños que están en la cuna»</w:t>
      </w:r>
      <w:r>
        <w:t xml:space="preserve"> (Sahagún, Historia general VI, cap. X)</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t xml:space="preserve"> (Garcilaso, Comentarios reales V, cap. XV)</w:t>
      </w:r>
      <w:r>
        <w:t>; y «no era justo pedir a los vasallos lo que no tenían de cosecha»</w:t>
      </w:r>
      <w:r>
        <w:t xml:space="preserve"> (Garcilaso, Comentarios reales V, cap. VI)</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t xml:space="preserve"> (Malo XXXVIII, 52)</w:t>
      </w:r>
      <w:r>
        <w:t>; y varios reyes perdieron la vida «por sus crueles exacciones sobre el pueblo llano»</w:t>
      </w:r>
      <w:r>
        <w:t xml:space="preserve"> (Malo XXXVIII, 68)</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t xml:space="preserve"> (Garcilaso V, cap. XV)</w:t>
      </w:r>
      <w:r>
        <w:t>.</w:t>
      </w:r>
    </w:p>
    <w:p>
      <w:pPr>
        <w:pStyle w:val="ListBullet2"/>
      </w:pPr>
      <w:r>
        <w:t>Había jueces en cada pueblo para que el pobre no tuviera que salir a pleitear, porque «muchas veces monta más esto que lo que van a pedir»</w:t>
      </w:r>
      <w:r>
        <w:t xml:space="preserve"> (Garcilaso II, cap. XIII)</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t xml:space="preserve"> (Hernán Cortés, Segunda carta, 1520)</w:t>
      </w:r>
      <w:r>
        <w:t>.</w:t>
      </w:r>
    </w:p>
    <w:p>
      <w:pPr>
        <w:pStyle w:val="ListBullet2"/>
      </w:pPr>
      <w:r>
        <w:t>El señor cuidaba el mercado «por amor de la gente popular […] para que nadie los hiciese fraude»</w:t>
      </w:r>
      <w:r>
        <w:t xml:space="preserve"> (Sahagún VIII, cap. XXXVI)</w:t>
      </w:r>
      <w:r>
        <w:t>.</w:t>
      </w:r>
    </w:p>
    <w:p>
      <w:pPr>
        <w:pStyle w:val="ListBullet"/>
      </w:pPr>
      <w:r>
        <w:rPr>
          <w:b/>
        </w:rPr>
        <w:t>P5. Devolver lo confiado</w:t>
      </w:r>
      <w:r>
        <w:t xml:space="preserve"> (un punto débil). </w:t>
      </w:r>
    </w:p>
    <w:p>
      <w:pPr>
        <w:pStyle w:val="ListBullet2"/>
      </w:pPr>
      <w:r>
        <w:t>Si el animal del vecino entra entre tus bienes, «hazlo volver a él»</w:t>
      </w:r>
      <w:r>
        <w:t>; y si no sabes de quién es, cuídalo hasta saberlo, y entonces devuélveselo</w:t>
      </w:r>
      <w:r>
        <w:t xml:space="preserve"> (Kebra Nagast, cap. 90)</w:t>
      </w:r>
      <w:r>
        <w:t>.</w:t>
      </w:r>
    </w:p>
    <w:p>
      <w:pPr>
        <w:pStyle w:val="ListBullet2"/>
      </w:pPr>
      <w:r>
        <w:t>El súbdito que guarda los rebaños del jefe debe «presentarlos a su verdadero dueño»</w:t>
      </w:r>
      <w:r>
        <w:t xml:space="preserve"> cuando este quiera</w:t>
      </w:r>
      <w:r>
        <w:t xml:space="preserve"> (Casalis, p. 155)</w:t>
      </w:r>
      <w:r>
        <w:t>; y el robo se repara con restitución y multa, en algunas tribus «de cuatro a uno»</w:t>
      </w:r>
      <w:r>
        <w:t xml:space="preserve"> (Casalis, p. 228)</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t xml:space="preserve"> (Sahagún VIII, cap. XIV)</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t xml:space="preserve"> (Garcilaso V, cap. XI)</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t xml:space="preserve"> (Garcilaso II, cap. XIII)</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t xml:space="preserve"> (Casalis, p. 226)</w:t>
      </w:r>
      <w:r>
        <w:t>, y «las causas se discuten siempre en público»</w:t>
      </w:r>
      <w:r>
        <w:t xml:space="preserve"> (Casalis, p. 230)</w:t>
      </w:r>
      <w:r>
        <w:t>.</w:t>
      </w:r>
    </w:p>
    <w:p>
      <w:pPr>
        <w:pStyle w:val="ListBullet2"/>
      </w:pPr>
      <w:r>
        <w:t>Los jueces mexicas pedían primero «la pintura en que estaban escritas ó pintadas las causas», y después los testigos</w:t>
      </w:r>
      <w:r>
        <w:t xml:space="preserve"> (Sahagún VIII, cap. XV)</w:t>
      </w:r>
      <w:r>
        <w:t>; y al señor se le aconsejaba: «antes debes quedar atrás en el castigo y ejecución del que no pasar adelante»</w:t>
      </w:r>
      <w:r>
        <w:t xml:space="preserve"> (Sahagún VI, cap. X)</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t xml:space="preserve"> (Garcilaso II, cap. XIII)</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t xml:space="preserve"> (Sahagún VIII, caps. XIV y XV)</w:t>
      </w:r>
      <w:r>
        <w:t>.</w:t>
      </w:r>
    </w:p>
    <w:p>
      <w:pPr>
        <w:pStyle w:val="ListBullet2"/>
      </w:pPr>
      <w:r>
        <w:t>«Cuando te pongas a juzgar, no ames los regalos, es decir, los sobornos»</w:t>
      </w:r>
      <w:r>
        <w:t xml:space="preserve"> (Kebra Nagast, cap. 41)</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t xml:space="preserve"> (Casalis, p. 228)</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t xml:space="preserve"> (Malo XVIII, 65)</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t xml:space="preserve"> (Malo XVIII, 46)</w:t>
      </w:r>
      <w:r>
        <w:t>, y el pueblo vivía «siempre cargado con una exacción u otra»</w:t>
      </w:r>
      <w:r>
        <w:t xml:space="preserve"> (Malo XIX, 6)</w:t>
      </w:r>
      <w:r>
        <w:t>. La «ley común» y la «ley casera» de los incas, en 3.2; y la misma ley mandaba comer «las puertas abiertas», para que los ministros de los jueces entraran a inspeccionar las casas</w:t>
      </w:r>
      <w:r>
        <w:t xml:space="preserve"> (Garcilaso V, cap. XI)</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t xml:space="preserve"> (Casalis, p. 231)</w:t>
      </w:r>
      <w:r>
        <w:t>.</w:t>
      </w:r>
    </w:p>
    <w:p>
      <w:pPr>
        <w:pStyle w:val="ListBullet2"/>
      </w:pPr>
      <w:r>
        <w:rPr>
          <w:b/>
        </w:rPr>
        <w:t>Contra P7:</w:t>
      </w:r>
      <w:r>
        <w:t xml:space="preserve"> por la culpa del mayordomo, echaban de la casa a sus hijos y parientes, y «la casa con toda la hacienda se aplicaba al señor»</w:t>
      </w:r>
      <w:r>
        <w:t xml:space="preserve"> (Sahagún VIII, cap. XIX)</w:t>
      </w:r>
      <w:r>
        <w:t>; y en la Kebra Nagast, «él, su mujer y sus hijos serán condenados»</w:t>
      </w:r>
      <w:r>
        <w:t xml:space="preserve"> (Kebra Nagast, cap. 89)</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t xml:space="preserve"> (Rattray, cap. XIV)</w:t>
      </w:r>
      <w:r>
        <w:t>; y entre los basutos, la pena de muerte por homicidio se conmutaba, por lo general, «por la confiscación»</w:t>
      </w:r>
      <w:r>
        <w:t xml:space="preserve"> (Casalis, p. 228)</w:t>
      </w:r>
      <w:r>
        <w:t>.</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escribió Franz Boas en 1896. Y el mismo Boas pone el límite: «los mismos fenómenos pueden desarrollarse de muchísimas maneras»</w:t>
      </w:r>
      <w:r>
        <w:t xml:space="preserve"> (F. Boas, «The Limitations of the Comparative Method of Anthropology» (Los límites del método comparativo en antropología), Science, 1896, en Race, Language and Culture, 1940, pp. 271 y 273)</w:t>
      </w:r>
      <w:r>
        <w:t>, de modo que el parecido no prueba una misma causa. Con esa doble cautela se leen las tradiciones que siguen, cada una con su fuente.</w:t>
      </w:r>
    </w:p>
    <w:p>
      <w:r>
        <w:rPr>
          <w:b/>
        </w:rPr>
        <w:t>Los inuit.</w:t>
      </w:r>
      <w:r>
        <w:t xml:space="preserve"> «Los ancianos describen los maligait, las leyes naturales, como las leyes más fundamentales arraigadas en la sociedad inuit»</w:t>
      </w:r>
      <w:r>
        <w:t>. El marco educativo del Gobierno de Nunavut los resume en cuatro: trabajar por el bien común, respetar a todos los seres vivos, mantener la armonía, y planificar y prepararse continuamente para un futuro mejor</w:t>
      </w:r>
      <w:r>
        <w:t xml:space="preserve"> (Departamento de Educación de Nunavut, Inuit Qaujimajatuqangit Education Framework for Nunavut Curriculum (Marco educativo del conocimiento tradicional inuit), 2007)</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t xml:space="preserve"> (J. Oosten y otros, Inuit Laws: Tirigusuusiit, Piqujait and Maligait (Leyes inuit), Nunavut Arctic College Media, 2017, ficha editorial)</w:t>
      </w:r>
      <w:r>
        <w:t>.</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t xml:space="preserve"> (Luther Standing Bear, My People the Sioux (Mi pueblo, los sioux), 1928, p. 158)</w:t>
      </w:r>
      <w:r>
        <w:t>; el mismo autor valoró después la propiedad de los lotes individuales, y así se dice</w:t>
      </w:r>
      <w:r>
        <w:t xml:space="preserve"> (ídem, pp. 216-217)</w:t>
      </w:r>
      <w:r>
        <w:t>. La Confederación Haudenosaunee (iroquesa), de los Bosques del Este, en el norte del actual estado de Nueva York</w:t>
      </w:r>
      <w:r>
        <w:t xml:space="preserve"> (P. G. Ramsden, «Haudenosaunee (Iroquois)», The Canadian Encyclopedia, 2006; fuente secundaria)</w:t>
      </w:r>
      <w:r>
        <w:t>, fijó en su Gran Ley de la Paz que los clanes son «los únicos dueños y poseedores del suelo del país», que les corresponde «como derecho de nacimiento»</w:t>
      </w:r>
      <w:r>
        <w:t xml:space="preserve"> (Gran Ley de la Paz, art. 42, en Parker, 1916)</w:t>
      </w:r>
      <w:r>
        <w:t>, y que las mujeres «serán dueñas de la tierra y del suelo»</w:t>
      </w:r>
      <w:r>
        <w:t xml:space="preserve"> (Gran Ley de la Paz, art. 44)</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t xml:space="preserve"> (Gran Ley de la Paz, art. 8; Confederación Haudenosaunee, «Who we are» (Quiénes somos))</w:t>
      </w:r>
      <w:r>
        <w:t>. En Mesoamérica, los mexicas organizaban su tejido social en calpulli: «barrio de gente conocida ó linaje antiguo», cuyas tierras «no son en particular de cada uno del barrio, sino en común del calpulli, y el que las posee no las puede enajenar»</w:t>
      </w:r>
      <w:r>
        <w:t xml:space="preserve"> (Alonso de Zorita, Breve y sumaria relación de los señores de la Nueva España, siglo XVI (ed. García Icazbalceta, 1891), pp. 93-94)</w:t>
      </w:r>
      <w:r>
        <w:t>.</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t xml:space="preserve"> (S. Bryant, Liberty, Order and Law under Native Irish Rule (Libertad, orden y ley bajo el gobierno irlandés nativo), 1923, pp. 33-35; Electronic Dictionary of the Irish Language (Diccionario electrónico de la lengua irlandesa), s. v. éric, enech y eneclann; fuente secundaria)</w:t>
      </w:r>
      <w:r>
        <w:t>. La cárcel, al modo de hoy, no era la vía: la retención por el rey fue su sustituto arcaico</w:t>
      </w:r>
      <w:r>
        <w:t xml:space="preserve"> (Bryant, p. 284)</w:t>
      </w:r>
      <w:r>
        <w:t>.</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Los ancianos de los clanes son a la vez sus legisladores, sus ejecutores y sus jueces, y deciden teniendo en cuenta el delito, su pena prevista y el precedente</w:t>
      </w:r>
      <w:r>
        <w:t xml:space="preserve"> (J. Gundel, The predicament of the 'Oday' (El aprieto de los oday), 2006, pp. iv, 8 y 11)</w:t>
      </w:r>
      <w:r>
        <w:t>. Sigue en uso: en 2024 la UNESCO inscribió en la Lista Representativa del Patrimonio Cultural Inmaterial el Xeer Ciise, «las leyes consuetudinarias orales de las comunidades somalíes issa de Etiopía, Yibuti y Somalia»</w:t>
      </w:r>
      <w:r>
        <w:t>, con tres componentes: una constitución política que reparte el poder y los procesos de decisión, un código penal centrado en la reconciliación y la compensación, y un código de conducta social</w:t>
      </w:r>
      <w:r>
        <w:t xml:space="preserve"> (UNESCO, Patrimonio Cultural Inmaterial, Xeer Ciise (RL 02087, 2024))</w:t>
      </w:r>
      <w:r>
        <w:t>. No es una costumbre aislada: «la sharía islámica está en gran parte integrada en el desarrollo del xeer»</w:t>
      </w:r>
      <w:r>
        <w:t xml:space="preserve"> (Gundel, p. 8)</w:t>
      </w:r>
      <w:r>
        <w:t>.</w:t>
      </w:r>
    </w:p>
    <w:p>
      <w:r>
        <w:rPr>
          <w:b/>
        </w:rPr>
        <w:t>Los Andes, los aborígenes australianos y Sudáfrica.</w:t>
      </w:r>
      <w:r>
        <w:t xml:space="preserve"> En los Andes, el ayni y la mita sostuvieron una economía sin moneda: los incas «ni supieron arrendar, ni comprar ni vender, porque no tuvieron moneda»</w:t>
      </w:r>
      <w:r>
        <w:t xml:space="preserve"> (Garcilaso, Comentarios reales VI, 8)</w:t>
      </w:r>
      <w:r>
        <w:t>. Había ferias de trueque, que «ellos llaman Catu»</w:t>
      </w:r>
      <w:r>
        <w:t xml:space="preserve"> (Garcilaso, Comentarios reales VI, 35)</w:t>
      </w:r>
      <w:r>
        <w:t>, pero no producción para vender</w:t>
      </w:r>
      <w:r>
        <w:t xml:space="preserve"> (J. V. Murra, Reciprocity and Redistribution in Andean Civilizations (Reciprocidad y redistribución en las civilizaciones andinas), 2017, pp. 49-51)</w:t>
      </w:r>
      <w:r>
        <w:t>. El ayni es un servicio que se presta esperando una reciprocidad medida, entre iguales y vecinos; la mita, el trabajo «prestado» por turnos a la comunidad o al Estado</w:t>
      </w:r>
      <w:r>
        <w:t xml:space="preserve"> (Murra, pp. 74-75)</w:t>
      </w:r>
      <w:r>
        <w:t>.</w:t>
      </w:r>
    </w:p>
    <w:p>
      <w:r>
        <w:t>El derecho consuetudinario aborigen australiano es el de pueblos que ocupan el continente desde hace «al menos 40.000 años»</w:t>
      </w:r>
      <w:r>
        <w:t xml:space="preserve"> (Comisión de Reforma Legal de Australia, Recognition of Aboriginal Customary Laws (El reconocimiento del derecho consuetudinario aborigen), ALRC 31, 1986, § 22)</w:t>
      </w:r>
      <w:r>
        <w:t>, y que hablaban unas 250 lenguas y más de 500 dialectos a la llegada de los europeos</w:t>
      </w:r>
      <w:r>
        <w:t xml:space="preserve"> (Oficina de Estadística de Australia, Australian Social Trends 1999)</w:t>
      </w:r>
      <w:r>
        <w:t>. Para ellos, «el Tiempo del Sueño es la Ley»</w:t>
      </w:r>
      <w:r>
        <w:t xml:space="preserve"> (ALRC 31, § 103)</w:t>
      </w:r>
      <w:r>
        <w:t xml:space="preserve">. Sus </w:t>
      </w:r>
      <w:r>
        <w:rPr>
          <w:i/>
        </w:rPr>
        <w:t>songlines</w:t>
      </w:r>
      <w:r>
        <w:t xml:space="preserve"> son «mapas orales del paisaje»</w:t>
      </w:r>
      <w:r>
        <w:t xml:space="preserve"> (R. P. Norris y B. Y. Harney, «Songlines and Navigation in Wardaman and other Australian Aboriginal Cultures» (Las songlines y la navegación entre los wardaman y otras culturas aborígenes australianas), 2014)</w:t>
      </w:r>
      <w:r>
        <w:t xml:space="preserve"> que transmiten la navegación, los territorios de los clanes y la Ley, incluida la que regula la tierra y cómo tratarse unos a otros</w:t>
      </w:r>
      <w:r>
        <w:t xml:space="preserve"> (R. P. Norris, Dawes Review 5, 2016, p. 17; N. Higgins, «Songlines and Land Claims; Space and Place» (Songlines y reclamaciones de tierras; espacio y lugar), 2021, pp. 724-725)</w:t>
      </w:r>
      <w:r>
        <w:t>.</w:t>
      </w:r>
    </w:p>
    <w:p>
      <w:r>
        <w:t>Y en Sudáfrica, tras el apartheid, la Constitución de 1993 pidió «comprensión, no venganza; reparación, no represalia; ubuntu, no victimización»</w:t>
      </w:r>
      <w:r>
        <w:t xml:space="preserve"> (Constitución de la República de Sudáfrica (Ley 200 de 1993), epílogo)</w:t>
      </w:r>
      <w:r>
        <w:t>, y la Ley 34 de 1995 creó la Comisión de la Verdad y la Reconciliación</w:t>
      </w:r>
      <w:r>
        <w:t xml:space="preserve"> (Ley 34 de 1995, de Promoción de la Unidad Nacional y la Reconciliación)</w:t>
      </w:r>
      <w:r>
        <w:t>.</w:t>
      </w:r>
    </w:p>
    <w:p>
      <w:r>
        <w:rPr>
          <w:b/>
        </w:rPr>
        <w:t>El Althing, el derecho azteca, el mir, el Vinaya y la Yassa.</w:t>
      </w:r>
      <w:r>
        <w:t xml:space="preserve"> El Althing de Islandia se estableció en Þingvellir en 930, y su ley se hizo sobre el modelo de la del Gulaþing noruego</w:t>
      </w:r>
      <w:r>
        <w:t xml:space="preserve"> (Ari Þorgilsson, Íslendingabók (Libro de los islandeses), caps. 2 y 3)</w:t>
      </w:r>
      <w:r>
        <w:t>. Tenía poderes legislativos y judiciales, y la ley la hacía un cuerpo selecto dentro de la asamblea, la lögrétta: decidían jefes y jueces, ante la asamblea de hombres libres. Fue suprimido en 1800 y restablecido en 1845, como órgano consultivo, en Reikiavik</w:t>
      </w:r>
      <w:r>
        <w:t xml:space="preserve"> (K. Gjerset, History of Iceland (Historia de Islandia), 1924, pp. 33-34, 346 y 377)</w:t>
      </w:r>
      <w:r>
        <w:t>.</w:t>
      </w:r>
    </w:p>
    <w:p>
      <w:r>
        <w:t>El derecho azteca tenía tribunales escalonados: jueces ordinarios para los pleitos menores, y apelaciones ante doce jueces superiores que «sentenciaban con parecer del Señor»</w:t>
      </w:r>
      <w:r>
        <w:t xml:space="preserve"> (Zorita, pp. 111-113)</w:t>
      </w:r>
      <w:r>
        <w:t>; un juez de barrio que, según Clavijero (siglo XVIII), «se elegía anualmente por los vecinos»; y el cihuacóatl, de cuyas sentencias no se podía apelar «ni aun al mismo rey»</w:t>
      </w:r>
      <w:r>
        <w:t xml:space="preserve"> (F. J. Clavijero, Historia antigua de México, lib. VII, pp. 358-359)</w:t>
      </w:r>
      <w:r>
        <w:t>. Se juzgaba según «las leyes del reino, como las expresaban las pinturas»</w:t>
      </w:r>
      <w:r>
        <w:t xml:space="preserve"> (ídem, p. 360)</w:t>
      </w:r>
      <w:r>
        <w:t>. Nezahualcóyotl, señor de Tezcoco en el siglo XV, «estableció ochenta leyes»</w:t>
      </w:r>
      <w:r>
        <w:t xml:space="preserve"> (F. de Alva Ixtlilxóchitl, Historia de la nación chichimeca, cap. XXXVIII)</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t xml:space="preserve"> (A. Kimball, «The Russian Peasant Obshchina in the Political Culture of the Era of Great Reforms» (La obshchina campesina rusa en la cultura política de la era de las grandes reformas), Universidad de Oregón)</w:t>
      </w:r>
      <w:r>
        <w:t>. El Vinaya budista regulaba la convivencia monástica con un código propio y siete principios para resolver las cuestiones legales, entre ellos la decisión por mayoría</w:t>
      </w:r>
      <w:r>
        <w:t xml:space="preserve"> (Vinaya, Adhikaraṇasamatha, traducción de Bhikkhu Brahmali)</w:t>
      </w:r>
      <w:r>
        <w:t>, aunque remite a la ley del rey para medir el robo grave</w:t>
      </w:r>
      <w:r>
        <w:t xml:space="preserve"> (Vinaya, Pārājika 2)</w:t>
      </w:r>
      <w:r>
        <w:t>. Y la Yassa de Gengis Kan mandaba, según Juvaini, «considerar todas las confesiones como una sola y no distinguirlas entre sí»</w:t>
      </w:r>
      <w:r>
        <w:t>; se escribía en rollos que «se guardan en el tesoro de los príncipes principales»</w:t>
      </w:r>
      <w:r>
        <w:t>, y cada kan que subía al trono ajustaba a ellos sus actos</w:t>
      </w:r>
      <w:r>
        <w:t xml:space="preserve"> (Juvaini, The History of the World-Conqueror (Historia del conquistador del mundo), trad. de J. A. Boyle, 1958, vol. I, cap. II, pp. 25-26)</w:t>
      </w:r>
      <w:r>
        <w:t>. Es la ley de un conquistador, y entra con esa cautela.</w:t>
      </w:r>
    </w:p>
    <w:p>
      <w:r>
        <w:rPr>
          <w:b/>
        </w:rPr>
        <w:t>El tikanga maorí.</w:t>
      </w:r>
      <w:r>
        <w:t xml:space="preserve"> El tikanga maorí de Nueva Zelanda tiene valores y reglas, pero mandan los valores: «son esos valores los que dan la guía principal de conducta»</w:t>
      </w:r>
      <w:r>
        <w:t xml:space="preserve"> (Comisión de Derecho de Nueva Zelanda, Māori Custom and Values in New Zealand Law (La costumbre y los valores maoríes en el derecho de Nueva Zelanda), 2001, § 75)</w:t>
      </w:r>
      <w:r>
        <w:t>. Entre ellos está el utu, que no es solo venganza: es reciprocidad (</w:t>
      </w:r>
      <w:r>
        <w:rPr>
          <w:i/>
        </w:rPr>
        <w:t>tau utuutu</w:t>
      </w:r>
      <w:r>
        <w:t>) y equilibrio, con instituciones como el muru, que trasladaba bienes a los agraviados por la falta de otro</w:t>
      </w:r>
      <w:r>
        <w:t xml:space="preserve"> (ídem, §§ 135 y 156)</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t xml:space="preserve"> (Ellis v R [2022] NZSC 114, §§ 19 y 22)</w:t>
      </w:r>
      <w:r>
        <w:t>.</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t xml:space="preserve"> (Monier-Williams, A Sanskrit-English Dictionary (Diccionario sánscrito-inglés), Oxford, 1899, p. 51)</w:t>
      </w:r>
      <w:r>
        <w:t>.</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(Monier-Williams, p. 1308)</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r>
        <w:br w:type="page"/>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t xml:space="preserve"> (pieza 14.00 §4 de la Biblioteca)</w:t>
      </w:r>
      <w:r>
        <w:t>. Lo que cambia son las fuentes (su boletín oficial, su tribunal constitucional, su estadística nacional); lo que no cambia es el orden en que se trabaja y la regla de que ningún dato entra sin su fuente.</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La obra la hizo una persona con ayuda de herramientas de inteligencia artificial: Claude Code, Sofía (el asistente de inteligencia artificial de Google) y NotebookLM (</w:t>
      </w:r>
      <w:r>
        <w:t>0.2</w:t>
      </w:r>
      <w:r>
        <w:t>). Esas herramientas se equivocan, y a veces mucho (</w:t>
      </w:r>
      <w:r>
        <w:t>G.3</w:t>
      </w:r>
      <w:r>
        <w:t>, n.º 6 a 8); por eso el método no descansa en quién trajo un dato, sino en que se compruebe en su original.</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que cuenta casos históricos de otros países. Los capítulos que se apoyan en la ley, las sentencias y la estadística oficial (7, 8 y 10) suman 420 datos y solo 9 de nivel B.</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Los pasos se agrupan en cuatro trabajos que no se mezclan: ordenar (paso 2), comprobar todo agrupado por fuente (pasos 3 y 4), redactar (5 y 6) y enlazar al final (</w:t>
      </w:r>
      <w:r>
        <w:t>7</w:t>
      </w:r>
      <w:r>
        <w:t>). El 6-oct-2026, cuando la obra llevaba semanas comprobándose capítulo a capítulo, el autor dijo: «esto que ya lo comprobé cinco veces se está volviendo infinito». De ahí salió el orden de arriba: cada fuente se abre una vez, y esa lectura sirve a todos los capítulos donde aparece.</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 xml:space="preserve">{completo}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p>
    <w:p>
      <w:pPr>
        <w:spacing w:after="60"/>
        <w:ind w:left="510" w:hanging="397"/>
      </w:pPr>
      <w:r>
        <w:rPr>
          <w:b w:val="0"/>
        </w:rPr>
        <w:t xml:space="preserve">2. </w:t>
      </w:r>
      <w:r>
        <w:rPr>
          <w:b/>
        </w:rPr>
        <w:t>Dividirlo en bloques manejables</w:t>
      </w:r>
      <w:r>
        <w:t xml:space="preserve"> (por títulos o capítulos) para no perder rigor por volumen. </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t xml:space="preserve"> (Digesto 1, 3, 2, Marciano; Cicerón, </w:t>
      </w:r>
      <w:r>
        <w:rPr>
          <w:i/>
        </w:rPr>
        <w:t>De legibus</w:t>
      </w:r>
      <w:r>
        <w:t xml:space="preserve"> I, 33 y II, 10)</w:t>
      </w:r>
      <w:r>
        <w:t>.</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t xml:space="preserve"> (Cicerón, </w:t>
      </w:r>
      <w:r>
        <w:rPr>
          <w:i/>
        </w:rPr>
        <w:t>De legibus</w:t>
      </w:r>
      <w:r>
        <w:t xml:space="preserve"> I, 42)</w:t>
      </w:r>
      <w:r>
        <w:t>. Lo que Ulpiano dice de verdad es otra cosa: «derecho natural es el que la naturaleza enseñó a todos los animales, pues este derecho no es propio del género humano, sino común a todos los animales que nacen en la tierra y en el mar, y también a las aves»</w:t>
      </w:r>
      <w:r>
        <w:t xml:space="preserve"> (Digesto 1, 1, 1, 3, Ulpiano)</w:t>
      </w:r>
      <w:r>
        <w:t>. Su derecho natural incluye el instinto compartido con los animales, no solo la razón moral humana: un matiz que lo distingue del concepto de la ley natural de Cicerón y de Aquino.</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t xml:space="preserve"> (J. H. Burns, «Happiness and Utility: Jeremy Bentham's Equation» (Felicidad y utilidad: la ecuación de Jeremy Bentham), </w:t>
      </w:r>
      <w:r>
        <w:rPr>
          <w:i/>
        </w:rPr>
        <w:t>Utilitas</w:t>
      </w:r>
      <w:r>
        <w:t xml:space="preserve"> 17 (</w:t>
      </w:r>
      <w:r>
        <w:t>1</w:t>
      </w:r>
      <w:r>
        <w:t>), marzo de 2005, pp. 46-61; fuente secundaria)</w:t>
      </w:r>
      <w:r>
        <w:t xml:space="preserve"> y se comprobó en el texto de 1789. Está en el prefacio de </w:t>
      </w:r>
      <w:r>
        <w:rPr>
          <w:i/>
        </w:rPr>
        <w:t>A Fragment on Government</w:t>
      </w:r>
      <w:r>
        <w:t xml:space="preserve"> (1776): «la mayor felicidad del mayor número es la medida de lo justo y de lo injusto»</w:t>
      </w:r>
      <w:r>
        <w:t xml:space="preserve"> (Bentham, </w:t>
      </w:r>
      <w:r>
        <w:rPr>
          <w:i/>
        </w:rPr>
        <w:t>A Fragment on Government</w:t>
      </w:r>
      <w:r>
        <w:t>, 1776, prefacio)</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t xml:space="preserve"> (Bentham, </w:t>
      </w:r>
      <w:r>
        <w:rPr>
          <w:i/>
        </w:rPr>
        <w:t>Introduction to the Principles of Morals and Legislation</w:t>
      </w:r>
      <w:r>
        <w:t>, 1789, cap. I)</w:t>
      </w:r>
      <w:r>
        <w:t>.</w:t>
      </w:r>
    </w:p>
    <w:p>
      <w:r>
        <w:rPr>
          <w:b/>
        </w:rPr>
        <w:t>«Sine causa nulla obligatio» (Celso).</w:t>
      </w:r>
      <w:r>
        <w:t xml:space="preserve"> Un informe de partida daba como máxima romana «sine causa nulla obligatio». La máxima romana que está comprobada es la de Celso: «no hay obligación alguna de cosas imposibles»</w:t>
      </w:r>
      <w:r>
        <w:t xml:space="preserve"> (Digesto 50, 17, 185, Celso, libro octavo)</w:t>
      </w:r>
      <w:r>
        <w:t>. Es el lema que recoge el Diccionario panhispánico del español jurídico, que añade que se lee a menudo con «m» (</w:t>
      </w:r>
      <w:r>
        <w:rPr>
          <w:i/>
        </w:rPr>
        <w:t>impossibilium</w:t>
      </w:r>
      <w:r>
        <w:t>),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w:t>
      </w:r>
    </w:p>
    <w:p>
      <w:r>
        <w:t>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w:t>
      </w:r>
    </w:p>
    <w:p>
      <w:r>
        <w:t>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w:t>
      </w:r>
    </w:p>
    <w:p>
      <w:r>
        <w:t>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t xml:space="preserve"> (Mt 7:16)</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Lo hace con amor incondicional hacia la tribu humana, «mis hermanos», y, ya que ha tenido que leer textos sagrados en esta peripecia, aprovecha para decir que esto sirva «para separar el grano de la paja».</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n.º 7).</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el autor empezó por sus propias creencias y las sometió a la misma vara que pide para el Estado; aquí, con su fecha.</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w:t>
      </w:r>
    </w:p>
    <w:p>
      <w:r>
        <w:t>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cuadra con esos dos usos; el trabajo seguido empezó a final de diciembre. Lo que ese registro no conserve no se puede comprobar.</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p>
    <w:p>
      <w:pPr>
        <w:pStyle w:val="ListBullet"/>
      </w:pPr>
      <w:r>
        <w:rPr>
          <w:b/>
        </w:rPr>
        <w:t>Las llaves de cada sitio oficial</w:t>
      </w:r>
      <w:r>
        <w:t xml:space="preserve"> (</w:t>
      </w:r>
      <w:r>
        <w:t>G.5</w:t>
      </w:r>
      <w:r>
        <w:t xml:space="preserve">) son del 6-oct-2026 y cambian. </w:t>
      </w:r>
    </w:p>
    <w:p>
      <w:pPr>
        <w:pStyle w:val="ListBullet"/>
      </w:pPr>
      <w:r>
        <w:rPr>
          <w:b/>
        </w:rPr>
        <w:t>Las doce trampas son las de esta obra,</w:t>
      </w:r>
      <w:r>
        <w:t xml:space="preserve"> no una lista completa. Hay más en otras obras y en otros países. </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r>
        <w:br w:type="page"/>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t xml:space="preserve"> (Mt 7:16)</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t xml:space="preserve"> (Cicerón, De legibus III, 8)</w:t>
      </w:r>
      <w:r>
        <w:t>.</w:t>
      </w:r>
    </w:p>
    <w:p>
      <w:pPr>
        <w:pStyle w:val="ListBullet"/>
      </w:pPr>
      <w:r>
        <w:rPr>
          <w:i/>
        </w:rPr>
        <w:t>Necessitas non habet legem</w:t>
      </w:r>
      <w:r>
        <w:t xml:space="preserve"> («la necesidad no tiene ley, sino que ella misma se hace su ley»)</w:t>
      </w:r>
      <w:r>
        <w:t xml:space="preserve"> (Decreto de Graciano)</w:t>
      </w:r>
      <w:r>
        <w:t>.</w:t>
      </w:r>
    </w:p>
    <w:p>
      <w:pPr>
        <w:pStyle w:val="ListBullet"/>
      </w:pPr>
      <w:r>
        <w:rPr>
          <w:i/>
        </w:rPr>
        <w:t>Quod ad ius naturale attinet, omnes homines aequales sunt</w:t>
      </w:r>
      <w:r>
        <w:t xml:space="preserve"> («en lo que atañe al derecho natural, todos los hombres son iguales»)</w:t>
      </w:r>
      <w:r>
        <w:t xml:space="preserve"> (Diccionario panhispánico del español jurídico; Ulpiano, Digesto 50, 17, 32)</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t xml:space="preserve"> (Pomponio, Digesto 50, 17, 206)</w:t>
      </w:r>
      <w:r>
        <w:t>.</w:t>
      </w:r>
    </w:p>
    <w:p>
      <w:pPr>
        <w:pStyle w:val="ListBullet"/>
      </w:pPr>
      <w:r>
        <w:rPr>
          <w:i/>
        </w:rPr>
        <w:t>Summum ius, summa iniuria</w:t>
      </w:r>
      <w:r>
        <w:t xml:space="preserve"> («excesivo derecho, excesiva injusticia»)</w:t>
      </w:r>
      <w:r>
        <w:t xml:space="preserve"> (Diccionario panhispánico del español jurídico; Cicerón, De officiis I, 33)</w:t>
      </w:r>
      <w:r>
        <w:t>.</w:t>
      </w:r>
    </w:p>
    <w:p>
      <w:pPr>
        <w:pStyle w:val="ListBullet"/>
      </w:pPr>
      <w:r>
        <w:rPr>
          <w:i/>
        </w:rPr>
        <w:t>Honeste vivere, alterum non laedere, suum cuique tribuere</w:t>
      </w:r>
      <w:r>
        <w:t xml:space="preserve"> («vivir honestamente, no dañar a otro, dar a cada uno lo suyo»): los preceptos del derecho</w:t>
      </w:r>
      <w:r>
        <w:t xml:space="preserve"> (Instituciones de Justiniano 1, 1, 3)</w:t>
      </w:r>
      <w:r>
        <w:t>.</w:t>
      </w:r>
    </w:p>
    <w:p>
      <w:pPr>
        <w:pStyle w:val="ListBullet"/>
      </w:pPr>
      <w:r>
        <w:rPr>
          <w:i/>
        </w:rPr>
        <w:t>Ius est ars boni et aequi</w:t>
      </w:r>
      <w:r>
        <w:t xml:space="preserve"> («el derecho es el arte de lo bueno y lo equitativo»), la definición de Celso con que se abre el Digesto</w:t>
      </w:r>
      <w:r>
        <w:t xml:space="preserve"> (Digesto 1, 1, 1 pr.; Ulpiano cita a Celso)</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t xml:space="preserve"> (Lucrecio, De rerum natura I, 205)</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t xml:space="preserve"> (Paulo, Digesto 50, 17, 10)</w:t>
      </w:r>
      <w:r>
        <w:t>.</w:t>
      </w:r>
    </w:p>
    <w:p>
      <w:pPr>
        <w:pStyle w:val="Heading3"/>
      </w:pPr>
      <w:r>
        <w:t>Debido proceso y protección de la persona</w:t>
      </w:r>
    </w:p>
    <w:p>
      <w:pPr>
        <w:pStyle w:val="ListBullet"/>
      </w:pPr>
      <w:r>
        <w:rPr>
          <w:i/>
        </w:rPr>
        <w:t>In dubio pro reo</w:t>
      </w:r>
      <w:r>
        <w:t xml:space="preserve"> («en caso de duda, a favor del reo»)</w:t>
      </w:r>
      <w:r>
        <w:t xml:space="preserve"> (Diccionario panhispánico del español jurídico)</w:t>
      </w:r>
      <w:r>
        <w:t>. Con esas palabras no está en el Digesto; el diccionario la relaciona con Gayo: se debe favorecer más a los reos que a los actores</w:t>
      </w:r>
      <w:r>
        <w:t xml:space="preserve"> (Gayo, Digesto 50, 17, 125)</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t xml:space="preserve"> (Diccionario panhispánico del español jurídico; la traducción, de la edición)</w:t>
      </w:r>
      <w:r>
        <w:t>.</w:t>
      </w:r>
    </w:p>
    <w:p>
      <w:pPr>
        <w:pStyle w:val="ListBullet"/>
      </w:pPr>
      <w:r>
        <w:rPr>
          <w:i/>
        </w:rPr>
        <w:t>Audi alteram partem</w:t>
      </w:r>
      <w:r>
        <w:t xml:space="preserve"> («óigase a la otra parte»), entre las reglas de la justicia</w:t>
      </w:r>
      <w:r>
        <w:t xml:space="preserve"> (Encyclopaedia Britannica, 1911)</w:t>
      </w:r>
      <w:r>
        <w:t>. Su raíz romana, con otras palabras: quien decide algo sin oír a la otra parte, aunque decida lo justo, no fue justo</w:t>
      </w:r>
      <w:r>
        <w:t xml:space="preserve"> (Séneca, Medea 199-200)</w:t>
      </w:r>
      <w:r>
        <w:t>.</w:t>
      </w:r>
    </w:p>
    <w:p>
      <w:pPr>
        <w:pStyle w:val="ListBullet"/>
      </w:pPr>
      <w:r>
        <w:rPr>
          <w:i/>
        </w:rPr>
        <w:t>Nullum crimen nulla poena sine lege</w:t>
      </w:r>
      <w:r>
        <w:t xml:space="preserve"> («no hay delito ni hay pena sin ley»)</w:t>
      </w:r>
      <w:r>
        <w:t xml:space="preserve"> (Diccionario panhispánico del español jurídico)</w:t>
      </w:r>
      <w:r>
        <w:t xml:space="preserve">; la pieza la citaba solo con la pena, </w:t>
      </w:r>
      <w:r>
        <w:rPr>
          <w:i/>
        </w:rPr>
        <w:t>nulla poena sine lege</w:t>
      </w:r>
      <w:r>
        <w:t>, que el diccionario cuenta entre los tres principios del derecho penal que enunció Feuerbach</w:t>
      </w:r>
      <w:r>
        <w:t xml:space="preserve"> (Diccionario panhispánico del español jurídico, «nullum crimen nulla poena sine lege»)</w:t>
      </w:r>
      <w:r>
        <w:t>. El principio está en la Declaración de 1789: nadie puede ser castigado sino en virtud de una ley establecida y promulgada antes del delito</w:t>
      </w:r>
      <w:r>
        <w:t xml:space="preserve"> (Declaración de los Derechos del Hombre y del Ciudadano, 1789, art. 8)</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t xml:space="preserve"> (Código de Justiniano 3, 5, 1)</w:t>
      </w:r>
      <w:r>
        <w:t xml:space="preserve">; con la forma </w:t>
      </w:r>
      <w:r>
        <w:rPr>
          <w:i/>
        </w:rPr>
        <w:t>nemo debet esse judex in propria sua causa</w:t>
      </w:r>
      <w:r>
        <w:t>, la recoge la Britannica, que cita a Coke</w:t>
      </w:r>
      <w:r>
        <w:t xml:space="preserve"> (Encyclopaedia Britannica, 1911)</w:t>
      </w:r>
      <w:r>
        <w:t>.</w:t>
      </w:r>
    </w:p>
    <w:p>
      <w:pPr>
        <w:pStyle w:val="ListBullet"/>
      </w:pPr>
      <w:r>
        <w:rPr>
          <w:i/>
        </w:rPr>
        <w:t>Non bis in idem</w:t>
      </w:r>
      <w:r>
        <w:t xml:space="preserve"> («no dos veces por lo mismo»)</w:t>
      </w:r>
      <w:r>
        <w:t xml:space="preserve"> (Diccionario panhispánico del español jurídico)</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t xml:space="preserve"> (Halkerston, 1823)</w:t>
      </w:r>
      <w:r>
        <w:t>.</w:t>
      </w:r>
    </w:p>
    <w:p>
      <w:pPr>
        <w:pStyle w:val="ListBullet"/>
      </w:pPr>
      <w:r>
        <w:rPr>
          <w:i/>
        </w:rPr>
        <w:t>Ad impossibilia nemo tenetur</w:t>
      </w:r>
      <w:r>
        <w:t xml:space="preserve"> («nadie está obligado a cosas imposibles»)</w:t>
      </w:r>
      <w:r>
        <w:t xml:space="preserve"> (Diccionario panhispánico del español jurídico)</w:t>
      </w:r>
      <w:r>
        <w:t>. Las palabras de Celso son otras: no hay obligación de cosas imposibles</w:t>
      </w:r>
      <w:r>
        <w:t xml:space="preserve"> (Celso, Digesto 50, 17, 185)</w:t>
      </w:r>
      <w:r>
        <w:t>.</w:t>
      </w:r>
    </w:p>
    <w:p>
      <w:pPr>
        <w:pStyle w:val="ListBullet"/>
      </w:pPr>
      <w:r>
        <w:rPr>
          <w:i/>
        </w:rPr>
        <w:t>Actus me invito factus, non est meus actus</w:t>
      </w:r>
      <w:r>
        <w:t xml:space="preserve"> («el acto hecho por mí contra mi voluntad no es mi acto»)</w:t>
      </w:r>
      <w:r>
        <w:t xml:space="preserve"> (Halkerston, 1823)</w:t>
      </w:r>
      <w:r>
        <w:t>.</w:t>
      </w:r>
    </w:p>
    <w:p>
      <w:pPr>
        <w:pStyle w:val="ListBullet"/>
      </w:pPr>
      <w:r>
        <w:rPr>
          <w:i/>
        </w:rPr>
        <w:t>Domus sua cuique est tutissimum refugium</w:t>
      </w:r>
      <w:r>
        <w:t xml:space="preserve"> («la casa de cada uno es su refugio más seguro»), de Edward Coke</w:t>
      </w:r>
      <w:r>
        <w:t xml:space="preserve"> (Tribunal Supremo de los Estados Unidos, Payton c. Nueva York, nota 44; fuente secundaria)</w:t>
      </w:r>
      <w:r>
        <w:t>. Hoy, el domicilio es inviolable</w:t>
      </w:r>
      <w:r>
        <w:t xml:space="preserve"> (Constitución, art. 18.2)</w:t>
      </w:r>
      <w:r>
        <w:t>.</w:t>
      </w:r>
    </w:p>
    <w:p>
      <w:pPr>
        <w:pStyle w:val="ListBullet"/>
      </w:pPr>
      <w:r>
        <w:rPr>
          <w:i/>
        </w:rPr>
        <w:t>Iudices sententiae suae rationes adducant</w:t>
      </w:r>
      <w:r>
        <w:t xml:space="preserve"> («que los jueces den las razones de su sentencia»), un aforismo de Francis Bacon sobre los tribunales de equidad</w:t>
      </w:r>
      <w:r>
        <w:t xml:space="preserve"> (Francis Bacon, De iustitia universali, aforismo 38)</w:t>
      </w:r>
      <w:r>
        <w:t>. Hoy, las sentencias serán siempre motivadas</w:t>
      </w:r>
      <w:r>
        <w:t xml:space="preserve"> (Constitución, art. 120.3)</w:t>
      </w:r>
      <w:r>
        <w:t>.</w:t>
      </w:r>
    </w:p>
    <w:p>
      <w:pPr>
        <w:pStyle w:val="ListBullet"/>
      </w:pPr>
      <w:r>
        <w:rPr>
          <w:i/>
        </w:rPr>
        <w:t>In dubio pro operario</w:t>
      </w:r>
      <w:r>
        <w:t xml:space="preserve"> («en caso de duda, a favor del trabajador»)</w:t>
      </w:r>
      <w:r>
        <w:t xml:space="preserve"> (Diccionario panhispánico del español jurídico)</w:t>
      </w:r>
      <w:r>
        <w:t>.</w:t>
      </w:r>
    </w:p>
    <w:p>
      <w:pPr>
        <w:pStyle w:val="ListBullet"/>
      </w:pPr>
      <w:r>
        <w:rPr>
          <w:i/>
        </w:rPr>
        <w:t>Testis unus, testis nullus</w:t>
      </w:r>
      <w:r>
        <w:t xml:space="preserve"> («un testigo solo, testigo nulo»). La regla está en el derecho de la Iglesia: que ningún juez admita con facilidad el testimonio de uno solo</w:t>
      </w:r>
      <w:r>
        <w:t xml:space="preserve"> (Decreto de Graciano)</w:t>
      </w:r>
      <w:r>
        <w:t>.</w:t>
      </w:r>
    </w:p>
    <w:p>
      <w:pPr>
        <w:pStyle w:val="ListBullet"/>
      </w:pPr>
      <w:r>
        <w:rPr>
          <w:i/>
        </w:rPr>
        <w:t>Fiat iustitia et ruat caelum</w:t>
      </w:r>
      <w:r>
        <w:t xml:space="preserve"> («hágase justicia, aunque se hunda el cielo»)</w:t>
      </w:r>
      <w:r>
        <w:t xml:space="preserve"> (Halkerston, 1823)</w:t>
      </w:r>
      <w:r>
        <w:t>.</w:t>
      </w:r>
    </w:p>
    <w:p>
      <w:pPr>
        <w:pStyle w:val="Heading3"/>
      </w:pPr>
      <w:r>
        <w:t>Actos propios, consentimiento y buena fe</w:t>
      </w:r>
    </w:p>
    <w:p>
      <w:pPr>
        <w:pStyle w:val="ListBullet"/>
      </w:pPr>
      <w:r>
        <w:rPr>
          <w:i/>
        </w:rPr>
        <w:t>Pacta sunt servanda</w:t>
      </w:r>
      <w:r>
        <w:t xml:space="preserve"> («los pactos deben cumplirse»)</w:t>
      </w:r>
      <w:r>
        <w:t xml:space="preserve"> (Diccionario panhispánico del español jurídico)</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t xml:space="preserve"> (Código Civil, art. 434)</w:t>
      </w:r>
      <w:r>
        <w:t>.</w:t>
      </w:r>
    </w:p>
    <w:p>
      <w:pPr>
        <w:pStyle w:val="ListBullet"/>
      </w:pPr>
      <w:r>
        <w:rPr>
          <w:i/>
        </w:rPr>
        <w:t>Qui tacet, consentire videtur</w:t>
      </w:r>
      <w:r>
        <w:t xml:space="preserve"> («quien calla, parece consentir»), y su límite en la regla siguiente: el que calla no confiesa, pero tampoco se considera que niegue</w:t>
      </w:r>
      <w:r>
        <w:t xml:space="preserve"> (Liber Sextus, reglas 43 y 44)</w:t>
      </w:r>
      <w:r>
        <w:t>.</w:t>
      </w:r>
    </w:p>
    <w:p>
      <w:pPr>
        <w:pStyle w:val="ListBullet"/>
      </w:pPr>
      <w:r>
        <w:rPr>
          <w:i/>
        </w:rPr>
        <w:t>Volenti non fit iniuria</w:t>
      </w:r>
      <w:r>
        <w:t xml:space="preserve"> («no se comete injusticia con quien actuó voluntariamente»)</w:t>
      </w:r>
      <w:r>
        <w:t xml:space="preserve"> (Diccionario panhispánico del español jurídico)</w:t>
      </w:r>
      <w:r>
        <w:t>.</w:t>
      </w:r>
    </w:p>
    <w:p>
      <w:pPr>
        <w:pStyle w:val="ListBullet"/>
      </w:pPr>
      <w:r>
        <w:rPr>
          <w:i/>
        </w:rPr>
        <w:t>Venire contra factum proprium non licet</w:t>
      </w:r>
      <w:r>
        <w:t xml:space="preserve"> («no es lícito ir contra los propios actos»): la doctrina de los actos propios, que ya está en las Decretales, con otras palabras</w:t>
      </w:r>
      <w:r>
        <w:t xml:space="preserve"> (Decretales, ed. Friedberg, t. 2)</w:t>
      </w:r>
      <w:r>
        <w:t>.</w:t>
      </w:r>
    </w:p>
    <w:p>
      <w:pPr>
        <w:pStyle w:val="ListBullet"/>
      </w:pPr>
      <w:r>
        <w:rPr>
          <w:i/>
        </w:rPr>
        <w:t>Nemo auditur propriam turpitudinem allegans</w:t>
      </w:r>
      <w:r>
        <w:t xml:space="preserve"> («no se escuche a quien alega su propia torpeza»). Con otras palabras: quien alega su propia torpeza no debe ser oído</w:t>
      </w:r>
      <w:r>
        <w:t xml:space="preserve"> (Halkerston, 1823)</w:t>
      </w:r>
      <w:r>
        <w:t>.</w:t>
      </w:r>
    </w:p>
    <w:p>
      <w:pPr>
        <w:pStyle w:val="ListBullet"/>
      </w:pPr>
      <w:r>
        <w:rPr>
          <w:i/>
        </w:rPr>
        <w:t>Quod omnes tangit, ab omnibus approbari debet</w:t>
      </w:r>
      <w:r>
        <w:t xml:space="preserve"> («lo que a todos afecta, por todos debe ser aprobado»)</w:t>
      </w:r>
      <w:r>
        <w:t xml:space="preserve"> (Diccionario panhispánico del español jurídico; regla XXIX de Bonifacio VIII)</w:t>
      </w:r>
      <w:r>
        <w:t>.</w:t>
      </w:r>
    </w:p>
    <w:p>
      <w:pPr>
        <w:pStyle w:val="ListBullet"/>
      </w:pPr>
      <w:r>
        <w:rPr>
          <w:i/>
        </w:rPr>
        <w:t>Ignorantia iuris non excusat</w:t>
      </w:r>
      <w:r>
        <w:t xml:space="preserve"> («la ignorancia del derecho no excusa»)</w:t>
      </w:r>
      <w:r>
        <w:t xml:space="preserve"> (Diccionario panhispánico del español jurídico)</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t xml:space="preserve"> (Diccionario panhispánico del español jurídico; Papiniano, Digesto 22, 6, 7)</w:t>
      </w:r>
      <w:r>
        <w:t>.</w:t>
      </w:r>
    </w:p>
    <w:p>
      <w:pPr>
        <w:pStyle w:val="ListBullet"/>
      </w:pPr>
      <w:r>
        <w:rPr>
          <w:i/>
        </w:rPr>
        <w:t>Nemo ex suo delicto meliorem suam condicionem facere potest</w:t>
      </w:r>
      <w:r>
        <w:t xml:space="preserve"> («nadie puede mejorar su condición por su propio delito»)</w:t>
      </w:r>
      <w:r>
        <w:t xml:space="preserve"> (Ulpiano, Digesto 50, 17, 134, 1)</w:t>
      </w:r>
      <w:r>
        <w:t>.</w:t>
      </w:r>
    </w:p>
    <w:p>
      <w:pPr>
        <w:pStyle w:val="ListBullet"/>
      </w:pPr>
      <w:r>
        <w:rPr>
          <w:i/>
        </w:rPr>
        <w:t>Nemo damnum facit, nisi qui id fecit, quod facere ius non habet</w:t>
      </w:r>
      <w:r>
        <w:t xml:space="preserve"> («nadie causa daño, sino el que hizo lo que no tenía derecho a hacer»)</w:t>
      </w:r>
      <w:r>
        <w:t xml:space="preserve"> (Paulo, Digesto 50, 17, 151)</w:t>
      </w:r>
      <w:r>
        <w:t>; y no se considera que obra con dolo quien usa de su derecho</w:t>
      </w:r>
      <w:r>
        <w:t xml:space="preserve"> (Gayo, Digesto 50, 17, 55)</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t xml:space="preserve"> (STS 241/2013)</w:t>
      </w:r>
      <w:r>
        <w:t>.</w:t>
      </w:r>
    </w:p>
    <w:p>
      <w:pPr>
        <w:pStyle w:val="ListBullet"/>
      </w:pPr>
      <w:r>
        <w:rPr>
          <w:i/>
        </w:rPr>
        <w:t>Ubi lex non distinguit, nec nos distinguere debemus</w:t>
      </w:r>
      <w:r>
        <w:t xml:space="preserve"> («donde la ley no diferencia, tampoco debemos diferenciar nosotros»). Lo usa el Tribunal Constitucional</w:t>
      </w:r>
      <w:r>
        <w:t xml:space="preserve"> (STC 137/2025)</w:t>
      </w:r>
      <w:r>
        <w:t>.</w:t>
      </w:r>
    </w:p>
    <w:p>
      <w:pPr>
        <w:pStyle w:val="ListBullet"/>
      </w:pPr>
      <w:r>
        <w:rPr>
          <w:i/>
        </w:rPr>
        <w:t>Locus regit actum</w:t>
      </w:r>
      <w:r>
        <w:t xml:space="preserve"> («el lugar rige el acto»)</w:t>
      </w:r>
      <w:r>
        <w:t xml:space="preserve"> (Cotterell, 1913, n.º 144)</w:t>
      </w:r>
      <w:r>
        <w:t>: la forma de los actos se rige por la ley del lugar donde se celebran</w:t>
      </w:r>
      <w:r>
        <w:t xml:space="preserve"> (Código Civil, art. 11.1)</w:t>
      </w:r>
      <w:r>
        <w:t>.</w:t>
      </w:r>
    </w:p>
    <w:p>
      <w:pPr>
        <w:pStyle w:val="ListBullet"/>
      </w:pPr>
      <w:r>
        <w:rPr>
          <w:i/>
        </w:rPr>
        <w:t>Ei incumbit probatio qui dicit, non qui negat</w:t>
      </w:r>
      <w:r>
        <w:t xml:space="preserve"> («incumbe la prueba al que afirma, no al que niega»)</w:t>
      </w:r>
      <w:r>
        <w:t xml:space="preserve"> (Paulo, Digesto 22, 3, 2; Diccionario panhispánico del español jurídico)</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t xml:space="preserve"> (STS 241/2013)</w:t>
      </w:r>
      <w:r>
        <w:t>.</w:t>
      </w:r>
    </w:p>
    <w:p>
      <w:pPr>
        <w:pStyle w:val="ListBullet"/>
      </w:pPr>
      <w:r>
        <w:rPr>
          <w:i/>
        </w:rPr>
        <w:t>Res iudicata pro veritate habetur</w:t>
      </w:r>
      <w:r>
        <w:t xml:space="preserve"> («la cosa juzgada se tiene por verdad»)</w:t>
      </w:r>
      <w:r>
        <w:t xml:space="preserve"> (Diccionario panhispánico del español jurídico)</w:t>
      </w:r>
      <w:r>
        <w:t>.</w:t>
      </w:r>
    </w:p>
    <w:p>
      <w:pPr>
        <w:pStyle w:val="ListBullet"/>
      </w:pPr>
      <w:r>
        <w:rPr>
          <w:i/>
        </w:rPr>
        <w:t>De minimis non curat praetor</w:t>
      </w:r>
      <w:r>
        <w:t xml:space="preserve"> («de los asuntos intrascendentes no se ocupa el magistrado»)</w:t>
      </w:r>
      <w:r>
        <w:t xml:space="preserve"> (Diccionario panhispánico del español jurídico)</w:t>
      </w:r>
      <w:r>
        <w:t xml:space="preserve">; se cita también como </w:t>
      </w:r>
      <w:r>
        <w:rPr>
          <w:i/>
        </w:rPr>
        <w:t>de minimis non curat lex</w:t>
      </w:r>
      <w:r>
        <w:t>.</w:t>
      </w:r>
    </w:p>
    <w:p>
      <w:pPr>
        <w:pStyle w:val="ListBullet"/>
      </w:pPr>
      <w:r>
        <w:rPr>
          <w:i/>
        </w:rPr>
        <w:t>Sublata causa, tollitur effectus</w:t>
      </w:r>
      <w:r>
        <w:t xml:space="preserve"> («suprimida la causa, cesa el efecto»)</w:t>
      </w:r>
      <w:r>
        <w:t xml:space="preserve"> (Cotterell, 1913, n.º 258)</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t xml:space="preserve"> (Diógenes Laercio, Vidas VI, 39, trad. de Hicks)</w:t>
      </w:r>
      <w:r>
        <w:t>.</w:t>
      </w:r>
    </w:p>
    <w:p>
      <w:pPr>
        <w:pStyle w:val="Heading3"/>
      </w:pPr>
      <w:r>
        <w:t>Origen y prioridad del derecho</w:t>
      </w:r>
    </w:p>
    <w:p>
      <w:pPr>
        <w:pStyle w:val="ListBullet"/>
      </w:pPr>
      <w:r>
        <w:rPr>
          <w:i/>
        </w:rPr>
        <w:t>Prior tempore, potior iure</w:t>
      </w:r>
      <w:r>
        <w:t xml:space="preserve"> («primero en el tiempo, preferido en el derecho»)</w:t>
      </w:r>
      <w:r>
        <w:t xml:space="preserve"> (Diccionario panhispánico del español jurídico)</w:t>
      </w:r>
      <w:r>
        <w:t>: la prioridad entre derechos iguales sobre una misma cosa, no una regla general de antigüedad.</w:t>
      </w:r>
    </w:p>
    <w:p>
      <w:pPr>
        <w:pStyle w:val="ListBullet"/>
      </w:pPr>
      <w:r>
        <w:rPr>
          <w:i/>
        </w:rPr>
        <w:t>Fictio legis neminem laedit</w:t>
      </w:r>
      <w:r>
        <w:t xml:space="preserve"> («la ficción legal no perjudica a nadie»)</w:t>
      </w:r>
      <w:r>
        <w:t xml:space="preserve"> (Black's Law Dictionary, 1910; fuente secundaria)</w:t>
      </w:r>
      <w:r>
        <w:t>.</w:t>
      </w:r>
    </w:p>
    <w:p>
      <w:pPr>
        <w:pStyle w:val="ListBullet"/>
      </w:pPr>
      <w:r>
        <w:rPr>
          <w:i/>
        </w:rPr>
        <w:t>Quod initio vitiosum est, non potest tractu temporis convalescere</w:t>
      </w:r>
      <w:r>
        <w:t xml:space="preserve"> («lo que nace viciado no sana con el tiempo»)</w:t>
      </w:r>
      <w:r>
        <w:t xml:space="preserve"> (Paulo, Digesto 50, 17, 29)</w:t>
      </w:r>
      <w:r>
        <w:t>.</w:t>
      </w:r>
    </w:p>
    <w:p>
      <w:pPr>
        <w:pStyle w:val="ListBullet"/>
      </w:pPr>
      <w:r>
        <w:rPr>
          <w:i/>
        </w:rPr>
        <w:t>Nemo plus iuris ad alium transferre potest, quam ipse haberet</w:t>
      </w:r>
      <w:r>
        <w:t xml:space="preserve"> («nadie puede transferir a otro más derecho del que él mismo tiene»)</w:t>
      </w:r>
      <w:r>
        <w:t xml:space="preserve"> (Diccionario panhispánico del español jurídico; Ulpiano, Digesto 50, 17, 54)</w:t>
      </w:r>
      <w:r>
        <w:t xml:space="preserve">; y su forma breve, </w:t>
      </w:r>
      <w:r>
        <w:rPr>
          <w:i/>
        </w:rPr>
        <w:t>nemo dat quod non habet</w:t>
      </w:r>
      <w:r>
        <w:t xml:space="preserve"> («nadie da lo que no tiene»)</w:t>
      </w:r>
      <w:r>
        <w:t xml:space="preserve"> (ídem)</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t xml:space="preserve"> (Ulpiano, Digesto 4, 3, 15, 1)</w:t>
      </w:r>
      <w:r>
        <w:t>.</w:t>
      </w:r>
    </w:p>
    <w:p>
      <w:pPr>
        <w:pStyle w:val="ListBullet"/>
      </w:pPr>
      <w:r>
        <w:rPr>
          <w:i/>
        </w:rPr>
        <w:t>Rebus sic stantibus</w:t>
      </w:r>
      <w:r>
        <w:t xml:space="preserve"> («estando así las cosas»): un pacto obliga mientras se mantengan las circunstancias que lo motivaron</w:t>
      </w:r>
      <w:r>
        <w:t xml:space="preserve"> (Black's Law Dictionary, 1910; fuente secundaria)</w:t>
      </w:r>
      <w:r>
        <w:t>.</w:t>
      </w:r>
    </w:p>
    <w:p>
      <w:pPr>
        <w:pStyle w:val="ListBullet"/>
      </w:pPr>
      <w:r>
        <w:rPr>
          <w:i/>
        </w:rPr>
        <w:t>Vigilantibus non dormientibus iura subveniunt</w:t>
      </w:r>
      <w:r>
        <w:t xml:space="preserve"> («el derecho protege a los vigilantes, no a los que duermen»)</w:t>
      </w:r>
      <w:r>
        <w:t xml:space="preserve"> (Encyclopaedia Britannica, 1911)</w:t>
      </w:r>
      <w:r>
        <w:t>. Su raíz, en el Digesto: el derecho civil está escrito para los vigilantes</w:t>
      </w:r>
      <w:r>
        <w:t xml:space="preserve"> (Digesto 42, 8, 24)</w:t>
      </w:r>
      <w:r>
        <w:t>.</w:t>
      </w:r>
    </w:p>
    <w:p>
      <w:pPr>
        <w:pStyle w:val="ListBullet"/>
      </w:pPr>
      <w:r>
        <w:rPr>
          <w:i/>
        </w:rPr>
        <w:t>Cedant arma togae</w:t>
      </w:r>
      <w:r>
        <w:t xml:space="preserve"> («que las armas cedan ante la toga»): la fuerza, ante el derecho; es un verso del propio Cicerón</w:t>
      </w:r>
      <w:r>
        <w:t xml:space="preserve"> (Cicerón, De officiis I, 77)</w:t>
      </w:r>
      <w:r>
        <w:t>.</w:t>
      </w:r>
    </w:p>
    <w:p>
      <w:pPr>
        <w:pStyle w:val="ListBullet"/>
      </w:pPr>
      <w:r>
        <w:rPr>
          <w:i/>
        </w:rPr>
        <w:t>Silent enim leges inter arma</w:t>
      </w:r>
      <w:r>
        <w:t xml:space="preserve"> («callan las leyes entre las armas»)</w:t>
      </w:r>
      <w:r>
        <w:t xml:space="preserve"> (Cicerón, Pro Milone 11)</w:t>
      </w:r>
      <w:r>
        <w:t>: el reverso de la anterior, la constatación de que la fuerza a veces se impone al derecho.</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r>
        <w:br w:type="page"/>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r>
        <w:t xml:space="preserve">La obra cita textos de muchas tradiciones y de muchas épocas, y cada uno va con su fuente allí donde se usa. Cómo se leen esas citas y sus traducciones se explica en </w:t>
      </w:r>
      <w:r>
        <w:t>0.3</w:t>
      </w:r>
      <w:r>
        <w:t xml:space="preserve">; cómo se hizo la comprobación, en el </w:t>
      </w:r>
      <w:r>
        <w:t>anexo G</w:t>
      </w:r>
      <w:r>
        <w:t>. Este anexo los reúne por bloques, para quien quiera comprobarlos de una vez. Lo que ya está en un capítulo no se repite: se nombra, con su remisión.</w:t>
      </w:r>
    </w:p>
    <w:p>
      <w:r>
        <w:rPr>
          <w:b/>
        </w:rPr>
        <w:t>Cómo se leyó.</w:t>
      </w:r>
      <w:r>
        <w:t xml:space="preserve"> Nada entró sin leerlo en su original o en una traducción reconocida; lo que se leyó en una copia o en una fuente secundaria se marca así. La Biblia va en la Reina-Valera Antigua y el Corán en la traducción de Julio Cortés; las demás traducciones al español son de esta edición, con el texto del que se han hecho al lado (</w:t>
      </w:r>
      <w:r>
        <w:t>0.3</w:t>
      </w:r>
      <w:r>
        <w:t>).</w:t>
      </w:r>
    </w:p>
    <w:p>
      <w:r>
        <w:t>Este anexo dice:</w:t>
      </w:r>
    </w:p>
    <w:p>
      <w:pPr>
        <w:pStyle w:val="ListBullet"/>
      </w:pPr>
      <w:r>
        <w:rPr>
          <w:b/>
        </w:rPr>
        <w:t>I.1</w:t>
      </w:r>
      <w:r>
        <w:t xml:space="preserve"> la Biblia y los autores cristianos;</w:t>
      </w:r>
    </w:p>
    <w:p>
      <w:pPr>
        <w:pStyle w:val="ListBullet"/>
      </w:pPr>
      <w:r>
        <w:rPr>
          <w:b/>
        </w:rPr>
        <w:t>I.2</w:t>
      </w:r>
      <w:r>
        <w:t xml:space="preserve"> el judaísmo y el islam;</w:t>
      </w:r>
    </w:p>
    <w:p>
      <w:pPr>
        <w:pStyle w:val="ListBullet"/>
      </w:pPr>
      <w:r>
        <w:rPr>
          <w:b/>
        </w:rPr>
        <w:t>I.3</w:t>
      </w:r>
      <w:r>
        <w:t xml:space="preserve"> China;</w:t>
      </w:r>
    </w:p>
    <w:p>
      <w:pPr>
        <w:pStyle w:val="ListBullet"/>
      </w:pPr>
      <w:r>
        <w:rPr>
          <w:b/>
        </w:rPr>
        <w:t>I.4</w:t>
      </w:r>
      <w:r>
        <w:t xml:space="preserve"> la India;</w:t>
      </w:r>
    </w:p>
    <w:p>
      <w:pPr>
        <w:pStyle w:val="ListBullet"/>
      </w:pPr>
      <w:r>
        <w:rPr>
          <w:b/>
        </w:rPr>
        <w:t>I.5</w:t>
      </w:r>
      <w:r>
        <w:t xml:space="preserve"> Grecia y Roma;</w:t>
      </w:r>
    </w:p>
    <w:p>
      <w:pPr>
        <w:pStyle w:val="ListBullet"/>
      </w:pPr>
      <w:r>
        <w:rPr>
          <w:b/>
        </w:rPr>
        <w:t>I.6</w:t>
      </w:r>
      <w:r>
        <w:t xml:space="preserve"> la historia del poder;</w:t>
      </w:r>
    </w:p>
    <w:p>
      <w:pPr>
        <w:pStyle w:val="ListBullet"/>
      </w:pPr>
      <w:r>
        <w:rPr>
          <w:b/>
        </w:rPr>
        <w:t>I.7</w:t>
      </w:r>
      <w:r>
        <w:t xml:space="preserve"> los textos modernos;</w:t>
      </w:r>
    </w:p>
    <w:p>
      <w:pPr>
        <w:pStyle w:val="ListBullet"/>
      </w:pPr>
      <w:r>
        <w:rPr>
          <w:b/>
        </w:rPr>
        <w:t>I.8</w:t>
      </w:r>
      <w:r>
        <w:t xml:space="preserve"> las leyes y las sentencias;</w:t>
      </w:r>
    </w:p>
    <w:p>
      <w:pPr>
        <w:pStyle w:val="ListBullet"/>
      </w:pPr>
      <w:r>
        <w:rPr>
          <w:b/>
        </w:rPr>
        <w:t>I.9</w:t>
      </w:r>
      <w:r>
        <w:t xml:space="preserve"> y la lista de todas las fuentes de la obra.</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pPr>
        <w:pStyle w:val="ListBullet"/>
      </w:pPr>
      <w:r>
        <w:t xml:space="preserve">«Quien tiene oídos para oir, oiga» (Mt 13:9), en </w:t>
      </w:r>
      <w:r>
        <w:t>11.6</w:t>
      </w:r>
      <w:r>
        <w:t>; casi igual en Mt 11:15 y 13:43, Mc 4:9 y 4:23 y Lc 8:8 y 14:35</w:t>
      </w:r>
      <w:r>
        <w:t xml:space="preserve"> (Reina-Valera Antigua)</w:t>
      </w:r>
      <w:r>
        <w:t>.</w:t>
      </w:r>
    </w:p>
    <w:p>
      <w:pPr>
        <w:pStyle w:val="ListBullet"/>
      </w:pPr>
      <w:r>
        <w:t xml:space="preserve">«No juzguéis, para que no seáis juzgados» (Mt 7:1) y «no condenéis» (Lc 6:37), en </w:t>
      </w:r>
      <w:r>
        <w:t>0.5</w:t>
      </w:r>
      <w:r>
        <w:t xml:space="preserve">; «juzgad justo juicio» (Jn 7:24), en </w:t>
      </w:r>
      <w:r>
        <w:t>0.5</w:t>
      </w:r>
      <w:r>
        <w:t xml:space="preserve"> y </w:t>
      </w:r>
      <w:r>
        <w:t>5.2</w:t>
      </w:r>
      <w:r>
        <w:t>.</w:t>
      </w:r>
    </w:p>
    <w:p>
      <w:pPr>
        <w:pStyle w:val="ListBullet"/>
      </w:pPr>
      <w:r>
        <w:t xml:space="preserve">«Por sus frutos los conoceréis» (Mt 7:16), la fórmula de la obra, en </w:t>
      </w:r>
      <w:r>
        <w:t>0.5</w:t>
      </w:r>
      <w:r>
        <w:t xml:space="preserve">; el buen árbol y el maleado (Mt 7:17), en </w:t>
      </w:r>
      <w:r>
        <w:t>2.5</w:t>
      </w:r>
      <w:r>
        <w:t>. Y lo mismo en otro lugar: «por el fruto es conocido el árbol»</w:t>
      </w:r>
      <w:r>
        <w:t xml:space="preserve"> (Mt 12:33)</w:t>
      </w:r>
      <w:r>
        <w:t>.</w:t>
      </w:r>
    </w:p>
    <w:p>
      <w:pPr>
        <w:pStyle w:val="ListBullet"/>
      </w:pPr>
      <w:r>
        <w:t xml:space="preserve">La cizaña y el trigo (Mt 13:29-30), en </w:t>
      </w:r>
      <w:r>
        <w:t>9.1</w:t>
      </w:r>
      <w:r>
        <w:t xml:space="preserve"> y </w:t>
      </w:r>
      <w:r>
        <w:t>10.3</w:t>
      </w:r>
      <w:r>
        <w:t xml:space="preserve">; y no pagar mal por mal (Rm 12:17-21), en </w:t>
      </w:r>
      <w:r>
        <w:t>10.3</w:t>
      </w:r>
      <w:r>
        <w:t>.</w:t>
      </w:r>
    </w:p>
    <w:p>
      <w:pPr>
        <w:pStyle w:val="ListBullet"/>
      </w:pPr>
      <w:r>
        <w:t xml:space="preserve">Hacerse como niños (Mt 18:3-4), «Ninguno es bueno sino uno» (Mt 19:17), «no hago el bien que quiero» (Rm 7:19), Jer 17:10 y Job 42:5-6, en </w:t>
      </w:r>
      <w:r>
        <w:t>2.5</w:t>
      </w:r>
      <w:r>
        <w:t>. Y el lamento que sigue al de Pablo: «Miserable hombre de mí! ¿quién me librará del cuerpo de esta muerte?»</w:t>
      </w:r>
      <w:r>
        <w:t xml:space="preserve"> (Rm 7:24)</w:t>
      </w:r>
      <w:r>
        <w:t>.</w:t>
      </w:r>
    </w:p>
    <w:p>
      <w:pPr>
        <w:pStyle w:val="ListBullet"/>
      </w:pPr>
      <w:r>
        <w:t xml:space="preserve">«amarás á tu prójimo como á ti mismo» (Lv 19:18) y «La caridad no hace mal al prójimo» (Rm 13:10), en </w:t>
      </w:r>
      <w:r>
        <w:t>0.5</w:t>
      </w:r>
      <w:r>
        <w:t>. Pablo lo resume: «toda la ley en aquesta sola palabra se cumple: Amarás á tu prójimo como á ti mismo»</w:t>
      </w:r>
      <w:r>
        <w:t xml:space="preserve"> (Gá 5:14)</w:t>
      </w:r>
      <w:r>
        <w:t>; y a quien corrige al que cae le pide hacerlo «considerándote á ti mismo, porque tú no seas también tentado»</w:t>
      </w:r>
      <w:r>
        <w:t xml:space="preserve"> (Gá 6:1)</w:t>
      </w:r>
      <w:r>
        <w:t>.</w:t>
      </w:r>
    </w:p>
    <w:p>
      <w:pPr>
        <w:pStyle w:val="ListBullet"/>
      </w:pPr>
      <w:r>
        <w:t>La regla de oro: «Y como queréis que os hagan los hombres, así hacedles también vosotros»</w:t>
      </w:r>
      <w:r>
        <w:t xml:space="preserve"> (Lc 6:31)</w:t>
      </w:r>
      <w:r>
        <w:t>; y en Mateo: «todas las cosas que quisierais que los hombres hiciesen con vosotros, así también haced vosotros con ellos; porque esta es la ley y los profetas»</w:t>
      </w:r>
      <w:r>
        <w:t xml:space="preserve"> (Mt 7:12)</w:t>
      </w:r>
      <w:r>
        <w:t>.</w:t>
      </w:r>
    </w:p>
    <w:p>
      <w:pPr>
        <w:pStyle w:val="ListBullet"/>
      </w:pPr>
      <w:r>
        <w:t>A quien invita a los que no pueden devolverle la invitación: «porque no te pueden retribuir; mas te será recompensado en la resurrección de los justos»</w:t>
      </w:r>
      <w:r>
        <w:t xml:space="preserve"> (Lc 14:14)</w:t>
      </w:r>
      <w:r>
        <w:t>.</w:t>
      </w:r>
    </w:p>
    <w:p>
      <w:pPr>
        <w:pStyle w:val="ListBullet"/>
      </w:pPr>
      <w:r>
        <w:t>La parábola del fariseo y el publicano, dicha «á unos que confiaban de sí como justos, y menospreciaban á los otros»</w:t>
      </w:r>
      <w:r>
        <w:t xml:space="preserve"> (Lc 18:9)</w:t>
      </w:r>
      <w:r>
        <w:t>, acaba así: «cualquiera que se ensalza, será humillado; y el que se humilla, será ensalzado»</w:t>
      </w:r>
      <w:r>
        <w:t xml:space="preserve"> (Lc 18:14)</w:t>
      </w:r>
      <w:r>
        <w:t>.</w:t>
      </w:r>
    </w:p>
    <w:p>
      <w:pPr>
        <w:pStyle w:val="ListBullet"/>
      </w:pPr>
      <w:r>
        <w:t>Hacerse pequeño: «A él conviene crecer, mas á mí menguar»</w:t>
      </w:r>
      <w:r>
        <w:t xml:space="preserve"> (Jn 3:30)</w:t>
      </w:r>
      <w:r>
        <w:t>; «vivo, no ya yo, mas vive Cristo en mí»</w:t>
      </w:r>
      <w:r>
        <w:t xml:space="preserve"> (Gá 2:20)</w:t>
      </w:r>
      <w:r>
        <w:t>; Abraham, que habla a Dios «aunque soy polvo y ceniza»</w:t>
      </w:r>
      <w:r>
        <w:t xml:space="preserve"> (Gn 18:27)</w:t>
      </w:r>
      <w:r>
        <w:t>; Moisés: «¿Quién soy yo, para que vaya á Faraón, y saque de Egipto á los hijos de Israel?»</w:t>
      </w:r>
      <w:r>
        <w:t xml:space="preserve"> (Ex 3:11)</w:t>
      </w:r>
      <w:r>
        <w:t>; y Moisés y Aarón ante las quejas del pueblo: «nosotros, ¿qué somos, para que vosotros murmuréis contra nosotros?»</w:t>
      </w:r>
      <w:r>
        <w:t xml:space="preserve"> (Ex 16:7)</w:t>
      </w:r>
      <w:r>
        <w:t>.</w:t>
      </w:r>
    </w:p>
    <w:p>
      <w:pPr>
        <w:pStyle w:val="ListBullet"/>
      </w:pPr>
      <w:r>
        <w:t xml:space="preserve">«la verdad os libertará» (Jn 8:31-32) y el padre de la mentira (Jn 8:44), en </w:t>
      </w:r>
      <w:r>
        <w:t>4.4</w:t>
      </w:r>
      <w:r>
        <w:t xml:space="preserve">; «Mi reino no es de este mundo» (Jn 18:36), en </w:t>
      </w:r>
      <w:r>
        <w:t>6.2</w:t>
      </w:r>
      <w:r>
        <w:t>.</w:t>
      </w:r>
    </w:p>
    <w:p>
      <w:pPr>
        <w:pStyle w:val="ListBullet"/>
      </w:pPr>
      <w:r>
        <w:t xml:space="preserve">«Despiértate, tú que duermes» (Ef 5:14), en </w:t>
      </w:r>
      <w:r>
        <w:t>11.6</w:t>
      </w:r>
      <w:r>
        <w:t>.</w:t>
      </w:r>
    </w:p>
    <w:p>
      <w:pPr>
        <w:pStyle w:val="ListBullet"/>
      </w:pPr>
      <w:r>
        <w:t>La fe y las obras: «muéstrame tu fe sin tus obras, y yo te mostraré mi fe por mis obras»</w:t>
      </w:r>
      <w:r>
        <w:t xml:space="preserve"> (Stg 2:18)</w:t>
      </w:r>
      <w:r>
        <w:t xml:space="preserve">; y el pecado de quien sabe hacer lo bueno y no lo hace (Stg 4:17), en </w:t>
      </w:r>
      <w:r>
        <w:t>10.1</w:t>
      </w:r>
      <w:r>
        <w:t xml:space="preserve"> y </w:t>
      </w:r>
      <w:r>
        <w:t>11.6</w:t>
      </w:r>
      <w:r>
        <w:t>.</w:t>
      </w:r>
    </w:p>
    <w:p>
      <w:pPr>
        <w:pStyle w:val="ListBullet"/>
      </w:pPr>
      <w:r>
        <w:t xml:space="preserve">El Hijo del hombre, que no vino a ser servido sino a servir (Mt 20:28), en </w:t>
      </w:r>
      <w:r>
        <w:t>3.6</w:t>
      </w:r>
      <w:r>
        <w:t>.</w:t>
      </w:r>
    </w:p>
    <w:p>
      <w:pPr>
        <w:pStyle w:val="ListBullet"/>
      </w:pPr>
      <w:r>
        <w:t>«La ciencia hincha, mas la caridad edifica»</w:t>
      </w:r>
      <w:r>
        <w:t xml:space="preserve"> (1 Co 8:1)</w:t>
      </w:r>
      <w:r>
        <w:t>.</w:t>
      </w:r>
    </w:p>
    <w:p>
      <w:pPr>
        <w:pStyle w:val="ListBullet"/>
      </w:pPr>
      <w:r>
        <w:t>«No te pondrás contra la sangre de tu prójimo»</w:t>
      </w:r>
      <w:r>
        <w:t xml:space="preserve"> (Lv 19:16)</w:t>
      </w:r>
      <w:r>
        <w:t>. El hebreo dice, palabra por palabra, «no estarás sobre la sangre de tu prójimo»</w:t>
      </w:r>
      <w:r>
        <w:t>.</w:t>
      </w:r>
    </w:p>
    <w:p>
      <w:pPr>
        <w:pStyle w:val="ListBullet"/>
      </w:pPr>
      <w:r>
        <w:t>«Decid al justo que le irá bien: porque comerá de los frutos de sus manos»</w:t>
      </w:r>
      <w:r>
        <w:t xml:space="preserve"> (Is 3:10)</w:t>
      </w:r>
      <w:r>
        <w:t>; donde el hebreo dice «el fruto de sus obras»</w:t>
      </w:r>
      <w:r>
        <w:t>.</w:t>
      </w:r>
    </w:p>
    <w:p>
      <w:pPr>
        <w:pStyle w:val="ListBullet"/>
      </w:pPr>
      <w:r>
        <w:t>«Y andaré en anchura, Porque busqué tus mandamientos»</w:t>
      </w:r>
      <w:r>
        <w:t xml:space="preserve"> (Sal 119:45)</w:t>
      </w:r>
      <w:r>
        <w:t>; la revisión de 1960 dice «Y andaré en libertad»</w:t>
      </w:r>
      <w:r>
        <w:t xml:space="preserve"> (Sal 119:45, Reina-Valera 1960)</w:t>
      </w:r>
      <w:r>
        <w:t>.</w:t>
      </w:r>
    </w:p>
    <w:p>
      <w:pPr>
        <w:pStyle w:val="ListBullet"/>
      </w:pPr>
      <w:r>
        <w:t xml:space="preserve">Agustín: los hijos del diablo lo son por imitarlo, no por nacer de él, en </w:t>
      </w:r>
      <w:r>
        <w:t>11.2</w:t>
      </w:r>
      <w:r>
        <w:t>.</w:t>
      </w:r>
    </w:p>
    <w:p>
      <w:pPr>
        <w:pStyle w:val="ListBullet"/>
      </w:pPr>
      <w:r>
        <w:t>San Juan de la Cruz: «Para venir a serlo todo, / no quieras ser algo en nada», y «para venir del todo al todo, / has de negarte del todo en todo»</w:t>
      </w:r>
      <w:r>
        <w:t xml:space="preserve"> (San Juan de la Cruz, Subida del Monte Carmelo, libro I, cap. 13, §§ 11 y 12, ed. P. Silverio de Santa Teresa, Burgos, 1929)</w:t>
      </w:r>
      <w:r>
        <w:t>.</w:t>
      </w:r>
    </w:p>
    <w:p>
      <w:pPr>
        <w:pStyle w:val="ListBullet"/>
      </w:pPr>
      <w:r>
        <w:t>Meister Eckhart: «Es un hombre pobre el que nada quiere, nada sabe y nada tiene»</w:t>
      </w:r>
      <w:r>
        <w:t xml:space="preserve"> (Meister Eckhart, sermón «Beati pauperes spiritu», n.º LXXXVII en la edición de F. Pfeiffer, Leipzig, 1857, pág. 280)</w:t>
      </w:r>
      <w:r>
        <w:t>.</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ListBullet"/>
      </w:pPr>
      <w:r>
        <w:t xml:space="preserve">«¿Quién es sabio? El que aprende de toda persona» (Pirkei Avot 4:1, de Ben Zoma), en </w:t>
      </w:r>
      <w:r>
        <w:t>2.5</w:t>
      </w:r>
      <w:r>
        <w:t>.</w:t>
      </w:r>
    </w:p>
    <w:p>
      <w:pPr>
        <w:pStyle w:val="ListBullet"/>
      </w:pPr>
      <w:r>
        <w:t xml:space="preserve">«Nadie se humilla ante Dios sin que Dios lo eleve» (Sahih Muslim 2588), en </w:t>
      </w:r>
      <w:r>
        <w:t>2.5</w:t>
      </w:r>
      <w:r>
        <w:t>, como fuente secundaria.</w:t>
      </w:r>
    </w:p>
    <w:p>
      <w:pPr>
        <w:pStyle w:val="ListBullet"/>
      </w:pPr>
      <w:r>
        <w:t>El bien que el Corán manda y el mal que prohíbe: «Alá prescribe la justicia, la beneficencia y la liberalidad con los parientes. Prohíbe la deshonestidad, lo reprobable y la opresión»</w:t>
      </w:r>
      <w:r>
        <w:t xml:space="preserve"> (Corán 16:90, traducción de Julio Cortés)</w:t>
      </w:r>
      <w:r>
        <w:t>.</w:t>
      </w:r>
    </w:p>
    <w:p>
      <w:pPr>
        <w:pStyle w:val="ListBullet"/>
      </w:pPr>
      <w:r>
        <w:t xml:space="preserve">La verdad que deshace lo falso: Corán 17:81, en </w:t>
      </w:r>
      <w:r>
        <w:t>4.4</w:t>
      </w:r>
      <w:r>
        <w:t>; y «lanzamos la Verdad contra lo falso, lo invalida... y éste se disipa»</w:t>
      </w:r>
      <w:r>
        <w:t xml:space="preserve"> (Corán 21:18, traducción de Julio Cortés)</w:t>
      </w:r>
      <w:r>
        <w:t>.</w:t>
      </w:r>
    </w:p>
    <w:p>
      <w:pPr>
        <w:pStyle w:val="ListBullet"/>
      </w:pPr>
      <w:r>
        <w:t xml:space="preserve">El enviado que no se hace dios: «Yo soy sólo un mortal como vosotros» (Corán 18:110), en </w:t>
      </w:r>
      <w:r>
        <w:t>6.2</w:t>
      </w:r>
      <w:r>
        <w:t>.</w:t>
      </w:r>
    </w:p>
    <w:p>
      <w:pPr>
        <w:pStyle w:val="ListBullet"/>
      </w:pPr>
      <w:r>
        <w:t>Lo que permanece: «Todo aquél que está sobre ella es perecedero. Pero subsiste tu Señor, el Majestuoso y Honorable»</w:t>
      </w:r>
      <w:r>
        <w:t xml:space="preserve"> (Corán 55:26-27, traducción de Julio Cortés)</w:t>
      </w:r>
      <w:r>
        <w:t>; el árabe dice «el rostro de tu Señor»</w:t>
      </w:r>
      <w:r>
        <w:t>. Y «¡Todo perece, salvo Él!»</w:t>
      </w:r>
      <w:r>
        <w:t xml:space="preserve"> (Corán 28:88, traducción de Julio Cortés)</w:t>
      </w:r>
      <w:r>
        <w:t>, donde el árabe dice «salvo Su rostro»</w:t>
      </w:r>
      <w:r>
        <w:t>.</w:t>
      </w:r>
    </w:p>
    <w:p>
      <w:pPr>
        <w:pStyle w:val="ListBullet"/>
      </w:pPr>
      <w:r>
        <w:t>Nada se pierde: «Quien haya hecho el peso de un átomo de bien, lo verá. Y quien haya hecho el peso de un átomo de mal, lo verá»</w:t>
      </w:r>
      <w:r>
        <w:t xml:space="preserve"> (Corán 99:7-8, traducción de Julio Cortés)</w:t>
      </w:r>
      <w:r>
        <w:t>.</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ListBullet"/>
      </w:pPr>
      <w:r>
        <w:t>«Mira lo que hace, observa por dónde lo hace, examina en qué se queda tranquilo; ¿cómo podría esconderse una persona?»</w:t>
      </w:r>
      <w:r>
        <w:t xml:space="preserve"> (Analectas 2.10)</w:t>
      </w:r>
      <w:r>
        <w:t>.</w:t>
      </w:r>
    </w:p>
    <w:p>
      <w:pPr>
        <w:pStyle w:val="ListBullet"/>
      </w:pPr>
      <w:r>
        <w:t>«Al principio, mi manera con los hombres era oír sus palabras y darles crédito en su conducta. Ahora mi manera es oír sus palabras y mirar su conducta»</w:t>
      </w:r>
      <w:r>
        <w:t xml:space="preserve"> (Analectas 5.10, en la traducción inglesa de James Legge, libro V, cap. IX)</w:t>
      </w:r>
      <w:r>
        <w:t>.</w:t>
      </w:r>
    </w:p>
    <w:p>
      <w:pPr>
        <w:pStyle w:val="ListBullet"/>
      </w:pPr>
      <w:r>
        <w:t>A la pregunta de si hay una palabra que sirva de regla para toda la vida: «¿No es RECIPROCIDAD esa palabra? Lo que no quieras que te hagan a ti, no lo hagas a otros»</w:t>
      </w:r>
      <w:r>
        <w:t xml:space="preserve"> (Analectas 15.24, en la traducción inglesa de Legge, libro XV, cap. XXIII)</w:t>
      </w:r>
      <w:r>
        <w:t>.</w:t>
      </w:r>
    </w:p>
    <w:p>
      <w:pPr>
        <w:pStyle w:val="ListBullet"/>
      </w:pPr>
      <w:r>
        <w:t xml:space="preserve">Saber que no se sabe (Analectas 2.17 y Daodejing 71) y el debate de Mencio y Xunzi sobre si la naturaleza humana nace buena o mala, en </w:t>
      </w:r>
      <w:r>
        <w:t>2.5</w:t>
      </w:r>
      <w:r>
        <w:t xml:space="preserve">; el camino del cielo, que beneficia y no daña (Daodejing 81), en </w:t>
      </w:r>
      <w:r>
        <w:t>3.6</w:t>
      </w:r>
      <w:r>
        <w:t>.</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ListBullet"/>
      </w:pPr>
      <w:r>
        <w:t xml:space="preserve">«Solo la verdad vence, no la mentira» (Mundaka Upanishad 3.1.6), en </w:t>
      </w:r>
      <w:r>
        <w:t>4.4</w:t>
      </w:r>
      <w:r>
        <w:t>.</w:t>
      </w:r>
    </w:p>
    <w:p>
      <w:pPr>
        <w:pStyle w:val="ListBullet"/>
      </w:pPr>
      <w:r>
        <w:t>«Quien, abandonando todos los deseos, anda sin anhelo, sin “mío”, sin sentido del yo, ese alcanza la paz»</w:t>
      </w:r>
      <w:r>
        <w:t xml:space="preserve"> (Bhagavad Gita 2.71)</w:t>
      </w:r>
      <w:r>
        <w:t>.</w:t>
      </w:r>
    </w:p>
    <w:p>
      <w:pPr>
        <w:pStyle w:val="ListBullet"/>
      </w:pPr>
      <w:r>
        <w:t>«Quien, por comparación consigo mismo, ve igual en todas partes, oh Arjuna, sea placer o sea dolor, ese yogui es tenido por el más alto»</w:t>
      </w:r>
      <w:r>
        <w:t xml:space="preserve"> (Bhagavad Gita 6.32)</w:t>
      </w:r>
      <w:r>
        <w:t>.</w:t>
      </w:r>
    </w:p>
    <w:p>
      <w:pPr>
        <w:pStyle w:val="ListBullet"/>
      </w:pPr>
      <w:r>
        <w:t>«Sin odio a ningún ser, amistoso y compasivo; sin “mío”, sin sentido del yo, igual en dolor y placer, paciente»</w:t>
      </w:r>
      <w:r>
        <w:t xml:space="preserve"> (Bhagavad Gita 12.13)</w:t>
      </w:r>
      <w:r>
        <w:t>.</w:t>
      </w:r>
    </w:p>
    <w:p>
      <w:pPr>
        <w:pStyle w:val="ListBullet"/>
      </w:pPr>
      <w:r>
        <w:t>El Dhammapada, en la traducción de Max Müller: «Los que imaginan verdad en lo falso y ven lo falso en la verdad nunca llegan a la verdad, sino que siguen deseos vanos. Los que conocen la verdad en la verdad y lo falso en lo falso llegan a la verdad y siguen deseos verdaderos»</w:t>
      </w:r>
      <w:r>
        <w:t xml:space="preserve"> (Dhammapada 11-12, en la traducción inglesa de Max Müller, 1881)</w:t>
      </w:r>
      <w:r>
        <w:t xml:space="preserve">. El pali no dice «verdad», sino </w:t>
      </w:r>
      <w:r>
        <w:rPr>
          <w:i/>
        </w:rPr>
        <w:t>sāra</w:t>
      </w:r>
      <w:r>
        <w:t>, «lo esencial»: «tomando lo no esencial por esencial y viendo lo esencial como no esencial, no alcanzan lo esencial»</w:t>
      </w:r>
      <w:r>
        <w:t xml:space="preserve"> (Dhammapada 11, pali y traducción inglesa de Sujato, SuttaCentral)</w:t>
      </w:r>
      <w:r>
        <w:t>.</w:t>
      </w:r>
    </w:p>
    <w:p>
      <w:pPr>
        <w:pStyle w:val="ListBullet"/>
      </w:pPr>
      <w:r>
        <w:t xml:space="preserve">«vence al mentiroso con la verdad» (Dhammapada 223), en </w:t>
      </w:r>
      <w:r>
        <w:t>4.4</w:t>
      </w:r>
      <w:r>
        <w:t xml:space="preserve">; «todos temen la muerte» (Dhammapada 129), en </w:t>
      </w:r>
      <w:r>
        <w:t>1.4</w:t>
      </w:r>
      <w:r>
        <w:t>. Y el verso siguiente: «Todos tiemblan ante el castigo, todos aman la vida; tomándose a uno mismo como medida, que nadie mate ni haga matar»</w:t>
      </w:r>
      <w:r>
        <w:t xml:space="preserve"> (Dhammapada 130)</w:t>
      </w:r>
      <w:r>
        <w:t>.</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ListBullet"/>
      </w:pPr>
      <w:r>
        <w:t xml:space="preserve">Sócrates, que no cree saber lo que no sabe (Platón, Apología 21d), y el auriga y sus dos caballos (Fedro 246b), en </w:t>
      </w:r>
      <w:r>
        <w:t>2.5</w:t>
      </w:r>
      <w:r>
        <w:t>.</w:t>
      </w:r>
    </w:p>
    <w:p>
      <w:pPr>
        <w:pStyle w:val="ListBullet"/>
      </w:pPr>
      <w:r>
        <w:t xml:space="preserve">La caverna: el prisionero liberado y obligado a mirar hacia la luz sufre (República VII, 515c), en </w:t>
      </w:r>
      <w:r>
        <w:t>11.6</w:t>
      </w:r>
      <w:r>
        <w:t>.</w:t>
      </w:r>
    </w:p>
    <w:p>
      <w:pPr>
        <w:pStyle w:val="ListBullet"/>
      </w:pPr>
      <w:r>
        <w:t xml:space="preserve">«La insolencia engendra al tirano» (Sófocles, Edipo rey, 873), en </w:t>
      </w:r>
      <w:r>
        <w:t>6.2</w:t>
      </w:r>
      <w:r>
        <w:t>.</w:t>
      </w:r>
    </w:p>
    <w:p>
      <w:pPr>
        <w:pStyle w:val="ListBullet"/>
      </w:pPr>
      <w:r>
        <w:t xml:space="preserve">Augusto, que dice no haber tenido más poder que sus colegas (Res Gestae 34), y Domiciano (Suetonio, Domiciano 13), en </w:t>
      </w:r>
      <w:r>
        <w:t>6.2</w:t>
      </w:r>
      <w:r>
        <w:t>.</w:t>
      </w:r>
    </w:p>
    <w:p>
      <w:pPr>
        <w:pStyle w:val="ListBullet"/>
      </w:pPr>
      <w:r>
        <w:t xml:space="preserve">Marco Aurelio, que aprendió de Rústico que su carácter necesitaba corrección (Meditaciones I, 7), en </w:t>
      </w:r>
      <w:r>
        <w:t>6.2</w:t>
      </w:r>
      <w:r>
        <w:t>.</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ListBullet"/>
      </w:pPr>
      <w:r>
        <w:t xml:space="preserve">El faraón, «Hijo de Ra» desde su coronación, y Ciro en su cilindro, en </w:t>
      </w:r>
      <w:r>
        <w:t>6.2</w:t>
      </w:r>
      <w:r>
        <w:t xml:space="preserve">; el emperador de Japón, que en 1946 declaró por escrito que el vínculo con su pueblo no se basa en la idea de que él sea un dios, también en </w:t>
      </w:r>
      <w:r>
        <w:t>6.2</w:t>
      </w:r>
      <w:r>
        <w:t xml:space="preserve">; el prólogo de Hammurabi, llamado por los dioses a implantar la justicia, en </w:t>
      </w:r>
      <w:r>
        <w:t>3.2</w:t>
      </w:r>
      <w:r>
        <w:t>.</w:t>
      </w:r>
    </w:p>
    <w:p>
      <w:pPr>
        <w:pStyle w:val="ListBullet"/>
      </w:pPr>
      <w:r>
        <w:t xml:space="preserve">La Donación de Constantino, falsa, y el Dictatus Papae de 1075, auténtico, en </w:t>
      </w:r>
      <w:r>
        <w:t>6.2</w:t>
      </w:r>
      <w:r>
        <w:t>.</w:t>
      </w:r>
    </w:p>
    <w:p>
      <w:pPr>
        <w:pStyle w:val="ListBullet"/>
      </w:pPr>
      <w:r>
        <w:t xml:space="preserve">Jacobo VI de Escocia y la monarquía absoluta, en </w:t>
      </w:r>
      <w:r>
        <w:t>6.2</w:t>
      </w:r>
      <w:r>
        <w:t xml:space="preserve">; Hobbes y el Leviatán, en </w:t>
      </w:r>
      <w:r>
        <w:t>6.1</w:t>
      </w:r>
      <w:r>
        <w:t>.</w:t>
      </w:r>
    </w:p>
    <w:p>
      <w:pPr>
        <w:pStyle w:val="ListBullet"/>
      </w:pPr>
      <w:r>
        <w:t xml:space="preserve">Ashoka y su propia guerra, con cien mil muertos, y el Dalai Lama, que en 2011 puso fin a la doble autoridad, espiritual y política, de su institución, en </w:t>
      </w:r>
      <w:r>
        <w:t>6.2</w:t>
      </w:r>
      <w:r>
        <w:t>.</w:t>
      </w:r>
    </w:p>
    <w:p>
      <w:pPr>
        <w:pStyle w:val="ListBullet"/>
      </w:pPr>
      <w:r>
        <w:t xml:space="preserve">Salomón, que pidió «corazón dócil» (1 Re 3:9), y su hijo, que no alivió el yugo, con lo que las tribus del norte se apartaron (1 Re 12), en </w:t>
      </w:r>
      <w:r>
        <w:t>6.2</w:t>
      </w:r>
      <w:r>
        <w:t>.</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ListBullet"/>
      </w:pPr>
      <w:r>
        <w:t xml:space="preserve">Solzhenitsyn: la línea que separa el bien del mal pasa por cada corazón humano (Archipiélago Gulag), en </w:t>
      </w:r>
      <w:r>
        <w:t>2.5</w:t>
      </w:r>
      <w:r>
        <w:t>.</w:t>
      </w:r>
    </w:p>
    <w:p>
      <w:pPr>
        <w:pStyle w:val="ListBullet"/>
      </w:pPr>
      <w:r>
        <w:t>Espinosa: el fin del Estado es la libertad (Tratado teológico-político, cap. XX), en 11.3.</w:t>
      </w:r>
    </w:p>
    <w:p>
      <w:pPr>
        <w:pStyle w:val="ListBullet"/>
      </w:pPr>
      <w:r>
        <w:t>La Tabla Esmeralda: «Lo que está abajo es como lo que está arriba, y lo que está arriba es como lo que está abajo»</w:t>
      </w:r>
      <w:r>
        <w:t xml:space="preserve"> (Tabla Esmeralda, versión latina corriente, en J. Ruska, Tabula Smaragdina, Heidelberg, 1926, pág. 2)</w:t>
      </w:r>
      <w:r>
        <w:t>. Es lo que se resume en «como es arriba, es abajo».</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ListBullet"/>
      </w:pPr>
      <w:r>
        <w:t xml:space="preserve">La libertad de información y la prohibición de la censura previa (Constitución, art. 20.1.d y 20.2), la prensa como «perro guardián» (TEDH, Observer y Guardian c. Reino Unido, 1991) y el Reglamento Europeo sobre la Libertad de los Medios de Comunicación (Reglamento (UE) 2024/1083), en </w:t>
      </w:r>
      <w:r>
        <w:t>10.2</w:t>
      </w:r>
      <w:r>
        <w:t>.</w:t>
      </w:r>
    </w:p>
    <w:p>
      <w:pPr>
        <w:pStyle w:val="ListBullet"/>
      </w:pPr>
      <w:r>
        <w:t>La transparencia (Ley 19/2013), en 10.2 y 10.4; la pensión compatible con el trabajo (Ley General de la Seguridad Social, art. 214), en 10.2.</w:t>
      </w:r>
    </w:p>
    <w:p>
      <w:pPr>
        <w:pStyle w:val="ListBullet"/>
      </w:pPr>
      <w:r>
        <w:t xml:space="preserve">La moneda del euro, competencia de la Unión (Tratado de Funcionamiento de la UE, art. 3.1.c), en 5.1 y 10.2; y Juan de Mariana, en 1609, contra la rebaja de la moneda, en </w:t>
      </w:r>
      <w:r>
        <w:t>8.2</w:t>
      </w:r>
      <w:r>
        <w:t>.</w:t>
      </w:r>
    </w:p>
    <w:p>
      <w:pPr>
        <w:pStyle w:val="ListBullet"/>
      </w:pPr>
      <w:r>
        <w:t xml:space="preserve">El jurado (Ley Orgánica 5/1995, arts. 8 y 13) y la asamblea de ciudadanos de Irlanda, en </w:t>
      </w:r>
      <w:r>
        <w:t>10.2</w:t>
      </w:r>
      <w:r>
        <w:t>.</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r>
        <w:t>Cada fuente sale una sola vez, con los apartados donde la obra la usa; los números en negrita llevan a su sitio. Lo que dice cada fuente, y con qué peso se usa, está en su apartado: aquí solo se dice dónde. Hay 728 fuentes distintas.</w:t>
      </w:r>
    </w:p>
    <w:p>
      <w:r>
        <w:rPr>
          <w:b/>
        </w:rPr>
        <w:t>La Constitución, las leyes y las normas de España</w:t>
      </w:r>
      <w:r>
        <w:t xml:space="preserve"> (149 fuentes)</w:t>
      </w:r>
    </w:p>
    <w:p>
      <w:pPr>
        <w:pStyle w:val="ListBullet"/>
      </w:pPr>
      <w:r>
        <w:t xml:space="preserve">Boletín Oficial del Estado (BOE): </w:t>
      </w:r>
      <w:r>
        <w:rPr>
          <w:b/>
        </w:rPr>
        <w:t>7.2</w:t>
      </w:r>
      <w:r>
        <w:t xml:space="preserve">, </w:t>
      </w:r>
      <w:r>
        <w:rPr>
          <w:b/>
        </w:rPr>
        <w:t>8.3</w:t>
      </w:r>
      <w:r>
        <w:t xml:space="preserve">, </w:t>
      </w:r>
      <w:r>
        <w:rPr>
          <w:b/>
        </w:rPr>
        <w:t>8.7</w:t>
      </w:r>
      <w:r>
        <w:t xml:space="preserve">, </w:t>
      </w:r>
      <w:r>
        <w:rPr>
          <w:b/>
        </w:rPr>
        <w:t>11.3</w:t>
      </w:r>
      <w:r>
        <w:t xml:space="preserve">, </w:t>
      </w:r>
      <w:r>
        <w:rPr>
          <w:b/>
        </w:rPr>
        <w:t>A.1</w:t>
      </w:r>
      <w:r>
        <w:t xml:space="preserve">, </w:t>
      </w:r>
      <w:r>
        <w:rPr>
          <w:b/>
        </w:rPr>
        <w:t>A.2</w:t>
      </w:r>
      <w:r>
        <w:t xml:space="preserve">, </w:t>
      </w:r>
      <w:r>
        <w:rPr>
          <w:b/>
        </w:rPr>
        <w:t>A.3</w:t>
      </w:r>
      <w:r>
        <w:t xml:space="preserve">, </w:t>
      </w:r>
      <w:r>
        <w:rPr>
          <w:b/>
        </w:rPr>
        <w:t>A.4</w:t>
      </w:r>
      <w:r>
        <w:t xml:space="preserve">, </w:t>
      </w:r>
      <w:r>
        <w:rPr>
          <w:b/>
        </w:rPr>
        <w:t>A.5</w:t>
      </w:r>
      <w:r>
        <w:t xml:space="preserve">, </w:t>
      </w:r>
      <w:r>
        <w:rPr>
          <w:b/>
        </w:rPr>
        <w:t>A.8</w:t>
      </w:r>
      <w:r>
        <w:t xml:space="preserve">, </w:t>
      </w:r>
      <w:r>
        <w:rPr>
          <w:b/>
        </w:rPr>
        <w:t>A.10</w:t>
      </w:r>
      <w:r>
        <w:t xml:space="preserve">, </w:t>
      </w:r>
      <w:r>
        <w:rPr>
          <w:b/>
        </w:rPr>
        <w:t>A.11</w:t>
      </w:r>
      <w:r>
        <w:t>.</w:t>
      </w:r>
    </w:p>
    <w:p>
      <w:pPr>
        <w:pStyle w:val="ListBullet"/>
      </w:pPr>
      <w:r>
        <w:t xml:space="preserve">Código Civil: </w:t>
      </w:r>
      <w:r>
        <w:rPr>
          <w:b/>
        </w:rPr>
        <w:t>1.1</w:t>
      </w:r>
      <w:r>
        <w:t xml:space="preserve">, </w:t>
      </w:r>
      <w:r>
        <w:rPr>
          <w:b/>
        </w:rPr>
        <w:t>1.5</w:t>
      </w:r>
      <w:r>
        <w:t xml:space="preserve">, </w:t>
      </w:r>
      <w:r>
        <w:rPr>
          <w:b/>
        </w:rPr>
        <w:t>1.6</w:t>
      </w:r>
      <w:r>
        <w:t xml:space="preserve">, </w:t>
      </w:r>
      <w:r>
        <w:rPr>
          <w:b/>
        </w:rPr>
        <w:t>1.7</w:t>
      </w:r>
      <w:r>
        <w:t xml:space="preserve">, </w:t>
      </w:r>
      <w:r>
        <w:rPr>
          <w:b/>
        </w:rPr>
        <w:t>1.8</w:t>
      </w:r>
      <w:r>
        <w:t xml:space="preserve">, </w:t>
      </w:r>
      <w:r>
        <w:rPr>
          <w:b/>
        </w:rPr>
        <w:t>2.1</w:t>
      </w:r>
      <w:r>
        <w:t xml:space="preserve">, </w:t>
      </w:r>
      <w:r>
        <w:rPr>
          <w:b/>
        </w:rPr>
        <w:t>2.5</w:t>
      </w:r>
      <w:r>
        <w:t xml:space="preserve">, </w:t>
      </w:r>
      <w:r>
        <w:rPr>
          <w:b/>
        </w:rPr>
        <w:t>5.1</w:t>
      </w:r>
      <w:r>
        <w:t xml:space="preserve">, </w:t>
      </w:r>
      <w:r>
        <w:rPr>
          <w:b/>
        </w:rPr>
        <w:t>5.2</w:t>
      </w:r>
      <w:r>
        <w:t xml:space="preserve">, </w:t>
      </w:r>
      <w:r>
        <w:rPr>
          <w:b/>
        </w:rPr>
        <w:t>5.4</w:t>
      </w:r>
      <w:r>
        <w:t xml:space="preserve">, </w:t>
      </w:r>
      <w:r>
        <w:t>capítulo 9</w:t>
      </w:r>
      <w:r>
        <w:t xml:space="preserve">, </w:t>
      </w:r>
      <w:r>
        <w:rPr>
          <w:b/>
        </w:rPr>
        <w:t>9.1</w:t>
      </w:r>
      <w:r>
        <w:t xml:space="preserve">, </w:t>
      </w:r>
      <w:r>
        <w:rPr>
          <w:b/>
        </w:rPr>
        <w:t>10.4</w:t>
      </w:r>
      <w:r>
        <w:t xml:space="preserve">, </w:t>
      </w:r>
      <w:r>
        <w:rPr>
          <w:b/>
        </w:rPr>
        <w:t>10.6</w:t>
      </w:r>
      <w:r>
        <w:t xml:space="preserve">, </w:t>
      </w:r>
      <w:r>
        <w:rPr>
          <w:b/>
        </w:rPr>
        <w:t>10.7</w:t>
      </w:r>
      <w:r>
        <w:t xml:space="preserve">, </w:t>
      </w:r>
      <w:r>
        <w:rPr>
          <w:b/>
        </w:rPr>
        <w:t>11.2</w:t>
      </w:r>
      <w:r>
        <w:t xml:space="preserve">, </w:t>
      </w:r>
      <w:r>
        <w:rPr>
          <w:b/>
        </w:rPr>
        <w:t>11.3</w:t>
      </w:r>
      <w:r>
        <w:t xml:space="preserve">, </w:t>
      </w:r>
      <w:r>
        <w:rPr>
          <w:b/>
        </w:rPr>
        <w:t>A.2</w:t>
      </w:r>
      <w:r>
        <w:t xml:space="preserve">, </w:t>
      </w:r>
      <w:r>
        <w:t>anexo D</w:t>
      </w:r>
      <w:r>
        <w:t xml:space="preserve">, </w:t>
      </w:r>
      <w:r>
        <w:rPr>
          <w:b/>
        </w:rPr>
        <w:t>D.9</w:t>
      </w:r>
      <w:r>
        <w:t xml:space="preserve">, </w:t>
      </w:r>
      <w:r>
        <w:rPr>
          <w:b/>
        </w:rPr>
        <w:t>D.13</w:t>
      </w:r>
      <w:r>
        <w:t xml:space="preserve">, </w:t>
      </w:r>
      <w:r>
        <w:rPr>
          <w:b/>
        </w:rPr>
        <w:t>H.10</w:t>
      </w:r>
      <w:r>
        <w:t>.</w:t>
      </w:r>
    </w:p>
    <w:p>
      <w:pPr>
        <w:pStyle w:val="ListBullet"/>
      </w:pPr>
      <w:r>
        <w:t xml:space="preserve">Código Penal: </w:t>
      </w:r>
      <w:r>
        <w:rPr>
          <w:b/>
        </w:rPr>
        <w:t>2.5</w:t>
      </w:r>
      <w:r>
        <w:t xml:space="preserve">, </w:t>
      </w:r>
      <w:r>
        <w:rPr>
          <w:b/>
        </w:rPr>
        <w:t>2.6</w:t>
      </w:r>
      <w:r>
        <w:t xml:space="preserve">, </w:t>
      </w:r>
      <w:r>
        <w:rPr>
          <w:b/>
        </w:rPr>
        <w:t>3.1</w:t>
      </w:r>
      <w:r>
        <w:t xml:space="preserve">, </w:t>
      </w:r>
      <w:r>
        <w:rPr>
          <w:b/>
        </w:rPr>
        <w:t>7.7</w:t>
      </w:r>
      <w:r>
        <w:t xml:space="preserve">, </w:t>
      </w:r>
      <w:r>
        <w:rPr>
          <w:b/>
        </w:rPr>
        <w:t>8.5</w:t>
      </w:r>
      <w:r>
        <w:t xml:space="preserve">, </w:t>
      </w:r>
      <w:r>
        <w:t>capítulo 9</w:t>
      </w:r>
      <w:r>
        <w:t xml:space="preserve">, </w:t>
      </w:r>
      <w:r>
        <w:rPr>
          <w:b/>
        </w:rPr>
        <w:t>9.1</w:t>
      </w:r>
      <w:r>
        <w:t xml:space="preserve">, </w:t>
      </w:r>
      <w:r>
        <w:rPr>
          <w:b/>
        </w:rPr>
        <w:t>10.4</w:t>
      </w:r>
      <w:r>
        <w:t xml:space="preserve">, </w:t>
      </w:r>
      <w:r>
        <w:rPr>
          <w:b/>
        </w:rPr>
        <w:t>10.7</w:t>
      </w:r>
      <w:r>
        <w:t xml:space="preserve">, </w:t>
      </w:r>
      <w:r>
        <w:rPr>
          <w:b/>
        </w:rPr>
        <w:t>11.2</w:t>
      </w:r>
      <w:r>
        <w:t>.</w:t>
      </w:r>
    </w:p>
    <w:p>
      <w:pPr>
        <w:pStyle w:val="ListBullet"/>
      </w:pPr>
      <w:r>
        <w:t xml:space="preserve">Constitución española: </w:t>
      </w:r>
      <w:r>
        <w:rPr>
          <w:b/>
        </w:rPr>
        <w:t>0.2</w:t>
      </w:r>
      <w:r>
        <w:t xml:space="preserve">, </w:t>
      </w:r>
      <w:r>
        <w:t>capítulo 1</w:t>
      </w:r>
      <w:r>
        <w:t xml:space="preserve">, </w:t>
      </w:r>
      <w:r>
        <w:rPr>
          <w:b/>
        </w:rPr>
        <w:t>1.4</w:t>
      </w:r>
      <w:r>
        <w:t xml:space="preserve">, </w:t>
      </w:r>
      <w:r>
        <w:rPr>
          <w:b/>
        </w:rPr>
        <w:t>1.5</w:t>
      </w:r>
      <w:r>
        <w:t xml:space="preserve">, </w:t>
      </w:r>
      <w:r>
        <w:rPr>
          <w:b/>
        </w:rPr>
        <w:t>1.7</w:t>
      </w:r>
      <w:r>
        <w:t xml:space="preserve">, </w:t>
      </w:r>
      <w:r>
        <w:rPr>
          <w:b/>
        </w:rPr>
        <w:t>1.8</w:t>
      </w:r>
      <w:r>
        <w:t xml:space="preserve">, </w:t>
      </w:r>
      <w:r>
        <w:rPr>
          <w:b/>
        </w:rPr>
        <w:t>1.9</w:t>
      </w:r>
      <w:r>
        <w:t xml:space="preserve">, </w:t>
      </w:r>
      <w:r>
        <w:t>capítulo 2</w:t>
      </w:r>
      <w:r>
        <w:t xml:space="preserve">, </w:t>
      </w:r>
      <w:r>
        <w:rPr>
          <w:b/>
        </w:rPr>
        <w:t>2.2</w:t>
      </w:r>
      <w:r>
        <w:t xml:space="preserve">, </w:t>
      </w:r>
      <w:r>
        <w:rPr>
          <w:b/>
        </w:rPr>
        <w:t>2.3</w:t>
      </w:r>
      <w:r>
        <w:t xml:space="preserve">, </w:t>
      </w:r>
      <w:r>
        <w:rPr>
          <w:b/>
        </w:rPr>
        <w:t>2.4</w:t>
      </w:r>
      <w:r>
        <w:t xml:space="preserve">, </w:t>
      </w:r>
      <w:r>
        <w:rPr>
          <w:b/>
        </w:rPr>
        <w:t>2.6</w:t>
      </w:r>
      <w:r>
        <w:t xml:space="preserve">, </w:t>
      </w:r>
      <w:r>
        <w:rPr>
          <w:b/>
        </w:rPr>
        <w:t>5.1</w:t>
      </w:r>
      <w:r>
        <w:t xml:space="preserve">, </w:t>
      </w:r>
      <w:r>
        <w:rPr>
          <w:b/>
        </w:rPr>
        <w:t>5.2</w:t>
      </w:r>
      <w:r>
        <w:t xml:space="preserve">, </w:t>
      </w:r>
      <w:r>
        <w:rPr>
          <w:b/>
        </w:rPr>
        <w:t>6.4</w:t>
      </w:r>
      <w:r>
        <w:t xml:space="preserve">, </w:t>
      </w:r>
      <w:r>
        <w:rPr>
          <w:b/>
        </w:rPr>
        <w:t>7.2</w:t>
      </w:r>
      <w:r>
        <w:t xml:space="preserve">, </w:t>
      </w:r>
      <w:r>
        <w:rPr>
          <w:b/>
        </w:rPr>
        <w:t>7.3</w:t>
      </w:r>
      <w:r>
        <w:t xml:space="preserve">, </w:t>
      </w:r>
      <w:r>
        <w:rPr>
          <w:b/>
        </w:rPr>
        <w:t>7.6</w:t>
      </w:r>
      <w:r>
        <w:t xml:space="preserve">, </w:t>
      </w:r>
      <w:r>
        <w:rPr>
          <w:b/>
        </w:rPr>
        <w:t>8.1</w:t>
      </w:r>
      <w:r>
        <w:t xml:space="preserve">, </w:t>
      </w:r>
      <w:r>
        <w:rPr>
          <w:b/>
        </w:rPr>
        <w:t>8.5</w:t>
      </w:r>
      <w:r>
        <w:t xml:space="preserve">, </w:t>
      </w:r>
      <w:r>
        <w:t>capítulo 9</w:t>
      </w:r>
      <w:r>
        <w:t xml:space="preserve">, </w:t>
      </w:r>
      <w:r>
        <w:rPr>
          <w:b/>
        </w:rPr>
        <w:t>10.0</w:t>
      </w:r>
      <w:r>
        <w:t xml:space="preserve">, </w:t>
      </w:r>
      <w:r>
        <w:rPr>
          <w:b/>
        </w:rPr>
        <w:t>10.1</w:t>
      </w:r>
      <w:r>
        <w:t xml:space="preserve">, </w:t>
      </w:r>
      <w:r>
        <w:rPr>
          <w:b/>
        </w:rPr>
        <w:t>10.2</w:t>
      </w:r>
      <w:r>
        <w:t xml:space="preserve">, </w:t>
      </w:r>
      <w:r>
        <w:rPr>
          <w:b/>
        </w:rPr>
        <w:t>10.4</w:t>
      </w:r>
      <w:r>
        <w:t xml:space="preserve">, </w:t>
      </w:r>
      <w:r>
        <w:rPr>
          <w:b/>
        </w:rPr>
        <w:t>10.6</w:t>
      </w:r>
      <w:r>
        <w:t xml:space="preserve">, </w:t>
      </w:r>
      <w:r>
        <w:rPr>
          <w:b/>
        </w:rPr>
        <w:t>10.7</w:t>
      </w:r>
      <w:r>
        <w:t xml:space="preserve">, </w:t>
      </w:r>
      <w:r>
        <w:rPr>
          <w:b/>
        </w:rPr>
        <w:t>10.8</w:t>
      </w:r>
      <w:r>
        <w:t xml:space="preserve">, </w:t>
      </w:r>
      <w:r>
        <w:rPr>
          <w:b/>
        </w:rPr>
        <w:t>11.0</w:t>
      </w:r>
      <w:r>
        <w:t xml:space="preserve">, </w:t>
      </w:r>
      <w:r>
        <w:rPr>
          <w:b/>
        </w:rPr>
        <w:t>11.1</w:t>
      </w:r>
      <w:r>
        <w:t xml:space="preserve">, </w:t>
      </w:r>
      <w:r>
        <w:rPr>
          <w:b/>
        </w:rPr>
        <w:t>11.2</w:t>
      </w:r>
      <w:r>
        <w:t xml:space="preserve">, </w:t>
      </w:r>
      <w:r>
        <w:rPr>
          <w:b/>
        </w:rPr>
        <w:t>11.3</w:t>
      </w:r>
      <w:r>
        <w:t xml:space="preserve">, </w:t>
      </w:r>
      <w:r>
        <w:rPr>
          <w:b/>
        </w:rPr>
        <w:t>11.4</w:t>
      </w:r>
      <w:r>
        <w:t xml:space="preserve">, </w:t>
      </w:r>
      <w:r>
        <w:rPr>
          <w:b/>
        </w:rPr>
        <w:t>A.3</w:t>
      </w:r>
      <w:r>
        <w:t xml:space="preserve">, </w:t>
      </w:r>
      <w:r>
        <w:rPr>
          <w:b/>
        </w:rPr>
        <w:t>A.10</w:t>
      </w:r>
      <w:r>
        <w:t xml:space="preserve">, </w:t>
      </w:r>
      <w:r>
        <w:rPr>
          <w:b/>
        </w:rPr>
        <w:t>C.4</w:t>
      </w:r>
      <w:r>
        <w:t xml:space="preserve">, </w:t>
      </w:r>
      <w:r>
        <w:rPr>
          <w:b/>
        </w:rPr>
        <w:t>D.9</w:t>
      </w:r>
      <w:r>
        <w:t xml:space="preserve">, </w:t>
      </w:r>
      <w:r>
        <w:rPr>
          <w:b/>
        </w:rPr>
        <w:t>D.13</w:t>
      </w:r>
      <w:r>
        <w:t xml:space="preserve">, </w:t>
      </w:r>
      <w:r>
        <w:rPr>
          <w:b/>
        </w:rPr>
        <w:t>H.10</w:t>
      </w:r>
      <w:r>
        <w:t xml:space="preserve">, </w:t>
      </w:r>
      <w:r>
        <w:rPr>
          <w:b/>
        </w:rPr>
        <w:t>J.6</w:t>
      </w:r>
      <w:r>
        <w:t>.</w:t>
      </w:r>
    </w:p>
    <w:p>
      <w:pPr>
        <w:pStyle w:val="ListBullet"/>
      </w:pPr>
      <w:r>
        <w:t xml:space="preserve">Decreto 2065/1974: </w:t>
      </w:r>
      <w:r>
        <w:rPr>
          <w:b/>
        </w:rPr>
        <w:t>9.1</w:t>
      </w:r>
      <w:r>
        <w:t>.</w:t>
      </w:r>
    </w:p>
    <w:p>
      <w:pPr>
        <w:pStyle w:val="ListBullet"/>
      </w:pPr>
      <w:r>
        <w:t xml:space="preserve">Decreto 2926/1974: </w:t>
      </w:r>
      <w:r>
        <w:rPr>
          <w:b/>
        </w:rPr>
        <w:t>8.5</w:t>
      </w:r>
      <w:r>
        <w:t>.</w:t>
      </w:r>
    </w:p>
    <w:p>
      <w:pPr>
        <w:pStyle w:val="ListBullet"/>
      </w:pPr>
      <w:r>
        <w:t xml:space="preserve">Decreto 3530/1972: </w:t>
      </w:r>
      <w:r>
        <w:rPr>
          <w:b/>
        </w:rPr>
        <w:t>8.5</w:t>
      </w:r>
      <w:r>
        <w:t>.</w:t>
      </w:r>
    </w:p>
    <w:p>
      <w:pPr>
        <w:pStyle w:val="ListBullet"/>
      </w:pPr>
      <w:r>
        <w:t xml:space="preserve">Decreto 720/1970: </w:t>
      </w:r>
      <w:r>
        <w:rPr>
          <w:b/>
        </w:rPr>
        <w:t>8.3</w:t>
      </w:r>
      <w:r>
        <w:t>.</w:t>
      </w:r>
    </w:p>
    <w:p>
      <w:pPr>
        <w:pStyle w:val="ListBullet"/>
      </w:pPr>
      <w:r>
        <w:t xml:space="preserve">Decreto 73/2006 de la Generalitat Valenciana: </w:t>
      </w:r>
      <w:r>
        <w:rPr>
          <w:b/>
        </w:rPr>
        <w:t>1.5</w:t>
      </w:r>
      <w:r>
        <w:t>.</w:t>
      </w:r>
    </w:p>
    <w:p>
      <w:pPr>
        <w:pStyle w:val="ListBullet"/>
      </w:pPr>
      <w:r>
        <w:t xml:space="preserve">Decreto de las Cortes de Cádiz de 6 de agosto de 1811: </w:t>
      </w:r>
      <w:r>
        <w:rPr>
          <w:b/>
        </w:rPr>
        <w:t>2.2</w:t>
      </w:r>
      <w:r>
        <w:t xml:space="preserve">, </w:t>
      </w:r>
      <w:r>
        <w:rPr>
          <w:b/>
        </w:rPr>
        <w:t>6.3</w:t>
      </w:r>
      <w:r>
        <w:t>.</w:t>
      </w:r>
    </w:p>
    <w:p>
      <w:pPr>
        <w:pStyle w:val="ListBullet"/>
      </w:pPr>
      <w:r>
        <w:t xml:space="preserve">Decreto ley 3/2026 de Canarias: </w:t>
      </w:r>
      <w:r>
        <w:rPr>
          <w:b/>
        </w:rPr>
        <w:t>8.5</w:t>
      </w:r>
      <w:r>
        <w:t>.</w:t>
      </w:r>
    </w:p>
    <w:p>
      <w:pPr>
        <w:pStyle w:val="ListBullet"/>
      </w:pPr>
      <w:r>
        <w:t xml:space="preserve">Estatuto Básico del Empleado Público: </w:t>
      </w:r>
      <w:r>
        <w:rPr>
          <w:b/>
        </w:rPr>
        <w:t>8.6</w:t>
      </w:r>
      <w:r>
        <w:t xml:space="preserve">, </w:t>
      </w:r>
      <w:r>
        <w:rPr>
          <w:b/>
        </w:rPr>
        <w:t>10.2</w:t>
      </w:r>
      <w:r>
        <w:t xml:space="preserve">, </w:t>
      </w:r>
      <w:r>
        <w:rPr>
          <w:b/>
        </w:rPr>
        <w:t>10.4</w:t>
      </w:r>
      <w:r>
        <w:t xml:space="preserve">, </w:t>
      </w:r>
      <w:r>
        <w:rPr>
          <w:b/>
        </w:rPr>
        <w:t>C.0</w:t>
      </w:r>
      <w:r>
        <w:t xml:space="preserve">, </w:t>
      </w:r>
      <w:r>
        <w:rPr>
          <w:b/>
        </w:rPr>
        <w:t>C.4</w:t>
      </w:r>
      <w:r>
        <w:t>.</w:t>
      </w:r>
    </w:p>
    <w:p>
      <w:pPr>
        <w:pStyle w:val="ListBullet"/>
      </w:pPr>
      <w:r>
        <w:t xml:space="preserve">Estatuto de los Trabajadores: </w:t>
      </w:r>
      <w:r>
        <w:rPr>
          <w:b/>
        </w:rPr>
        <w:t>8.6</w:t>
      </w:r>
      <w:r>
        <w:t xml:space="preserve">, </w:t>
      </w:r>
      <w:r>
        <w:rPr>
          <w:b/>
        </w:rPr>
        <w:t>C.4</w:t>
      </w:r>
      <w:r>
        <w:t>.</w:t>
      </w:r>
    </w:p>
    <w:p>
      <w:pPr>
        <w:pStyle w:val="ListBullet"/>
      </w:pPr>
      <w:r>
        <w:t xml:space="preserve">Fuero Nuevo de Navarra: </w:t>
      </w:r>
      <w:r>
        <w:rPr>
          <w:b/>
        </w:rPr>
        <w:t>1.1</w:t>
      </w:r>
      <w:r>
        <w:t>.</w:t>
      </w:r>
    </w:p>
    <w:p>
      <w:pPr>
        <w:pStyle w:val="ListBullet"/>
      </w:pPr>
      <w:r>
        <w:t xml:space="preserve">Ley 74/1980: </w:t>
      </w:r>
      <w:r>
        <w:rPr>
          <w:b/>
        </w:rPr>
        <w:t>C.4</w:t>
      </w:r>
      <w:r>
        <w:t>.</w:t>
      </w:r>
    </w:p>
    <w:p>
      <w:pPr>
        <w:pStyle w:val="ListBullet"/>
      </w:pPr>
      <w:r>
        <w:t xml:space="preserve">Ley 7/1981: </w:t>
      </w:r>
      <w:r>
        <w:rPr>
          <w:b/>
        </w:rPr>
        <w:t>C.4</w:t>
      </w:r>
      <w:r>
        <w:t>.</w:t>
      </w:r>
    </w:p>
    <w:p>
      <w:pPr>
        <w:pStyle w:val="ListBullet"/>
      </w:pPr>
      <w:r>
        <w:t xml:space="preserve">Ley 39/1981: </w:t>
      </w:r>
      <w:r>
        <w:rPr>
          <w:b/>
        </w:rPr>
        <w:t>A.1</w:t>
      </w:r>
      <w:r>
        <w:t>.</w:t>
      </w:r>
    </w:p>
    <w:p>
      <w:pPr>
        <w:pStyle w:val="ListBullet"/>
      </w:pPr>
      <w:r>
        <w:t xml:space="preserve">Ley 7/1985: </w:t>
      </w:r>
      <w:r>
        <w:rPr>
          <w:b/>
        </w:rPr>
        <w:t>C.5</w:t>
      </w:r>
      <w:r>
        <w:t xml:space="preserve">, </w:t>
      </w:r>
      <w:r>
        <w:rPr>
          <w:b/>
        </w:rPr>
        <w:t>D.13</w:t>
      </w:r>
      <w:r>
        <w:t>.</w:t>
      </w:r>
    </w:p>
    <w:p>
      <w:pPr>
        <w:pStyle w:val="ListBullet"/>
      </w:pPr>
      <w:r>
        <w:t xml:space="preserve">Ley 26/1985: </w:t>
      </w:r>
      <w:r>
        <w:rPr>
          <w:b/>
        </w:rPr>
        <w:t>9.1</w:t>
      </w:r>
      <w:r>
        <w:t>.</w:t>
      </w:r>
    </w:p>
    <w:p>
      <w:pPr>
        <w:pStyle w:val="ListBullet"/>
      </w:pPr>
      <w:r>
        <w:t xml:space="preserve">Ley 30/1985: </w:t>
      </w:r>
      <w:r>
        <w:rPr>
          <w:b/>
        </w:rPr>
        <w:t>8.5</w:t>
      </w:r>
      <w:r>
        <w:t>.</w:t>
      </w:r>
    </w:p>
    <w:p>
      <w:pPr>
        <w:pStyle w:val="ListBullet"/>
      </w:pPr>
      <w:r>
        <w:t xml:space="preserve">Ley 9/1988: </w:t>
      </w:r>
      <w:r>
        <w:rPr>
          <w:b/>
        </w:rPr>
        <w:t>A.2</w:t>
      </w:r>
      <w:r>
        <w:t>.</w:t>
      </w:r>
    </w:p>
    <w:p>
      <w:pPr>
        <w:pStyle w:val="ListBullet"/>
      </w:pPr>
      <w:r>
        <w:t xml:space="preserve">Ley 22/1988: </w:t>
      </w:r>
      <w:r>
        <w:rPr>
          <w:b/>
        </w:rPr>
        <w:t>A.8</w:t>
      </w:r>
      <w:r>
        <w:t>.</w:t>
      </w:r>
    </w:p>
    <w:p>
      <w:pPr>
        <w:pStyle w:val="ListBullet"/>
      </w:pPr>
      <w:r>
        <w:t xml:space="preserve">Ley 29/1990: </w:t>
      </w:r>
      <w:r>
        <w:rPr>
          <w:b/>
        </w:rPr>
        <w:t>A.9</w:t>
      </w:r>
      <w:r>
        <w:t>.</w:t>
      </w:r>
    </w:p>
    <w:p>
      <w:pPr>
        <w:pStyle w:val="ListBullet"/>
      </w:pPr>
      <w:r>
        <w:t xml:space="preserve">Ley 31/1991: </w:t>
      </w:r>
      <w:r>
        <w:rPr>
          <w:b/>
        </w:rPr>
        <w:t>8.5</w:t>
      </w:r>
      <w:r>
        <w:t>.</w:t>
      </w:r>
    </w:p>
    <w:p>
      <w:pPr>
        <w:pStyle w:val="ListBullet"/>
      </w:pPr>
      <w:r>
        <w:t xml:space="preserve">Ley 37/1992: </w:t>
      </w:r>
      <w:r>
        <w:rPr>
          <w:b/>
        </w:rPr>
        <w:t>B.4</w:t>
      </w:r>
      <w:r>
        <w:t>.</w:t>
      </w:r>
    </w:p>
    <w:p>
      <w:pPr>
        <w:pStyle w:val="ListBullet"/>
      </w:pPr>
      <w:r>
        <w:t xml:space="preserve">Ley 38/1992: </w:t>
      </w:r>
      <w:r>
        <w:rPr>
          <w:b/>
        </w:rPr>
        <w:t>B.4</w:t>
      </w:r>
      <w:r>
        <w:t>.</w:t>
      </w:r>
    </w:p>
    <w:p>
      <w:pPr>
        <w:pStyle w:val="ListBullet"/>
      </w:pPr>
      <w:r>
        <w:t xml:space="preserve">Ley 41/1994: </w:t>
      </w:r>
      <w:r>
        <w:rPr>
          <w:b/>
        </w:rPr>
        <w:t>8.5</w:t>
      </w:r>
      <w:r>
        <w:t>.</w:t>
      </w:r>
    </w:p>
    <w:p>
      <w:pPr>
        <w:pStyle w:val="ListBullet"/>
      </w:pPr>
      <w:r>
        <w:t xml:space="preserve">Ley 29/1998: </w:t>
      </w:r>
      <w:r>
        <w:rPr>
          <w:b/>
        </w:rPr>
        <w:t>1.6</w:t>
      </w:r>
      <w:r>
        <w:t xml:space="preserve">, </w:t>
      </w:r>
      <w:r>
        <w:rPr>
          <w:b/>
        </w:rPr>
        <w:t>10.4</w:t>
      </w:r>
      <w:r>
        <w:t xml:space="preserve">, </w:t>
      </w:r>
      <w:r>
        <w:rPr>
          <w:b/>
        </w:rPr>
        <w:t>10.8</w:t>
      </w:r>
      <w:r>
        <w:t xml:space="preserve">, </w:t>
      </w:r>
      <w:r>
        <w:rPr>
          <w:b/>
        </w:rPr>
        <w:t>11.2</w:t>
      </w:r>
      <w:r>
        <w:t xml:space="preserve">, </w:t>
      </w:r>
      <w:r>
        <w:rPr>
          <w:b/>
        </w:rPr>
        <w:t>D.5</w:t>
      </w:r>
      <w:r>
        <w:t>.</w:t>
      </w:r>
    </w:p>
    <w:p>
      <w:pPr>
        <w:pStyle w:val="ListBullet"/>
      </w:pPr>
      <w:r>
        <w:t xml:space="preserve">Ley 46/1998: </w:t>
      </w:r>
      <w:r>
        <w:rPr>
          <w:b/>
        </w:rPr>
        <w:t>1.6</w:t>
      </w:r>
      <w:r>
        <w:t xml:space="preserve">, </w:t>
      </w:r>
      <w:r>
        <w:rPr>
          <w:b/>
        </w:rPr>
        <w:t>5.1</w:t>
      </w:r>
      <w:r>
        <w:t xml:space="preserve">, </w:t>
      </w:r>
      <w:r>
        <w:rPr>
          <w:b/>
        </w:rPr>
        <w:t>8.3</w:t>
      </w:r>
      <w:r>
        <w:t xml:space="preserve">, </w:t>
      </w:r>
      <w:r>
        <w:rPr>
          <w:b/>
        </w:rPr>
        <w:t>11.3</w:t>
      </w:r>
      <w:r>
        <w:t>.</w:t>
      </w:r>
    </w:p>
    <w:p>
      <w:pPr>
        <w:pStyle w:val="ListBullet"/>
      </w:pPr>
      <w:r>
        <w:t xml:space="preserve">Ley 17/1999: </w:t>
      </w:r>
      <w:r>
        <w:rPr>
          <w:b/>
        </w:rPr>
        <w:t>7.6</w:t>
      </w:r>
      <w:r>
        <w:t>.</w:t>
      </w:r>
    </w:p>
    <w:p>
      <w:pPr>
        <w:pStyle w:val="ListBullet"/>
      </w:pPr>
      <w:r>
        <w:t xml:space="preserve">Ley 38/1999: </w:t>
      </w:r>
      <w:r>
        <w:rPr>
          <w:b/>
        </w:rPr>
        <w:t>8.4</w:t>
      </w:r>
      <w:r>
        <w:t>.</w:t>
      </w:r>
    </w:p>
    <w:p>
      <w:pPr>
        <w:pStyle w:val="ListBullet"/>
      </w:pPr>
      <w:r>
        <w:t xml:space="preserve">Ley 6/2003: </w:t>
      </w:r>
      <w:r>
        <w:rPr>
          <w:b/>
        </w:rPr>
        <w:t>C.4</w:t>
      </w:r>
      <w:r>
        <w:t>.</w:t>
      </w:r>
    </w:p>
    <w:p>
      <w:pPr>
        <w:pStyle w:val="ListBullet"/>
      </w:pPr>
      <w:r>
        <w:t xml:space="preserve">Ley 60/2003: </w:t>
      </w:r>
      <w:r>
        <w:rPr>
          <w:b/>
        </w:rPr>
        <w:t>11.3</w:t>
      </w:r>
      <w:r>
        <w:t>.</w:t>
      </w:r>
    </w:p>
    <w:p>
      <w:pPr>
        <w:pStyle w:val="ListBullet"/>
      </w:pPr>
      <w:r>
        <w:t xml:space="preserve">Ley 2/2005: </w:t>
      </w:r>
      <w:r>
        <w:rPr>
          <w:b/>
        </w:rPr>
        <w:t>C.4</w:t>
      </w:r>
      <w:r>
        <w:t>.</w:t>
      </w:r>
    </w:p>
    <w:p>
      <w:pPr>
        <w:pStyle w:val="ListBullet"/>
      </w:pPr>
      <w:r>
        <w:t xml:space="preserve">Ley 15/2005: </w:t>
      </w:r>
      <w:r>
        <w:rPr>
          <w:b/>
        </w:rPr>
        <w:t>8.10</w:t>
      </w:r>
      <w:r>
        <w:t>.</w:t>
      </w:r>
    </w:p>
    <w:p>
      <w:pPr>
        <w:pStyle w:val="ListBullet"/>
      </w:pPr>
      <w:r>
        <w:t xml:space="preserve">Ley 35/2006: </w:t>
      </w:r>
      <w:r>
        <w:rPr>
          <w:b/>
        </w:rPr>
        <w:t>5.1</w:t>
      </w:r>
      <w:r>
        <w:t xml:space="preserve">, </w:t>
      </w:r>
      <w:r>
        <w:rPr>
          <w:b/>
        </w:rPr>
        <w:t>8.3</w:t>
      </w:r>
      <w:r>
        <w:t>.</w:t>
      </w:r>
    </w:p>
    <w:p>
      <w:pPr>
        <w:pStyle w:val="ListBullet"/>
      </w:pPr>
      <w:r>
        <w:t xml:space="preserve">Ley 42/2006: </w:t>
      </w:r>
      <w:r>
        <w:rPr>
          <w:b/>
        </w:rPr>
        <w:t>A.2</w:t>
      </w:r>
      <w:r>
        <w:t>.</w:t>
      </w:r>
    </w:p>
    <w:p>
      <w:pPr>
        <w:pStyle w:val="ListBullet"/>
      </w:pPr>
      <w:r>
        <w:t xml:space="preserve">Ley 20/2007: </w:t>
      </w:r>
      <w:r>
        <w:rPr>
          <w:b/>
        </w:rPr>
        <w:t>11.3</w:t>
      </w:r>
      <w:r>
        <w:t>.</w:t>
      </w:r>
    </w:p>
    <w:p>
      <w:pPr>
        <w:pStyle w:val="ListBullet"/>
      </w:pPr>
      <w:r>
        <w:t xml:space="preserve">Ley 22/2009: </w:t>
      </w:r>
      <w:r>
        <w:rPr>
          <w:b/>
        </w:rPr>
        <w:t>7.2</w:t>
      </w:r>
      <w:r>
        <w:t xml:space="preserve">, </w:t>
      </w:r>
      <w:r>
        <w:rPr>
          <w:b/>
        </w:rPr>
        <w:t>A.9</w:t>
      </w:r>
      <w:r>
        <w:t xml:space="preserve">, </w:t>
      </w:r>
      <w:r>
        <w:rPr>
          <w:b/>
        </w:rPr>
        <w:t>C.2</w:t>
      </w:r>
      <w:r>
        <w:t>.</w:t>
      </w:r>
    </w:p>
    <w:p>
      <w:pPr>
        <w:pStyle w:val="ListBullet"/>
      </w:pPr>
      <w:r>
        <w:t xml:space="preserve">Ley 26/2009: </w:t>
      </w:r>
      <w:r>
        <w:rPr>
          <w:b/>
        </w:rPr>
        <w:t>8.5</w:t>
      </w:r>
      <w:r>
        <w:t>.</w:t>
      </w:r>
    </w:p>
    <w:p>
      <w:pPr>
        <w:pStyle w:val="ListBullet"/>
      </w:pPr>
      <w:r>
        <w:t xml:space="preserve">Ley 25/2010: </w:t>
      </w:r>
      <w:r>
        <w:rPr>
          <w:b/>
        </w:rPr>
        <w:t>A.2</w:t>
      </w:r>
      <w:r>
        <w:t>.</w:t>
      </w:r>
    </w:p>
    <w:p>
      <w:pPr>
        <w:pStyle w:val="ListBullet"/>
      </w:pPr>
      <w:r>
        <w:t xml:space="preserve">Ley 9/2011: </w:t>
      </w:r>
      <w:r>
        <w:rPr>
          <w:b/>
        </w:rPr>
        <w:t>C.4</w:t>
      </w:r>
      <w:r>
        <w:t>.</w:t>
      </w:r>
    </w:p>
    <w:p>
      <w:pPr>
        <w:pStyle w:val="ListBullet"/>
      </w:pPr>
      <w:r>
        <w:t xml:space="preserve">Ley 20/2011: </w:t>
      </w:r>
      <w:r>
        <w:rPr>
          <w:b/>
        </w:rPr>
        <w:t>5.4</w:t>
      </w:r>
      <w:r>
        <w:t>.</w:t>
      </w:r>
    </w:p>
    <w:p>
      <w:pPr>
        <w:pStyle w:val="ListBullet"/>
      </w:pPr>
      <w:r>
        <w:t xml:space="preserve">Ley 7/2012: </w:t>
      </w:r>
      <w:r>
        <w:rPr>
          <w:b/>
        </w:rPr>
        <w:t>8.11</w:t>
      </w:r>
      <w:r>
        <w:t>.</w:t>
      </w:r>
    </w:p>
    <w:p>
      <w:pPr>
        <w:pStyle w:val="ListBullet"/>
      </w:pPr>
      <w:r>
        <w:t xml:space="preserve">Ley 19/2013: </w:t>
      </w:r>
      <w:r>
        <w:rPr>
          <w:b/>
        </w:rPr>
        <w:t>5.1</w:t>
      </w:r>
      <w:r>
        <w:t xml:space="preserve">, </w:t>
      </w:r>
      <w:r>
        <w:rPr>
          <w:b/>
        </w:rPr>
        <w:t>8.6</w:t>
      </w:r>
      <w:r>
        <w:t xml:space="preserve">, </w:t>
      </w:r>
      <w:r>
        <w:rPr>
          <w:b/>
        </w:rPr>
        <w:t>10.2</w:t>
      </w:r>
      <w:r>
        <w:t xml:space="preserve">, </w:t>
      </w:r>
      <w:r>
        <w:rPr>
          <w:b/>
        </w:rPr>
        <w:t>10.4</w:t>
      </w:r>
      <w:r>
        <w:t xml:space="preserve">, </w:t>
      </w:r>
      <w:r>
        <w:rPr>
          <w:b/>
        </w:rPr>
        <w:t>11.3</w:t>
      </w:r>
      <w:r>
        <w:t xml:space="preserve">, </w:t>
      </w:r>
      <w:r>
        <w:rPr>
          <w:b/>
        </w:rPr>
        <w:t>C.0</w:t>
      </w:r>
      <w:r>
        <w:t xml:space="preserve">, </w:t>
      </w:r>
      <w:r>
        <w:rPr>
          <w:b/>
        </w:rPr>
        <w:t>D.2</w:t>
      </w:r>
      <w:r>
        <w:t xml:space="preserve">, </w:t>
      </w:r>
      <w:r>
        <w:rPr>
          <w:b/>
        </w:rPr>
        <w:t>D.13</w:t>
      </w:r>
      <w:r>
        <w:t>.</w:t>
      </w:r>
    </w:p>
    <w:p>
      <w:pPr>
        <w:pStyle w:val="ListBullet"/>
      </w:pPr>
      <w:r>
        <w:t xml:space="preserve">Ley 27/2013: </w:t>
      </w:r>
      <w:r>
        <w:rPr>
          <w:b/>
        </w:rPr>
        <w:t>A.9</w:t>
      </w:r>
      <w:r>
        <w:t>.</w:t>
      </w:r>
    </w:p>
    <w:p>
      <w:pPr>
        <w:pStyle w:val="ListBullet"/>
      </w:pPr>
      <w:r>
        <w:t xml:space="preserve">Ley 12/2014: </w:t>
      </w:r>
      <w:r>
        <w:rPr>
          <w:b/>
        </w:rPr>
        <w:t>A.2</w:t>
      </w:r>
      <w:r>
        <w:t>.</w:t>
      </w:r>
    </w:p>
    <w:p>
      <w:pPr>
        <w:pStyle w:val="ListBullet"/>
      </w:pPr>
      <w:r>
        <w:t xml:space="preserve">Ley 27/2014: </w:t>
      </w:r>
      <w:r>
        <w:rPr>
          <w:b/>
        </w:rPr>
        <w:t>8.4</w:t>
      </w:r>
      <w:r>
        <w:t>.</w:t>
      </w:r>
    </w:p>
    <w:p>
      <w:pPr>
        <w:pStyle w:val="ListBullet"/>
      </w:pPr>
      <w:r>
        <w:t xml:space="preserve">Ley 3/2015: </w:t>
      </w:r>
      <w:r>
        <w:rPr>
          <w:b/>
        </w:rPr>
        <w:t>C.0</w:t>
      </w:r>
      <w:r>
        <w:t>.</w:t>
      </w:r>
    </w:p>
    <w:p>
      <w:pPr>
        <w:pStyle w:val="ListBullet"/>
      </w:pPr>
      <w:r>
        <w:t xml:space="preserve">Ley 22/2015: </w:t>
      </w:r>
      <w:r>
        <w:rPr>
          <w:b/>
        </w:rPr>
        <w:t>9.1</w:t>
      </w:r>
      <w:r>
        <w:t>.</w:t>
      </w:r>
    </w:p>
    <w:p>
      <w:pPr>
        <w:pStyle w:val="ListBullet"/>
      </w:pPr>
      <w:r>
        <w:t xml:space="preserve">Ley 39/2015: </w:t>
      </w:r>
      <w:r>
        <w:rPr>
          <w:b/>
        </w:rPr>
        <w:t>1.6</w:t>
      </w:r>
      <w:r>
        <w:t xml:space="preserve">, </w:t>
      </w:r>
      <w:r>
        <w:rPr>
          <w:b/>
        </w:rPr>
        <w:t>5.1</w:t>
      </w:r>
      <w:r>
        <w:t xml:space="preserve">, </w:t>
      </w:r>
      <w:r>
        <w:rPr>
          <w:b/>
        </w:rPr>
        <w:t>5.2</w:t>
      </w:r>
      <w:r>
        <w:t xml:space="preserve">, </w:t>
      </w:r>
      <w:r>
        <w:rPr>
          <w:b/>
        </w:rPr>
        <w:t>7.5</w:t>
      </w:r>
      <w:r>
        <w:t xml:space="preserve">, </w:t>
      </w:r>
      <w:r>
        <w:rPr>
          <w:b/>
        </w:rPr>
        <w:t>7.6</w:t>
      </w:r>
      <w:r>
        <w:t xml:space="preserve">, </w:t>
      </w:r>
      <w:r>
        <w:rPr>
          <w:b/>
        </w:rPr>
        <w:t>8.4</w:t>
      </w:r>
      <w:r>
        <w:t xml:space="preserve">, </w:t>
      </w:r>
      <w:r>
        <w:rPr>
          <w:b/>
        </w:rPr>
        <w:t>8.5</w:t>
      </w:r>
      <w:r>
        <w:t xml:space="preserve">, </w:t>
      </w:r>
      <w:r>
        <w:rPr>
          <w:b/>
        </w:rPr>
        <w:t>10.1</w:t>
      </w:r>
      <w:r>
        <w:t xml:space="preserve">, </w:t>
      </w:r>
      <w:r>
        <w:rPr>
          <w:b/>
        </w:rPr>
        <w:t>10.4</w:t>
      </w:r>
      <w:r>
        <w:t xml:space="preserve">, </w:t>
      </w:r>
      <w:r>
        <w:rPr>
          <w:b/>
        </w:rPr>
        <w:t>10.5</w:t>
      </w:r>
      <w:r>
        <w:t xml:space="preserve">, </w:t>
      </w:r>
      <w:r>
        <w:rPr>
          <w:b/>
        </w:rPr>
        <w:t>10.7</w:t>
      </w:r>
      <w:r>
        <w:t xml:space="preserve">, </w:t>
      </w:r>
      <w:r>
        <w:rPr>
          <w:b/>
        </w:rPr>
        <w:t>11.2</w:t>
      </w:r>
      <w:r>
        <w:t xml:space="preserve">, </w:t>
      </w:r>
      <w:r>
        <w:rPr>
          <w:b/>
        </w:rPr>
        <w:t>11.3</w:t>
      </w:r>
      <w:r>
        <w:t xml:space="preserve">, </w:t>
      </w:r>
      <w:r>
        <w:rPr>
          <w:b/>
        </w:rPr>
        <w:t>D.3</w:t>
      </w:r>
      <w:r>
        <w:t xml:space="preserve">, </w:t>
      </w:r>
      <w:r>
        <w:rPr>
          <w:b/>
        </w:rPr>
        <w:t>D.5</w:t>
      </w:r>
      <w:r>
        <w:t xml:space="preserve">, </w:t>
      </w:r>
      <w:r>
        <w:rPr>
          <w:b/>
        </w:rPr>
        <w:t>D.8</w:t>
      </w:r>
      <w:r>
        <w:t xml:space="preserve">, </w:t>
      </w:r>
      <w:r>
        <w:rPr>
          <w:b/>
        </w:rPr>
        <w:t>D.10</w:t>
      </w:r>
      <w:r>
        <w:t xml:space="preserve">, </w:t>
      </w:r>
      <w:r>
        <w:rPr>
          <w:b/>
        </w:rPr>
        <w:t>D.12</w:t>
      </w:r>
      <w:r>
        <w:t xml:space="preserve">, </w:t>
      </w:r>
      <w:r>
        <w:rPr>
          <w:b/>
        </w:rPr>
        <w:t>D.13</w:t>
      </w:r>
      <w:r>
        <w:t>.</w:t>
      </w:r>
    </w:p>
    <w:p>
      <w:pPr>
        <w:pStyle w:val="ListBullet"/>
      </w:pPr>
      <w:r>
        <w:t xml:space="preserve">Ley 40/2015: </w:t>
      </w:r>
      <w:r>
        <w:rPr>
          <w:b/>
        </w:rPr>
        <w:t>1.7</w:t>
      </w:r>
      <w:r>
        <w:t xml:space="preserve">, </w:t>
      </w:r>
      <w:r>
        <w:rPr>
          <w:b/>
        </w:rPr>
        <w:t>2.1</w:t>
      </w:r>
      <w:r>
        <w:t xml:space="preserve">, </w:t>
      </w:r>
      <w:r>
        <w:rPr>
          <w:b/>
        </w:rPr>
        <w:t>10.4</w:t>
      </w:r>
      <w:r>
        <w:t xml:space="preserve">, </w:t>
      </w:r>
      <w:r>
        <w:rPr>
          <w:b/>
        </w:rPr>
        <w:t>10.6</w:t>
      </w:r>
      <w:r>
        <w:t xml:space="preserve">, </w:t>
      </w:r>
      <w:r>
        <w:rPr>
          <w:b/>
        </w:rPr>
        <w:t>11.2</w:t>
      </w:r>
      <w:r>
        <w:t xml:space="preserve">, </w:t>
      </w:r>
      <w:r>
        <w:rPr>
          <w:b/>
        </w:rPr>
        <w:t>11.3</w:t>
      </w:r>
      <w:r>
        <w:t xml:space="preserve">, </w:t>
      </w:r>
      <w:r>
        <w:rPr>
          <w:b/>
        </w:rPr>
        <w:t>D.12</w:t>
      </w:r>
      <w:r>
        <w:t xml:space="preserve">, </w:t>
      </w:r>
      <w:r>
        <w:rPr>
          <w:b/>
        </w:rPr>
        <w:t>D.13</w:t>
      </w:r>
      <w:r>
        <w:t>.</w:t>
      </w:r>
    </w:p>
    <w:p>
      <w:pPr>
        <w:pStyle w:val="ListBullet"/>
      </w:pPr>
      <w:r>
        <w:t xml:space="preserve">Ley 11/2021: </w:t>
      </w:r>
      <w:r>
        <w:rPr>
          <w:b/>
        </w:rPr>
        <w:t>8.11</w:t>
      </w:r>
      <w:r>
        <w:t>.</w:t>
      </w:r>
    </w:p>
    <w:p>
      <w:pPr>
        <w:pStyle w:val="ListBullet"/>
      </w:pPr>
      <w:r>
        <w:t xml:space="preserve">Ley 20/2021: </w:t>
      </w:r>
      <w:r>
        <w:rPr>
          <w:b/>
        </w:rPr>
        <w:t>A.5</w:t>
      </w:r>
      <w:r>
        <w:t>.</w:t>
      </w:r>
    </w:p>
    <w:p>
      <w:pPr>
        <w:pStyle w:val="ListBullet"/>
      </w:pPr>
      <w:r>
        <w:t xml:space="preserve">Ley 31/2022: </w:t>
      </w:r>
      <w:r>
        <w:rPr>
          <w:b/>
        </w:rPr>
        <w:t>11.3</w:t>
      </w:r>
      <w:r>
        <w:t>.</w:t>
      </w:r>
    </w:p>
    <w:p>
      <w:pPr>
        <w:pStyle w:val="ListBullet"/>
      </w:pPr>
      <w:r>
        <w:t xml:space="preserve">Ley Concursal (texto refundido): </w:t>
      </w:r>
      <w:r>
        <w:rPr>
          <w:b/>
        </w:rPr>
        <w:t>5.1</w:t>
      </w:r>
      <w:r>
        <w:t xml:space="preserve">, </w:t>
      </w:r>
      <w:r>
        <w:rPr>
          <w:b/>
        </w:rPr>
        <w:t>11.3</w:t>
      </w:r>
      <w:r>
        <w:t xml:space="preserve">, </w:t>
      </w:r>
      <w:r>
        <w:rPr>
          <w:b/>
        </w:rPr>
        <w:t>11.4</w:t>
      </w:r>
      <w:r>
        <w:t>.</w:t>
      </w:r>
    </w:p>
    <w:p>
      <w:pPr>
        <w:pStyle w:val="ListBullet"/>
      </w:pPr>
      <w:r>
        <w:t xml:space="preserve">Ley de 16 de diciembre de 1954: </w:t>
      </w:r>
      <w:r>
        <w:rPr>
          <w:b/>
        </w:rPr>
        <w:t>10.6</w:t>
      </w:r>
      <w:r>
        <w:t>.</w:t>
      </w:r>
    </w:p>
    <w:p>
      <w:pPr>
        <w:pStyle w:val="ListBullet"/>
      </w:pPr>
      <w:r>
        <w:t xml:space="preserve">Ley de 22 de marzo de 1873: </w:t>
      </w:r>
      <w:r>
        <w:rPr>
          <w:b/>
        </w:rPr>
        <w:t>3.1</w:t>
      </w:r>
      <w:r>
        <w:t>.</w:t>
      </w:r>
    </w:p>
    <w:p>
      <w:pPr>
        <w:pStyle w:val="ListBullet"/>
      </w:pPr>
      <w:r>
        <w:t xml:space="preserve">Ley de 23 de julio de 1908: </w:t>
      </w:r>
      <w:r>
        <w:rPr>
          <w:b/>
        </w:rPr>
        <w:t>3.3</w:t>
      </w:r>
      <w:r>
        <w:t>.</w:t>
      </w:r>
    </w:p>
    <w:p>
      <w:pPr>
        <w:pStyle w:val="ListBullet"/>
      </w:pPr>
      <w:r>
        <w:t xml:space="preserve">Ley de Amnistía (2024): </w:t>
      </w:r>
      <w:r>
        <w:rPr>
          <w:b/>
        </w:rPr>
        <w:t>A.4</w:t>
      </w:r>
      <w:r>
        <w:t>.</w:t>
      </w:r>
    </w:p>
    <w:p>
      <w:pPr>
        <w:pStyle w:val="ListBullet"/>
      </w:pPr>
      <w:r>
        <w:t xml:space="preserve">Ley de Bases de 11 de mayo de 1888: </w:t>
      </w:r>
      <w:r>
        <w:rPr>
          <w:b/>
        </w:rPr>
        <w:t>1.5</w:t>
      </w:r>
      <w:r>
        <w:t>.</w:t>
      </w:r>
    </w:p>
    <w:p>
      <w:pPr>
        <w:pStyle w:val="ListBullet"/>
      </w:pPr>
      <w:r>
        <w:t xml:space="preserve">Ley de Enjuiciamiento Civil: </w:t>
      </w:r>
      <w:r>
        <w:rPr>
          <w:b/>
        </w:rPr>
        <w:t>0.4</w:t>
      </w:r>
      <w:r>
        <w:t xml:space="preserve">, </w:t>
      </w:r>
      <w:r>
        <w:rPr>
          <w:b/>
        </w:rPr>
        <w:t>5.1</w:t>
      </w:r>
      <w:r>
        <w:t xml:space="preserve">, </w:t>
      </w:r>
      <w:r>
        <w:rPr>
          <w:b/>
        </w:rPr>
        <w:t>7.7</w:t>
      </w:r>
      <w:r>
        <w:t xml:space="preserve">, </w:t>
      </w:r>
      <w:r>
        <w:rPr>
          <w:b/>
        </w:rPr>
        <w:t>9.1</w:t>
      </w:r>
      <w:r>
        <w:t xml:space="preserve">, </w:t>
      </w:r>
      <w:r>
        <w:rPr>
          <w:b/>
        </w:rPr>
        <w:t>10.5</w:t>
      </w:r>
      <w:r>
        <w:t xml:space="preserve">, </w:t>
      </w:r>
      <w:r>
        <w:rPr>
          <w:b/>
        </w:rPr>
        <w:t>10.7</w:t>
      </w:r>
      <w:r>
        <w:t xml:space="preserve">, </w:t>
      </w:r>
      <w:r>
        <w:rPr>
          <w:b/>
        </w:rPr>
        <w:t>11.1</w:t>
      </w:r>
      <w:r>
        <w:t xml:space="preserve">, </w:t>
      </w:r>
      <w:r>
        <w:rPr>
          <w:b/>
        </w:rPr>
        <w:t>11.3</w:t>
      </w:r>
      <w:r>
        <w:t xml:space="preserve">, </w:t>
      </w:r>
      <w:r>
        <w:rPr>
          <w:b/>
        </w:rPr>
        <w:t>D.9</w:t>
      </w:r>
      <w:r>
        <w:t xml:space="preserve">, </w:t>
      </w:r>
      <w:r>
        <w:rPr>
          <w:b/>
        </w:rPr>
        <w:t>D.13</w:t>
      </w:r>
      <w:r>
        <w:t>.</w:t>
      </w:r>
    </w:p>
    <w:p>
      <w:pPr>
        <w:pStyle w:val="ListBullet"/>
      </w:pPr>
      <w:r>
        <w:t xml:space="preserve">Ley de Enjuiciamiento Criminal: </w:t>
      </w:r>
      <w:r>
        <w:rPr>
          <w:b/>
        </w:rPr>
        <w:t>7.7</w:t>
      </w:r>
      <w:r>
        <w:t xml:space="preserve">, </w:t>
      </w:r>
      <w:r>
        <w:rPr>
          <w:b/>
        </w:rPr>
        <w:t>10.7</w:t>
      </w:r>
      <w:r>
        <w:t xml:space="preserve">, </w:t>
      </w:r>
      <w:r>
        <w:rPr>
          <w:b/>
        </w:rPr>
        <w:t>11.1</w:t>
      </w:r>
      <w:r>
        <w:t>.</w:t>
      </w:r>
    </w:p>
    <w:p>
      <w:pPr>
        <w:pStyle w:val="ListBullet"/>
      </w:pPr>
      <w:r>
        <w:t xml:space="preserve">Ley de sindicatos de 8-10-1982: </w:t>
      </w:r>
      <w:r>
        <w:rPr>
          <w:b/>
        </w:rPr>
        <w:t>9.2</w:t>
      </w:r>
      <w:r>
        <w:t>.</w:t>
      </w:r>
    </w:p>
    <w:p>
      <w:pPr>
        <w:pStyle w:val="ListBullet"/>
      </w:pPr>
      <w:r>
        <w:t xml:space="preserve">Ley de Sociedades de Capital: </w:t>
      </w:r>
      <w:r>
        <w:rPr>
          <w:b/>
        </w:rPr>
        <w:t>9.1</w:t>
      </w:r>
      <w:r>
        <w:t>.</w:t>
      </w:r>
    </w:p>
    <w:p>
      <w:pPr>
        <w:pStyle w:val="ListBullet"/>
      </w:pPr>
      <w:r>
        <w:t xml:space="preserve">Ley de Tráfico: </w:t>
      </w:r>
      <w:r>
        <w:rPr>
          <w:b/>
        </w:rPr>
        <w:t>10.5</w:t>
      </w:r>
      <w:r>
        <w:t xml:space="preserve">, </w:t>
      </w:r>
      <w:r>
        <w:rPr>
          <w:b/>
        </w:rPr>
        <w:t>D.3</w:t>
      </w:r>
      <w:r>
        <w:t xml:space="preserve">, </w:t>
      </w:r>
      <w:r>
        <w:rPr>
          <w:b/>
        </w:rPr>
        <w:t>D.13</w:t>
      </w:r>
      <w:r>
        <w:t>.</w:t>
      </w:r>
    </w:p>
    <w:p>
      <w:pPr>
        <w:pStyle w:val="ListBullet"/>
      </w:pPr>
      <w:r>
        <w:t xml:space="preserve">Ley General de la Seguridad Social: </w:t>
      </w:r>
      <w:r>
        <w:rPr>
          <w:b/>
        </w:rPr>
        <w:t>5.1</w:t>
      </w:r>
      <w:r>
        <w:t xml:space="preserve">, </w:t>
      </w:r>
      <w:r>
        <w:rPr>
          <w:b/>
        </w:rPr>
        <w:t>8.4</w:t>
      </w:r>
      <w:r>
        <w:t xml:space="preserve">, </w:t>
      </w:r>
      <w:r>
        <w:rPr>
          <w:b/>
        </w:rPr>
        <w:t>9.1</w:t>
      </w:r>
      <w:r>
        <w:t xml:space="preserve">, </w:t>
      </w:r>
      <w:r>
        <w:rPr>
          <w:b/>
        </w:rPr>
        <w:t>10.2</w:t>
      </w:r>
      <w:r>
        <w:t xml:space="preserve">, </w:t>
      </w:r>
      <w:r>
        <w:rPr>
          <w:b/>
        </w:rPr>
        <w:t>11.3</w:t>
      </w:r>
      <w:r>
        <w:t xml:space="preserve">, </w:t>
      </w:r>
      <w:r>
        <w:rPr>
          <w:b/>
        </w:rPr>
        <w:t>B.2</w:t>
      </w:r>
      <w:r>
        <w:t xml:space="preserve">, </w:t>
      </w:r>
      <w:r>
        <w:rPr>
          <w:b/>
        </w:rPr>
        <w:t>B.3</w:t>
      </w:r>
      <w:r>
        <w:t>.</w:t>
      </w:r>
    </w:p>
    <w:p>
      <w:pPr>
        <w:pStyle w:val="ListBullet"/>
      </w:pPr>
      <w:r>
        <w:t xml:space="preserve">Ley General Tributaria: </w:t>
      </w:r>
      <w:r>
        <w:rPr>
          <w:b/>
        </w:rPr>
        <w:t>5.1</w:t>
      </w:r>
      <w:r>
        <w:t xml:space="preserve">, </w:t>
      </w:r>
      <w:r>
        <w:rPr>
          <w:b/>
        </w:rPr>
        <w:t>7.6</w:t>
      </w:r>
      <w:r>
        <w:t xml:space="preserve">, </w:t>
      </w:r>
      <w:r>
        <w:rPr>
          <w:b/>
        </w:rPr>
        <w:t>10.4</w:t>
      </w:r>
      <w:r>
        <w:t xml:space="preserve">, </w:t>
      </w:r>
      <w:r>
        <w:rPr>
          <w:b/>
        </w:rPr>
        <w:t>10.5</w:t>
      </w:r>
      <w:r>
        <w:t xml:space="preserve">, </w:t>
      </w:r>
      <w:r>
        <w:rPr>
          <w:b/>
        </w:rPr>
        <w:t>11.2</w:t>
      </w:r>
      <w:r>
        <w:t xml:space="preserve">, </w:t>
      </w:r>
      <w:r>
        <w:rPr>
          <w:b/>
        </w:rPr>
        <w:t>11.3</w:t>
      </w:r>
      <w:r>
        <w:t xml:space="preserve">, </w:t>
      </w:r>
      <w:r>
        <w:rPr>
          <w:b/>
        </w:rPr>
        <w:t>D.4</w:t>
      </w:r>
      <w:r>
        <w:t xml:space="preserve">, </w:t>
      </w:r>
      <w:r>
        <w:rPr>
          <w:b/>
        </w:rPr>
        <w:t>D.11</w:t>
      </w:r>
      <w:r>
        <w:t xml:space="preserve">, </w:t>
      </w:r>
      <w:r>
        <w:rPr>
          <w:b/>
        </w:rPr>
        <w:t>D.13</w:t>
      </w:r>
      <w:r>
        <w:t>.</w:t>
      </w:r>
    </w:p>
    <w:p>
      <w:pPr>
        <w:pStyle w:val="ListBullet"/>
      </w:pPr>
      <w:r>
        <w:t xml:space="preserve">Ley Orgánica 9/1960: </w:t>
      </w:r>
      <w:r>
        <w:rPr>
          <w:b/>
        </w:rPr>
        <w:t>A.2</w:t>
      </w:r>
      <w:r>
        <w:t>.</w:t>
      </w:r>
    </w:p>
    <w:p>
      <w:pPr>
        <w:pStyle w:val="ListBullet"/>
      </w:pPr>
      <w:r>
        <w:t xml:space="preserve">Ley Orgánica 2/1979: </w:t>
      </w:r>
      <w:r>
        <w:rPr>
          <w:b/>
        </w:rPr>
        <w:t>6.4</w:t>
      </w:r>
      <w:r>
        <w:t xml:space="preserve">, </w:t>
      </w:r>
      <w:r>
        <w:rPr>
          <w:b/>
        </w:rPr>
        <w:t>11.3</w:t>
      </w:r>
      <w:r>
        <w:t xml:space="preserve">, </w:t>
      </w:r>
      <w:r>
        <w:rPr>
          <w:b/>
        </w:rPr>
        <w:t>A.10</w:t>
      </w:r>
      <w:r>
        <w:t>.</w:t>
      </w:r>
    </w:p>
    <w:p>
      <w:pPr>
        <w:pStyle w:val="ListBullet"/>
      </w:pPr>
      <w:r>
        <w:t xml:space="preserve">Ley Orgánica 3/1980: </w:t>
      </w:r>
      <w:r>
        <w:rPr>
          <w:b/>
        </w:rPr>
        <w:t>C.4</w:t>
      </w:r>
      <w:r>
        <w:t>.</w:t>
      </w:r>
    </w:p>
    <w:p>
      <w:pPr>
        <w:pStyle w:val="ListBullet"/>
      </w:pPr>
      <w:r>
        <w:t xml:space="preserve">Ley Orgánica 12/1980: </w:t>
      </w:r>
      <w:r>
        <w:rPr>
          <w:b/>
        </w:rPr>
        <w:t>A.9</w:t>
      </w:r>
      <w:r>
        <w:t>.</w:t>
      </w:r>
    </w:p>
    <w:p>
      <w:pPr>
        <w:pStyle w:val="ListBullet"/>
      </w:pPr>
      <w:r>
        <w:t xml:space="preserve">Ley Orgánica 3/1981: </w:t>
      </w:r>
      <w:r>
        <w:rPr>
          <w:b/>
        </w:rPr>
        <w:t>7.3</w:t>
      </w:r>
      <w:r>
        <w:t xml:space="preserve">, </w:t>
      </w:r>
      <w:r>
        <w:rPr>
          <w:b/>
        </w:rPr>
        <w:t>10.4</w:t>
      </w:r>
      <w:r>
        <w:t xml:space="preserve">, </w:t>
      </w:r>
      <w:r>
        <w:rPr>
          <w:b/>
        </w:rPr>
        <w:t>D.6</w:t>
      </w:r>
      <w:r>
        <w:t>.</w:t>
      </w:r>
    </w:p>
    <w:p>
      <w:pPr>
        <w:pStyle w:val="ListBullet"/>
      </w:pPr>
      <w:r>
        <w:t xml:space="preserve">Ley Orgánica 4/1981: </w:t>
      </w:r>
      <w:r>
        <w:rPr>
          <w:b/>
        </w:rPr>
        <w:t>8.5</w:t>
      </w:r>
      <w:r>
        <w:t>.</w:t>
      </w:r>
    </w:p>
    <w:p>
      <w:pPr>
        <w:pStyle w:val="ListBullet"/>
      </w:pPr>
      <w:r>
        <w:t xml:space="preserve">Ley Orgánica 2/1982: </w:t>
      </w:r>
      <w:r>
        <w:rPr>
          <w:b/>
        </w:rPr>
        <w:t>6.4</w:t>
      </w:r>
      <w:r>
        <w:t>.</w:t>
      </w:r>
    </w:p>
    <w:p>
      <w:pPr>
        <w:pStyle w:val="ListBullet"/>
      </w:pPr>
      <w:r>
        <w:t xml:space="preserve">Ley Orgánica 3/1984: </w:t>
      </w:r>
      <w:r>
        <w:rPr>
          <w:b/>
        </w:rPr>
        <w:t>6.4</w:t>
      </w:r>
      <w:r>
        <w:t>.</w:t>
      </w:r>
    </w:p>
    <w:p>
      <w:pPr>
        <w:pStyle w:val="ListBullet"/>
      </w:pPr>
      <w:r>
        <w:t xml:space="preserve">Ley Orgánica 2/1986: </w:t>
      </w:r>
      <w:r>
        <w:rPr>
          <w:b/>
        </w:rPr>
        <w:t>10.4</w:t>
      </w:r>
      <w:r>
        <w:t>.</w:t>
      </w:r>
    </w:p>
    <w:p>
      <w:pPr>
        <w:pStyle w:val="ListBullet"/>
      </w:pPr>
      <w:r>
        <w:t xml:space="preserve">Ley Orgánica 1/1995: </w:t>
      </w:r>
      <w:r>
        <w:rPr>
          <w:b/>
        </w:rPr>
        <w:t>A.9</w:t>
      </w:r>
      <w:r>
        <w:t>.</w:t>
      </w:r>
    </w:p>
    <w:p>
      <w:pPr>
        <w:pStyle w:val="ListBullet"/>
      </w:pPr>
      <w:r>
        <w:t xml:space="preserve">Ley Orgánica 5/1995: </w:t>
      </w:r>
      <w:r>
        <w:rPr>
          <w:b/>
        </w:rPr>
        <w:t>10.2</w:t>
      </w:r>
      <w:r>
        <w:t xml:space="preserve">, </w:t>
      </w:r>
      <w:r>
        <w:rPr>
          <w:b/>
        </w:rPr>
        <w:t>11.1</w:t>
      </w:r>
      <w:r>
        <w:t>.</w:t>
      </w:r>
    </w:p>
    <w:p>
      <w:pPr>
        <w:pStyle w:val="ListBullet"/>
      </w:pPr>
      <w:r>
        <w:t xml:space="preserve">Ley Orgánica 4/2001: </w:t>
      </w:r>
      <w:r>
        <w:rPr>
          <w:b/>
        </w:rPr>
        <w:t>10.4</w:t>
      </w:r>
      <w:r>
        <w:t xml:space="preserve">, </w:t>
      </w:r>
      <w:r>
        <w:rPr>
          <w:b/>
        </w:rPr>
        <w:t>10.7</w:t>
      </w:r>
      <w:r>
        <w:t xml:space="preserve">, </w:t>
      </w:r>
      <w:r>
        <w:rPr>
          <w:b/>
        </w:rPr>
        <w:t>10.8</w:t>
      </w:r>
      <w:r>
        <w:t xml:space="preserve">, </w:t>
      </w:r>
      <w:r>
        <w:rPr>
          <w:b/>
        </w:rPr>
        <w:t>A.2</w:t>
      </w:r>
      <w:r>
        <w:t xml:space="preserve">, </w:t>
      </w:r>
      <w:r>
        <w:rPr>
          <w:b/>
        </w:rPr>
        <w:t>D.1</w:t>
      </w:r>
      <w:r>
        <w:t xml:space="preserve">, </w:t>
      </w:r>
      <w:r>
        <w:rPr>
          <w:b/>
        </w:rPr>
        <w:t>D.9</w:t>
      </w:r>
      <w:r>
        <w:t>.</w:t>
      </w:r>
    </w:p>
    <w:p>
      <w:pPr>
        <w:pStyle w:val="ListBullet"/>
      </w:pPr>
      <w:r>
        <w:t xml:space="preserve">Ley Orgánica 6/2002: </w:t>
      </w:r>
      <w:r>
        <w:rPr>
          <w:b/>
        </w:rPr>
        <w:t>5.1</w:t>
      </w:r>
      <w:r>
        <w:t xml:space="preserve">, </w:t>
      </w:r>
      <w:r>
        <w:rPr>
          <w:b/>
        </w:rPr>
        <w:t>6.4</w:t>
      </w:r>
      <w:r>
        <w:t>.</w:t>
      </w:r>
    </w:p>
    <w:p>
      <w:pPr>
        <w:pStyle w:val="ListBullet"/>
      </w:pPr>
      <w:r>
        <w:t xml:space="preserve">Ley Orgánica 5/2005: </w:t>
      </w:r>
      <w:r>
        <w:rPr>
          <w:b/>
        </w:rPr>
        <w:t>A.2</w:t>
      </w:r>
      <w:r>
        <w:t xml:space="preserve">, </w:t>
      </w:r>
      <w:r>
        <w:rPr>
          <w:b/>
        </w:rPr>
        <w:t>A.3</w:t>
      </w:r>
      <w:r>
        <w:t>.</w:t>
      </w:r>
    </w:p>
    <w:p>
      <w:pPr>
        <w:pStyle w:val="ListBullet"/>
      </w:pPr>
      <w:r>
        <w:t xml:space="preserve">Ley Orgánica 2/2007: </w:t>
      </w:r>
      <w:r>
        <w:rPr>
          <w:b/>
        </w:rPr>
        <w:t>A.9</w:t>
      </w:r>
      <w:r>
        <w:t>.</w:t>
      </w:r>
    </w:p>
    <w:p>
      <w:pPr>
        <w:pStyle w:val="ListBullet"/>
      </w:pPr>
      <w:r>
        <w:t xml:space="preserve">Ley Orgánica 8/2007: </w:t>
      </w:r>
      <w:r>
        <w:rPr>
          <w:b/>
        </w:rPr>
        <w:t>6.4</w:t>
      </w:r>
      <w:r>
        <w:t>.</w:t>
      </w:r>
    </w:p>
    <w:p>
      <w:pPr>
        <w:pStyle w:val="ListBullet"/>
      </w:pPr>
      <w:r>
        <w:t xml:space="preserve">Ley Orgánica 8/2013: </w:t>
      </w:r>
      <w:r>
        <w:rPr>
          <w:b/>
        </w:rPr>
        <w:t>7.3</w:t>
      </w:r>
      <w:r>
        <w:t>.</w:t>
      </w:r>
    </w:p>
    <w:p>
      <w:pPr>
        <w:pStyle w:val="ListBullet"/>
      </w:pPr>
      <w:r>
        <w:t xml:space="preserve">Ley Orgánica 3/2014: </w:t>
      </w:r>
      <w:r>
        <w:rPr>
          <w:b/>
        </w:rPr>
        <w:t>A.3</w:t>
      </w:r>
      <w:r>
        <w:t>.</w:t>
      </w:r>
    </w:p>
    <w:p>
      <w:pPr>
        <w:pStyle w:val="ListBullet"/>
      </w:pPr>
      <w:r>
        <w:t xml:space="preserve">Ley Orgánica 3/2015: </w:t>
      </w:r>
      <w:r>
        <w:rPr>
          <w:b/>
        </w:rPr>
        <w:t>A.1</w:t>
      </w:r>
      <w:r>
        <w:t>.</w:t>
      </w:r>
    </w:p>
    <w:p>
      <w:pPr>
        <w:pStyle w:val="ListBullet"/>
      </w:pPr>
      <w:r>
        <w:t xml:space="preserve">Ley Orgánica 4/2015: </w:t>
      </w:r>
      <w:r>
        <w:rPr>
          <w:b/>
        </w:rPr>
        <w:t>7.3</w:t>
      </w:r>
      <w:r>
        <w:t>.</w:t>
      </w:r>
    </w:p>
    <w:p>
      <w:pPr>
        <w:pStyle w:val="ListBullet"/>
      </w:pPr>
      <w:r>
        <w:t xml:space="preserve">Ley Orgánica 2/2016: </w:t>
      </w:r>
      <w:r>
        <w:rPr>
          <w:b/>
        </w:rPr>
        <w:t>A.5</w:t>
      </w:r>
      <w:r>
        <w:t>.</w:t>
      </w:r>
    </w:p>
    <w:p>
      <w:pPr>
        <w:pStyle w:val="ListBullet"/>
      </w:pPr>
      <w:r>
        <w:t xml:space="preserve">Ley Orgánica 3/2020: </w:t>
      </w:r>
      <w:r>
        <w:rPr>
          <w:b/>
        </w:rPr>
        <w:t>7.3</w:t>
      </w:r>
      <w:r>
        <w:t xml:space="preserve">, </w:t>
      </w:r>
      <w:r>
        <w:rPr>
          <w:b/>
        </w:rPr>
        <w:t>A.1</w:t>
      </w:r>
      <w:r>
        <w:t>.</w:t>
      </w:r>
    </w:p>
    <w:p>
      <w:pPr>
        <w:pStyle w:val="ListBullet"/>
      </w:pPr>
      <w:r>
        <w:t xml:space="preserve">Ley Orgánica 4/2021: </w:t>
      </w:r>
      <w:r>
        <w:rPr>
          <w:b/>
        </w:rPr>
        <w:t>A.10</w:t>
      </w:r>
      <w:r>
        <w:t>.</w:t>
      </w:r>
    </w:p>
    <w:p>
      <w:pPr>
        <w:pStyle w:val="ListBullet"/>
      </w:pPr>
      <w:r>
        <w:t xml:space="preserve">Ley Orgánica 10/2021: </w:t>
      </w:r>
      <w:r>
        <w:rPr>
          <w:b/>
        </w:rPr>
        <w:t>1.5</w:t>
      </w:r>
      <w:r>
        <w:t>.</w:t>
      </w:r>
    </w:p>
    <w:p>
      <w:pPr>
        <w:pStyle w:val="ListBullet"/>
      </w:pPr>
      <w:r>
        <w:t xml:space="preserve">Ley Orgánica 8/2022: </w:t>
      </w:r>
      <w:r>
        <w:rPr>
          <w:b/>
        </w:rPr>
        <w:t>A.10</w:t>
      </w:r>
      <w:r>
        <w:t>.</w:t>
      </w:r>
    </w:p>
    <w:p>
      <w:pPr>
        <w:pStyle w:val="ListBullet"/>
      </w:pPr>
      <w:r>
        <w:t xml:space="preserve">Ley Orgánica 12/2022: </w:t>
      </w:r>
      <w:r>
        <w:rPr>
          <w:b/>
        </w:rPr>
        <w:t>7.3</w:t>
      </w:r>
      <w:r>
        <w:t xml:space="preserve">, </w:t>
      </w:r>
      <w:r>
        <w:rPr>
          <w:b/>
        </w:rPr>
        <w:t>A.2</w:t>
      </w:r>
      <w:r>
        <w:t>.</w:t>
      </w:r>
    </w:p>
    <w:p>
      <w:pPr>
        <w:pStyle w:val="ListBullet"/>
      </w:pPr>
      <w:r>
        <w:t xml:space="preserve">Ley Orgánica 3/2024: </w:t>
      </w:r>
      <w:r>
        <w:rPr>
          <w:b/>
        </w:rPr>
        <w:t>7.2</w:t>
      </w:r>
      <w:r>
        <w:t>.</w:t>
      </w:r>
    </w:p>
    <w:p>
      <w:pPr>
        <w:pStyle w:val="ListBullet"/>
      </w:pPr>
      <w:r>
        <w:t xml:space="preserve">Ley Orgánica 1/2025: </w:t>
      </w:r>
      <w:r>
        <w:rPr>
          <w:b/>
        </w:rPr>
        <w:t>A.7</w:t>
      </w:r>
      <w:r>
        <w:t>.</w:t>
      </w:r>
    </w:p>
    <w:p>
      <w:pPr>
        <w:pStyle w:val="ListBullet"/>
      </w:pPr>
      <w:r>
        <w:t xml:space="preserve">Ley Orgánica del Poder Judicial: </w:t>
      </w:r>
      <w:r>
        <w:rPr>
          <w:b/>
        </w:rPr>
        <w:t>1.5</w:t>
      </w:r>
      <w:r>
        <w:t xml:space="preserve">, </w:t>
      </w:r>
      <w:r>
        <w:rPr>
          <w:b/>
        </w:rPr>
        <w:t>1.6</w:t>
      </w:r>
      <w:r>
        <w:t xml:space="preserve">, </w:t>
      </w:r>
      <w:r>
        <w:rPr>
          <w:b/>
        </w:rPr>
        <w:t>6.4</w:t>
      </w:r>
      <w:r>
        <w:t xml:space="preserve">, </w:t>
      </w:r>
      <w:r>
        <w:rPr>
          <w:b/>
        </w:rPr>
        <w:t>7.7</w:t>
      </w:r>
      <w:r>
        <w:t xml:space="preserve">, </w:t>
      </w:r>
      <w:r>
        <w:rPr>
          <w:b/>
        </w:rPr>
        <w:t>8.5</w:t>
      </w:r>
      <w:r>
        <w:t xml:space="preserve">, </w:t>
      </w:r>
      <w:r>
        <w:rPr>
          <w:b/>
        </w:rPr>
        <w:t>10.4</w:t>
      </w:r>
      <w:r>
        <w:t xml:space="preserve">, </w:t>
      </w:r>
      <w:r>
        <w:rPr>
          <w:b/>
        </w:rPr>
        <w:t>10.6</w:t>
      </w:r>
      <w:r>
        <w:t xml:space="preserve">, </w:t>
      </w:r>
      <w:r>
        <w:rPr>
          <w:b/>
        </w:rPr>
        <w:t>10.8</w:t>
      </w:r>
      <w:r>
        <w:t xml:space="preserve">, </w:t>
      </w:r>
      <w:r>
        <w:rPr>
          <w:b/>
        </w:rPr>
        <w:t>11.3</w:t>
      </w:r>
      <w:r>
        <w:t>.</w:t>
      </w:r>
    </w:p>
    <w:p>
      <w:pPr>
        <w:pStyle w:val="ListBullet"/>
      </w:pPr>
      <w:r>
        <w:t xml:space="preserve">Ley Orgánica del Régimen Electoral General: </w:t>
      </w:r>
      <w:r>
        <w:rPr>
          <w:b/>
        </w:rPr>
        <w:t>6.4</w:t>
      </w:r>
      <w:r>
        <w:t xml:space="preserve">, </w:t>
      </w:r>
      <w:r>
        <w:rPr>
          <w:b/>
        </w:rPr>
        <w:t>8.5</w:t>
      </w:r>
      <w:r>
        <w:t xml:space="preserve">, </w:t>
      </w:r>
      <w:r>
        <w:rPr>
          <w:b/>
        </w:rPr>
        <w:t>8.6</w:t>
      </w:r>
      <w:r>
        <w:t xml:space="preserve">, </w:t>
      </w:r>
      <w:r>
        <w:rPr>
          <w:b/>
        </w:rPr>
        <w:t>C.4</w:t>
      </w:r>
      <w:r>
        <w:t>.</w:t>
      </w:r>
    </w:p>
    <w:p>
      <w:pPr>
        <w:pStyle w:val="ListBullet"/>
      </w:pPr>
      <w:r>
        <w:t xml:space="preserve">Ley Reguladora de las Haciendas Locales: </w:t>
      </w:r>
      <w:r>
        <w:rPr>
          <w:b/>
        </w:rPr>
        <w:t>B.4</w:t>
      </w:r>
      <w:r>
        <w:t xml:space="preserve">, </w:t>
      </w:r>
      <w:r>
        <w:rPr>
          <w:b/>
        </w:rPr>
        <w:t>C.2</w:t>
      </w:r>
      <w:r>
        <w:t>.</w:t>
      </w:r>
    </w:p>
    <w:p>
      <w:pPr>
        <w:pStyle w:val="ListBullet"/>
      </w:pPr>
      <w:r>
        <w:t xml:space="preserve">Leyes y decretos de cada comunidad autónoma sobre sus parlamentos: </w:t>
      </w:r>
      <w:r>
        <w:rPr>
          <w:b/>
        </w:rPr>
        <w:t>C.1</w:t>
      </w:r>
      <w:r>
        <w:t>.</w:t>
      </w:r>
    </w:p>
    <w:p>
      <w:pPr>
        <w:pStyle w:val="ListBullet"/>
      </w:pPr>
      <w:r>
        <w:t xml:space="preserve">Orden de Canarias de 25-VIII-2025: </w:t>
      </w:r>
      <w:r>
        <w:rPr>
          <w:b/>
        </w:rPr>
        <w:t>A.7</w:t>
      </w:r>
      <w:r>
        <w:t>.</w:t>
      </w:r>
    </w:p>
    <w:p>
      <w:pPr>
        <w:pStyle w:val="ListBullet"/>
      </w:pPr>
      <w:r>
        <w:t xml:space="preserve">Orden EHA/3565/2008: </w:t>
      </w:r>
      <w:r>
        <w:rPr>
          <w:b/>
        </w:rPr>
        <w:t>9.1</w:t>
      </w:r>
      <w:r>
        <w:t>.</w:t>
      </w:r>
    </w:p>
    <w:p>
      <w:pPr>
        <w:pStyle w:val="ListBullet"/>
      </w:pPr>
      <w:r>
        <w:t xml:space="preserve">Orden PJC/297/2026: </w:t>
      </w:r>
      <w:r>
        <w:rPr>
          <w:b/>
        </w:rPr>
        <w:t>8.4</w:t>
      </w:r>
      <w:r>
        <w:t xml:space="preserve">, </w:t>
      </w:r>
      <w:r>
        <w:rPr>
          <w:b/>
        </w:rPr>
        <w:t>B.3</w:t>
      </w:r>
      <w:r>
        <w:t xml:space="preserve">, </w:t>
      </w:r>
      <w:r>
        <w:rPr>
          <w:b/>
        </w:rPr>
        <w:t>B.6</w:t>
      </w:r>
      <w:r>
        <w:t>.</w:t>
      </w:r>
    </w:p>
    <w:p>
      <w:pPr>
        <w:pStyle w:val="ListBullet"/>
      </w:pPr>
      <w:r>
        <w:t xml:space="preserve">Ordenanza 2/2026 (BOCM): </w:t>
      </w:r>
      <w:r>
        <w:rPr>
          <w:b/>
        </w:rPr>
        <w:t>8.5</w:t>
      </w:r>
      <w:r>
        <w:t>.</w:t>
      </w:r>
    </w:p>
    <w:p>
      <w:pPr>
        <w:pStyle w:val="ListBullet"/>
      </w:pPr>
      <w:r>
        <w:t xml:space="preserve">Presupuestos Generales del Estado de 2023: </w:t>
      </w:r>
      <w:r>
        <w:rPr>
          <w:b/>
        </w:rPr>
        <w:t>C.4</w:t>
      </w:r>
      <w:r>
        <w:t xml:space="preserve">, </w:t>
      </w:r>
      <w:r>
        <w:rPr>
          <w:b/>
        </w:rPr>
        <w:t>C.5</w:t>
      </w:r>
      <w:r>
        <w:t>.</w:t>
      </w:r>
    </w:p>
    <w:p>
      <w:pPr>
        <w:pStyle w:val="ListBullet"/>
      </w:pPr>
      <w:r>
        <w:t xml:space="preserve">Real Decreto 2560/1978: </w:t>
      </w:r>
      <w:r>
        <w:rPr>
          <w:b/>
        </w:rPr>
        <w:t>6.1</w:t>
      </w:r>
      <w:r>
        <w:t>.</w:t>
      </w:r>
    </w:p>
    <w:p>
      <w:pPr>
        <w:pStyle w:val="ListBullet"/>
      </w:pPr>
      <w:r>
        <w:t xml:space="preserve">Real Decreto 1467/1981: </w:t>
      </w:r>
      <w:r>
        <w:rPr>
          <w:b/>
        </w:rPr>
        <w:t>8.5</w:t>
      </w:r>
      <w:r>
        <w:t>.</w:t>
      </w:r>
    </w:p>
    <w:p>
      <w:pPr>
        <w:pStyle w:val="ListBullet"/>
      </w:pPr>
      <w:r>
        <w:t xml:space="preserve">Real Decreto 769/1987: </w:t>
      </w:r>
      <w:r>
        <w:rPr>
          <w:b/>
        </w:rPr>
        <w:t>A.7</w:t>
      </w:r>
      <w:r>
        <w:t>.</w:t>
      </w:r>
    </w:p>
    <w:p>
      <w:pPr>
        <w:pStyle w:val="ListBullet"/>
      </w:pPr>
      <w:r>
        <w:t xml:space="preserve">Real Decreto 434/1988: </w:t>
      </w:r>
      <w:r>
        <w:rPr>
          <w:b/>
        </w:rPr>
        <w:t>C.2</w:t>
      </w:r>
      <w:r>
        <w:t>.</w:t>
      </w:r>
    </w:p>
    <w:p>
      <w:pPr>
        <w:pStyle w:val="ListBullet"/>
      </w:pPr>
      <w:r>
        <w:t xml:space="preserve">Real Decreto 13/1992: </w:t>
      </w:r>
      <w:r>
        <w:rPr>
          <w:b/>
        </w:rPr>
        <w:t>8.5</w:t>
      </w:r>
      <w:r>
        <w:t>.</w:t>
      </w:r>
    </w:p>
    <w:p>
      <w:pPr>
        <w:pStyle w:val="ListBullet"/>
      </w:pPr>
      <w:r>
        <w:t xml:space="preserve">Real Decreto 405/1992: </w:t>
      </w:r>
      <w:r>
        <w:rPr>
          <w:b/>
        </w:rPr>
        <w:t>7.6</w:t>
      </w:r>
      <w:r>
        <w:t xml:space="preserve">, </w:t>
      </w:r>
      <w:r>
        <w:rPr>
          <w:b/>
        </w:rPr>
        <w:t>C.4</w:t>
      </w:r>
      <w:r>
        <w:t>.</w:t>
      </w:r>
    </w:p>
    <w:p>
      <w:pPr>
        <w:pStyle w:val="ListBullet"/>
      </w:pPr>
      <w:r>
        <w:t xml:space="preserve">Real Decreto 2606/1996: </w:t>
      </w:r>
      <w:r>
        <w:rPr>
          <w:b/>
        </w:rPr>
        <w:t>11.3</w:t>
      </w:r>
      <w:r>
        <w:t>.</w:t>
      </w:r>
    </w:p>
    <w:p>
      <w:pPr>
        <w:pStyle w:val="ListBullet"/>
      </w:pPr>
      <w:r>
        <w:t xml:space="preserve">Real Decreto 247/2001: </w:t>
      </w:r>
      <w:r>
        <w:rPr>
          <w:b/>
        </w:rPr>
        <w:t>7.6</w:t>
      </w:r>
      <w:r>
        <w:t xml:space="preserve">, </w:t>
      </w:r>
      <w:r>
        <w:rPr>
          <w:b/>
        </w:rPr>
        <w:t>A.2</w:t>
      </w:r>
      <w:r>
        <w:t>.</w:t>
      </w:r>
    </w:p>
    <w:p>
      <w:pPr>
        <w:pStyle w:val="ListBullet"/>
      </w:pPr>
      <w:r>
        <w:t xml:space="preserve">Real Decreto 342/2001: </w:t>
      </w:r>
      <w:r>
        <w:rPr>
          <w:b/>
        </w:rPr>
        <w:t>A.2</w:t>
      </w:r>
      <w:r>
        <w:t>.</w:t>
      </w:r>
    </w:p>
    <w:p>
      <w:pPr>
        <w:pStyle w:val="ListBullet"/>
      </w:pPr>
      <w:r>
        <w:t xml:space="preserve">Real Decreto 439/2007: </w:t>
      </w:r>
      <w:r>
        <w:rPr>
          <w:b/>
        </w:rPr>
        <w:t>8.4</w:t>
      </w:r>
      <w:r>
        <w:t>.</w:t>
      </w:r>
    </w:p>
    <w:p>
      <w:pPr>
        <w:pStyle w:val="ListBullet"/>
      </w:pPr>
      <w:r>
        <w:t xml:space="preserve">Real Decreto 1000/2010: </w:t>
      </w:r>
      <w:r>
        <w:rPr>
          <w:b/>
        </w:rPr>
        <w:t>8.4</w:t>
      </w:r>
      <w:r>
        <w:t>.</w:t>
      </w:r>
    </w:p>
    <w:p>
      <w:pPr>
        <w:pStyle w:val="ListBullet"/>
      </w:pPr>
      <w:r>
        <w:t xml:space="preserve">Real Decreto 304/2014: </w:t>
      </w:r>
      <w:r>
        <w:rPr>
          <w:b/>
        </w:rPr>
        <w:t>8.11</w:t>
      </w:r>
      <w:r>
        <w:t>.</w:t>
      </w:r>
    </w:p>
    <w:p>
      <w:pPr>
        <w:pStyle w:val="ListBullet"/>
      </w:pPr>
      <w:r>
        <w:t xml:space="preserve">Real Decreto 900/2015: </w:t>
      </w:r>
      <w:r>
        <w:rPr>
          <w:b/>
        </w:rPr>
        <w:t>8.5</w:t>
      </w:r>
      <w:r>
        <w:t>.</w:t>
      </w:r>
    </w:p>
    <w:p>
      <w:pPr>
        <w:pStyle w:val="ListBullet"/>
      </w:pPr>
      <w:r>
        <w:t xml:space="preserve">Real Decreto 977/2015: </w:t>
      </w:r>
      <w:r>
        <w:rPr>
          <w:b/>
        </w:rPr>
        <w:t>A.4</w:t>
      </w:r>
      <w:r>
        <w:t>.</w:t>
      </w:r>
    </w:p>
    <w:p>
      <w:pPr>
        <w:pStyle w:val="ListBullet"/>
      </w:pPr>
      <w:r>
        <w:t xml:space="preserve">Real Decreto 1167/2015: </w:t>
      </w:r>
      <w:r>
        <w:rPr>
          <w:b/>
        </w:rPr>
        <w:t>A.4</w:t>
      </w:r>
      <w:r>
        <w:t>.</w:t>
      </w:r>
    </w:p>
    <w:p>
      <w:pPr>
        <w:pStyle w:val="ListBullet"/>
      </w:pPr>
      <w:r>
        <w:t xml:space="preserve">Real Decreto 931/2017: </w:t>
      </w:r>
      <w:r>
        <w:rPr>
          <w:b/>
        </w:rPr>
        <w:t>A.4</w:t>
      </w:r>
      <w:r>
        <w:t>.</w:t>
      </w:r>
    </w:p>
    <w:p>
      <w:pPr>
        <w:pStyle w:val="ListBullet"/>
      </w:pPr>
      <w:r>
        <w:t xml:space="preserve">Real Decreto 946/2017: </w:t>
      </w:r>
      <w:r>
        <w:rPr>
          <w:b/>
        </w:rPr>
        <w:t>A.1</w:t>
      </w:r>
      <w:r>
        <w:t>.</w:t>
      </w:r>
    </w:p>
    <w:p>
      <w:pPr>
        <w:pStyle w:val="ListBullet"/>
      </w:pPr>
      <w:r>
        <w:t xml:space="preserve">Real Decreto 954/2017: </w:t>
      </w:r>
      <w:r>
        <w:rPr>
          <w:b/>
        </w:rPr>
        <w:t>A.1</w:t>
      </w:r>
      <w:r>
        <w:t>.</w:t>
      </w:r>
    </w:p>
    <w:p>
      <w:pPr>
        <w:pStyle w:val="ListBullet"/>
      </w:pPr>
      <w:r>
        <w:t xml:space="preserve">Real Decreto 1462/2018: </w:t>
      </w:r>
      <w:r>
        <w:rPr>
          <w:b/>
        </w:rPr>
        <w:t>8.3</w:t>
      </w:r>
      <w:r>
        <w:t>.</w:t>
      </w:r>
    </w:p>
    <w:p>
      <w:pPr>
        <w:pStyle w:val="ListBullet"/>
      </w:pPr>
      <w:r>
        <w:t xml:space="preserve">Real Decreto 297/2022: </w:t>
      </w:r>
      <w:r>
        <w:rPr>
          <w:b/>
        </w:rPr>
        <w:t>7.2</w:t>
      </w:r>
      <w:r>
        <w:t>.</w:t>
      </w:r>
    </w:p>
    <w:p>
      <w:pPr>
        <w:pStyle w:val="ListBullet"/>
      </w:pPr>
      <w:r>
        <w:t xml:space="preserve">Real Decreto 400/2023: </w:t>
      </w:r>
      <w:r>
        <w:rPr>
          <w:b/>
        </w:rPr>
        <w:t>A.4</w:t>
      </w:r>
      <w:r>
        <w:t>.</w:t>
      </w:r>
    </w:p>
    <w:p>
      <w:pPr>
        <w:pStyle w:val="ListBullet"/>
      </w:pPr>
      <w:r>
        <w:t xml:space="preserve">Real Decreto 87/2025: </w:t>
      </w:r>
      <w:r>
        <w:rPr>
          <w:b/>
        </w:rPr>
        <w:t>8.3</w:t>
      </w:r>
      <w:r>
        <w:t>.</w:t>
      </w:r>
    </w:p>
    <w:p>
      <w:pPr>
        <w:pStyle w:val="ListBullet"/>
      </w:pPr>
      <w:r>
        <w:t xml:space="preserve">Real Decreto 126/2026: </w:t>
      </w:r>
      <w:r>
        <w:rPr>
          <w:b/>
        </w:rPr>
        <w:t>B.6</w:t>
      </w:r>
      <w:r>
        <w:t>.</w:t>
      </w:r>
    </w:p>
    <w:p>
      <w:pPr>
        <w:pStyle w:val="ListBullet"/>
      </w:pPr>
      <w:r>
        <w:t xml:space="preserve">Real Decreto 170/2026: </w:t>
      </w:r>
      <w:r>
        <w:rPr>
          <w:b/>
        </w:rPr>
        <w:t>A.2</w:t>
      </w:r>
      <w:r>
        <w:t>.</w:t>
      </w:r>
    </w:p>
    <w:p>
      <w:pPr>
        <w:pStyle w:val="ListBullet"/>
      </w:pPr>
      <w:r>
        <w:t xml:space="preserve">Real Decreto 241/2026: </w:t>
      </w:r>
      <w:r>
        <w:rPr>
          <w:b/>
        </w:rPr>
        <w:t>7.6</w:t>
      </w:r>
      <w:r>
        <w:t>.</w:t>
      </w:r>
    </w:p>
    <w:p>
      <w:pPr>
        <w:pStyle w:val="ListBullet"/>
      </w:pPr>
      <w:r>
        <w:t xml:space="preserve">Real Decreto-ley 20/1977: </w:t>
      </w:r>
      <w:r>
        <w:rPr>
          <w:b/>
        </w:rPr>
        <w:t>6.4</w:t>
      </w:r>
      <w:r>
        <w:t>.</w:t>
      </w:r>
    </w:p>
    <w:p>
      <w:pPr>
        <w:pStyle w:val="ListBullet"/>
      </w:pPr>
      <w:r>
        <w:t xml:space="preserve">Real Decreto-ley 9/1981: </w:t>
      </w:r>
      <w:r>
        <w:rPr>
          <w:b/>
        </w:rPr>
        <w:t>8.7</w:t>
      </w:r>
      <w:r>
        <w:t>.</w:t>
      </w:r>
    </w:p>
    <w:p>
      <w:pPr>
        <w:pStyle w:val="ListBullet"/>
      </w:pPr>
      <w:r>
        <w:t xml:space="preserve">Real Decreto-ley 8/1983: </w:t>
      </w:r>
      <w:r>
        <w:rPr>
          <w:b/>
        </w:rPr>
        <w:t>8.7</w:t>
      </w:r>
      <w:r>
        <w:t>.</w:t>
      </w:r>
    </w:p>
    <w:p>
      <w:pPr>
        <w:pStyle w:val="ListBullet"/>
      </w:pPr>
      <w:r>
        <w:t xml:space="preserve">Real Decreto-ley 5/1992: </w:t>
      </w:r>
      <w:r>
        <w:rPr>
          <w:b/>
        </w:rPr>
        <w:t>8.5</w:t>
      </w:r>
      <w:r>
        <w:t>.</w:t>
      </w:r>
    </w:p>
    <w:p>
      <w:pPr>
        <w:pStyle w:val="ListBullet"/>
      </w:pPr>
      <w:r>
        <w:t xml:space="preserve">Real Decreto-ley 16/2011: </w:t>
      </w:r>
      <w:r>
        <w:rPr>
          <w:b/>
        </w:rPr>
        <w:t>11.3</w:t>
      </w:r>
      <w:r>
        <w:t>.</w:t>
      </w:r>
    </w:p>
    <w:p>
      <w:pPr>
        <w:pStyle w:val="ListBullet"/>
      </w:pPr>
      <w:r>
        <w:t xml:space="preserve">Real Decreto-ley 20/2012: </w:t>
      </w:r>
      <w:r>
        <w:rPr>
          <w:b/>
        </w:rPr>
        <w:t>8.5</w:t>
      </w:r>
      <w:r>
        <w:t>.</w:t>
      </w:r>
    </w:p>
    <w:p>
      <w:pPr>
        <w:pStyle w:val="ListBullet"/>
      </w:pPr>
      <w:r>
        <w:t xml:space="preserve">Real Decreto-ley 28/2012: </w:t>
      </w:r>
      <w:r>
        <w:rPr>
          <w:b/>
        </w:rPr>
        <w:t>8.6</w:t>
      </w:r>
      <w:r>
        <w:t xml:space="preserve">, </w:t>
      </w:r>
      <w:r>
        <w:rPr>
          <w:b/>
        </w:rPr>
        <w:t>A.2</w:t>
      </w:r>
      <w:r>
        <w:t>.</w:t>
      </w:r>
    </w:p>
    <w:p>
      <w:pPr>
        <w:pStyle w:val="ListBullet"/>
      </w:pPr>
      <w:r>
        <w:t xml:space="preserve">Real Decreto-ley 15/2018: </w:t>
      </w:r>
      <w:r>
        <w:rPr>
          <w:b/>
        </w:rPr>
        <w:t>8.5</w:t>
      </w:r>
      <w:r>
        <w:t>.</w:t>
      </w:r>
    </w:p>
    <w:p>
      <w:pPr>
        <w:pStyle w:val="ListBullet"/>
      </w:pPr>
      <w:r>
        <w:t xml:space="preserve">Real Decreto-ley 36/2020: </w:t>
      </w:r>
      <w:r>
        <w:rPr>
          <w:b/>
        </w:rPr>
        <w:t>A.8</w:t>
      </w:r>
      <w:r>
        <w:t>.</w:t>
      </w:r>
    </w:p>
    <w:p>
      <w:pPr>
        <w:pStyle w:val="ListBullet"/>
      </w:pPr>
      <w:r>
        <w:t xml:space="preserve">Real Decreto-ley 32/2021: </w:t>
      </w:r>
      <w:r>
        <w:rPr>
          <w:b/>
        </w:rPr>
        <w:t>A.2</w:t>
      </w:r>
      <w:r>
        <w:t xml:space="preserve">, </w:t>
      </w:r>
      <w:r>
        <w:rPr>
          <w:b/>
        </w:rPr>
        <w:t>A.4</w:t>
      </w:r>
      <w:r>
        <w:t>.</w:t>
      </w:r>
    </w:p>
    <w:p>
      <w:pPr>
        <w:pStyle w:val="ListBullet"/>
      </w:pPr>
      <w:r>
        <w:t xml:space="preserve">Real Decreto-ley 5/2023: </w:t>
      </w:r>
      <w:r>
        <w:rPr>
          <w:b/>
        </w:rPr>
        <w:t>A.7</w:t>
      </w:r>
      <w:r>
        <w:t>.</w:t>
      </w:r>
    </w:p>
    <w:p>
      <w:pPr>
        <w:pStyle w:val="ListBullet"/>
      </w:pPr>
      <w:r>
        <w:t xml:space="preserve">Real Decreto-ley 2/2024: </w:t>
      </w:r>
      <w:r>
        <w:rPr>
          <w:b/>
        </w:rPr>
        <w:t>A.2</w:t>
      </w:r>
      <w:r>
        <w:t>.</w:t>
      </w:r>
    </w:p>
    <w:p>
      <w:pPr>
        <w:pStyle w:val="ListBullet"/>
      </w:pPr>
      <w:r>
        <w:t xml:space="preserve">Real Decreto-ley 4/2024: </w:t>
      </w:r>
      <w:r>
        <w:rPr>
          <w:b/>
        </w:rPr>
        <w:t>8.3</w:t>
      </w:r>
      <w:r>
        <w:t>.</w:t>
      </w:r>
    </w:p>
    <w:p>
      <w:pPr>
        <w:pStyle w:val="ListBullet"/>
      </w:pPr>
      <w:r>
        <w:t xml:space="preserve">Real Decreto-ley 7/2025: </w:t>
      </w:r>
      <w:r>
        <w:rPr>
          <w:b/>
        </w:rPr>
        <w:t>A.4</w:t>
      </w:r>
      <w:r>
        <w:t>.</w:t>
      </w:r>
    </w:p>
    <w:p>
      <w:pPr>
        <w:pStyle w:val="ListBullet"/>
      </w:pPr>
      <w:r>
        <w:t xml:space="preserve">Real Decreto-ley 16/2025: </w:t>
      </w:r>
      <w:r>
        <w:rPr>
          <w:b/>
        </w:rPr>
        <w:t>10.7</w:t>
      </w:r>
      <w:r>
        <w:t>.</w:t>
      </w:r>
    </w:p>
    <w:p>
      <w:pPr>
        <w:pStyle w:val="ListBullet"/>
      </w:pPr>
      <w:r>
        <w:t xml:space="preserve">Real Decreto-ley 8/2026: </w:t>
      </w:r>
      <w:r>
        <w:rPr>
          <w:b/>
        </w:rPr>
        <w:t>A.4</w:t>
      </w:r>
      <w:r>
        <w:t>.</w:t>
      </w:r>
    </w:p>
    <w:p>
      <w:pPr>
        <w:pStyle w:val="ListBullet"/>
      </w:pPr>
      <w:r>
        <w:t xml:space="preserve">Reglamento de Pensiones Parlamentarias: </w:t>
      </w:r>
      <w:r>
        <w:rPr>
          <w:b/>
        </w:rPr>
        <w:t>C.4</w:t>
      </w:r>
      <w:r>
        <w:t>.</w:t>
      </w:r>
    </w:p>
    <w:p>
      <w:pPr>
        <w:pStyle w:val="ListBullet"/>
      </w:pPr>
      <w:r>
        <w:t xml:space="preserve">Reglamento del Congreso de los Diputados: </w:t>
      </w:r>
      <w:r>
        <w:rPr>
          <w:b/>
        </w:rPr>
        <w:t>5.1</w:t>
      </w:r>
      <w:r>
        <w:t xml:space="preserve">, </w:t>
      </w:r>
      <w:r>
        <w:rPr>
          <w:b/>
        </w:rPr>
        <w:t>8.6</w:t>
      </w:r>
      <w:r>
        <w:t xml:space="preserve">, </w:t>
      </w:r>
      <w:r>
        <w:rPr>
          <w:b/>
        </w:rPr>
        <w:t>A.4</w:t>
      </w:r>
      <w:r>
        <w:t>.</w:t>
      </w:r>
    </w:p>
    <w:p>
      <w:pPr>
        <w:pStyle w:val="ListBullet"/>
      </w:pPr>
      <w:r>
        <w:t xml:space="preserve">Reglamento del Senado: </w:t>
      </w:r>
      <w:r>
        <w:rPr>
          <w:b/>
        </w:rPr>
        <w:t>A.4</w:t>
      </w:r>
      <w:r>
        <w:t>.</w:t>
      </w:r>
    </w:p>
    <w:p>
      <w:r>
        <w:rPr>
          <w:b/>
        </w:rPr>
        <w:t>Las normas europeas e internacionales</w:t>
      </w:r>
      <w:r>
        <w:t xml:space="preserve"> (45 fuentes)</w:t>
      </w:r>
    </w:p>
    <w:p>
      <w:pPr>
        <w:pStyle w:val="ListBullet"/>
      </w:pPr>
      <w:r>
        <w:t xml:space="preserve">Acuerdos entre España y la Santa Sede (1979): </w:t>
      </w:r>
      <w:r>
        <w:rPr>
          <w:b/>
        </w:rPr>
        <w:t>A.2</w:t>
      </w:r>
      <w:r>
        <w:t>.</w:t>
      </w:r>
    </w:p>
    <w:p>
      <w:pPr>
        <w:pStyle w:val="ListBullet"/>
      </w:pPr>
      <w:r>
        <w:t xml:space="preserve">Archives parlementaires (Francia): </w:t>
      </w:r>
      <w:r>
        <w:rPr>
          <w:b/>
        </w:rPr>
        <w:t>6.1</w:t>
      </w:r>
      <w:r>
        <w:t>.</w:t>
      </w:r>
    </w:p>
    <w:p>
      <w:pPr>
        <w:pStyle w:val="ListBullet"/>
      </w:pPr>
      <w:r>
        <w:t xml:space="preserve">Bevans, Tratados de los Estados Unidos 1776-1949 (Avalon Project): </w:t>
      </w:r>
      <w:r>
        <w:rPr>
          <w:b/>
        </w:rPr>
        <w:t>11.2</w:t>
      </w:r>
      <w:r>
        <w:t>.</w:t>
      </w:r>
    </w:p>
    <w:p>
      <w:pPr>
        <w:pStyle w:val="ListBullet"/>
      </w:pPr>
      <w:r>
        <w:t xml:space="preserve">Bill of Rights inglés (1689): </w:t>
      </w:r>
      <w:r>
        <w:rPr>
          <w:b/>
        </w:rPr>
        <w:t>6.1</w:t>
      </w:r>
      <w:r>
        <w:t xml:space="preserve">, </w:t>
      </w:r>
      <w:r>
        <w:rPr>
          <w:b/>
        </w:rPr>
        <w:t>9.2</w:t>
      </w:r>
      <w:r>
        <w:t>.</w:t>
      </w:r>
    </w:p>
    <w:p>
      <w:pPr>
        <w:pStyle w:val="ListBullet"/>
      </w:pPr>
      <w:r>
        <w:t xml:space="preserve">Carta de las Naciones Unidas: </w:t>
      </w:r>
      <w:r>
        <w:rPr>
          <w:b/>
        </w:rPr>
        <w:t>6.2</w:t>
      </w:r>
      <w:r>
        <w:t>.</w:t>
      </w:r>
    </w:p>
    <w:p>
      <w:pPr>
        <w:pStyle w:val="ListBullet"/>
      </w:pPr>
      <w:r>
        <w:t xml:space="preserve">Carta de los Derechos Fundamentales de la Unión Europea: </w:t>
      </w:r>
      <w:r>
        <w:rPr>
          <w:b/>
        </w:rPr>
        <w:t>10.4</w:t>
      </w:r>
      <w:r>
        <w:t xml:space="preserve">, </w:t>
      </w:r>
      <w:r>
        <w:rPr>
          <w:b/>
        </w:rPr>
        <w:t>10.7</w:t>
      </w:r>
      <w:r>
        <w:t>.</w:t>
      </w:r>
    </w:p>
    <w:p>
      <w:pPr>
        <w:pStyle w:val="ListBullet"/>
      </w:pPr>
      <w:r>
        <w:t xml:space="preserve">CIDH, Declaración de Principios sobre Libertad de Expresión: </w:t>
      </w:r>
      <w:r>
        <w:rPr>
          <w:b/>
        </w:rPr>
        <w:t>8.5</w:t>
      </w:r>
      <w:r>
        <w:t>.</w:t>
      </w:r>
    </w:p>
    <w:p>
      <w:pPr>
        <w:pStyle w:val="ListBullet"/>
      </w:pPr>
      <w:r>
        <w:t xml:space="preserve">Comisión Europea, propuesta COM(2023) 364 (curso legal de los billetes y monedas en euros): </w:t>
      </w:r>
      <w:r>
        <w:rPr>
          <w:b/>
        </w:rPr>
        <w:t>8.11</w:t>
      </w:r>
      <w:r>
        <w:t>.</w:t>
      </w:r>
    </w:p>
    <w:p>
      <w:pPr>
        <w:pStyle w:val="ListBullet"/>
      </w:pPr>
      <w:r>
        <w:t xml:space="preserve">Constitución de Bolivia: </w:t>
      </w:r>
      <w:r>
        <w:rPr>
          <w:b/>
        </w:rPr>
        <w:t>10.2</w:t>
      </w:r>
      <w:r>
        <w:t>.</w:t>
      </w:r>
    </w:p>
    <w:p>
      <w:pPr>
        <w:pStyle w:val="ListBullet"/>
      </w:pPr>
      <w:r>
        <w:t xml:space="preserve">Constitución de los Estados Unidos: </w:t>
      </w:r>
      <w:r>
        <w:rPr>
          <w:b/>
        </w:rPr>
        <w:t>3.1</w:t>
      </w:r>
      <w:r>
        <w:t>.</w:t>
      </w:r>
    </w:p>
    <w:p>
      <w:pPr>
        <w:pStyle w:val="ListBullet"/>
      </w:pPr>
      <w:r>
        <w:t xml:space="preserve">Constitución de Sudáfrica de 1993: </w:t>
      </w:r>
      <w:r>
        <w:rPr>
          <w:b/>
        </w:rPr>
        <w:t>F.7</w:t>
      </w:r>
      <w:r>
        <w:t>.</w:t>
      </w:r>
    </w:p>
    <w:p>
      <w:pPr>
        <w:pStyle w:val="ListBullet"/>
      </w:pPr>
      <w:r>
        <w:t xml:space="preserve">Constitución francesa de 1793: </w:t>
      </w:r>
      <w:r>
        <w:rPr>
          <w:b/>
        </w:rPr>
        <w:t>6.5</w:t>
      </w:r>
      <w:r>
        <w:t>.</w:t>
      </w:r>
    </w:p>
    <w:p>
      <w:pPr>
        <w:pStyle w:val="ListBullet"/>
      </w:pPr>
      <w:r>
        <w:t xml:space="preserve">Convención de Montevideo sobre Derechos y Deberes de los Estados (1933): </w:t>
      </w:r>
      <w:r>
        <w:rPr>
          <w:b/>
        </w:rPr>
        <w:t>6.2</w:t>
      </w:r>
      <w:r>
        <w:t xml:space="preserve">, </w:t>
      </w:r>
      <w:r>
        <w:rPr>
          <w:b/>
        </w:rPr>
        <w:t>11.2</w:t>
      </w:r>
      <w:r>
        <w:t>.</w:t>
      </w:r>
    </w:p>
    <w:p>
      <w:pPr>
        <w:pStyle w:val="ListBullet"/>
      </w:pPr>
      <w:r>
        <w:t xml:space="preserve">Convenio de Estambul: </w:t>
      </w:r>
      <w:r>
        <w:rPr>
          <w:b/>
        </w:rPr>
        <w:t>11.3</w:t>
      </w:r>
      <w:r>
        <w:t>.</w:t>
      </w:r>
    </w:p>
    <w:p>
      <w:pPr>
        <w:pStyle w:val="ListBullet"/>
      </w:pPr>
      <w:r>
        <w:t xml:space="preserve">Convenio Europeo de Derechos Humanos: </w:t>
      </w:r>
      <w:r>
        <w:rPr>
          <w:b/>
        </w:rPr>
        <w:t>10.7</w:t>
      </w:r>
      <w:r>
        <w:t xml:space="preserve">, </w:t>
      </w:r>
      <w:r>
        <w:rPr>
          <w:b/>
        </w:rPr>
        <w:t>A.2</w:t>
      </w:r>
      <w:r>
        <w:t>.</w:t>
      </w:r>
    </w:p>
    <w:p>
      <w:pPr>
        <w:pStyle w:val="ListBullet"/>
      </w:pPr>
      <w:r>
        <w:t xml:space="preserve">Declaración de Derechos de Virginia: </w:t>
      </w:r>
      <w:r>
        <w:rPr>
          <w:b/>
        </w:rPr>
        <w:t>6.3</w:t>
      </w:r>
      <w:r>
        <w:t>.</w:t>
      </w:r>
    </w:p>
    <w:p>
      <w:pPr>
        <w:pStyle w:val="ListBullet"/>
      </w:pPr>
      <w:r>
        <w:t xml:space="preserve">Declaración de Independencia de los Estados Unidos (1776): </w:t>
      </w:r>
      <w:r>
        <w:rPr>
          <w:b/>
        </w:rPr>
        <w:t>6.1</w:t>
      </w:r>
      <w:r>
        <w:t xml:space="preserve">, </w:t>
      </w:r>
      <w:r>
        <w:rPr>
          <w:b/>
        </w:rPr>
        <w:t>6.3</w:t>
      </w:r>
      <w:r>
        <w:t>.</w:t>
      </w:r>
    </w:p>
    <w:p>
      <w:pPr>
        <w:pStyle w:val="ListBullet"/>
      </w:pPr>
      <w:r>
        <w:t xml:space="preserve">Declaración de los Derechos del Hombre y del Ciudadano (1789): </w:t>
      </w:r>
      <w:r>
        <w:rPr>
          <w:b/>
        </w:rPr>
        <w:t>6.1</w:t>
      </w:r>
      <w:r>
        <w:t xml:space="preserve">, </w:t>
      </w:r>
      <w:r>
        <w:rPr>
          <w:b/>
        </w:rPr>
        <w:t>6.3</w:t>
      </w:r>
      <w:r>
        <w:t xml:space="preserve">, </w:t>
      </w:r>
      <w:r>
        <w:rPr>
          <w:b/>
        </w:rPr>
        <w:t>H.10</w:t>
      </w:r>
      <w:r>
        <w:t>.</w:t>
      </w:r>
    </w:p>
    <w:p>
      <w:pPr>
        <w:pStyle w:val="ListBullet"/>
      </w:pPr>
      <w:r>
        <w:t xml:space="preserve">Declaración Universal de Derechos Humanos: </w:t>
      </w:r>
      <w:r>
        <w:rPr>
          <w:b/>
        </w:rPr>
        <w:t>2.2</w:t>
      </w:r>
      <w:r>
        <w:t xml:space="preserve">, </w:t>
      </w:r>
      <w:r>
        <w:rPr>
          <w:b/>
        </w:rPr>
        <w:t>6.5</w:t>
      </w:r>
      <w:r>
        <w:t xml:space="preserve">, </w:t>
      </w:r>
      <w:r>
        <w:rPr>
          <w:b/>
        </w:rPr>
        <w:t>10.7</w:t>
      </w:r>
      <w:r>
        <w:t xml:space="preserve">, </w:t>
      </w:r>
      <w:r>
        <w:rPr>
          <w:b/>
        </w:rPr>
        <w:t>11.3</w:t>
      </w:r>
      <w:r>
        <w:t>.</w:t>
      </w:r>
    </w:p>
    <w:p>
      <w:pPr>
        <w:pStyle w:val="ListBullet"/>
      </w:pPr>
      <w:r>
        <w:t xml:space="preserve">Directiva (UE) 2024/2853: </w:t>
      </w:r>
      <w:r>
        <w:rPr>
          <w:b/>
        </w:rPr>
        <w:t>10.6</w:t>
      </w:r>
      <w:r>
        <w:t>.</w:t>
      </w:r>
    </w:p>
    <w:p>
      <w:pPr>
        <w:pStyle w:val="ListBullet"/>
      </w:pPr>
      <w:r>
        <w:t xml:space="preserve">Estatuto de Roma: </w:t>
      </w:r>
      <w:r>
        <w:rPr>
          <w:b/>
        </w:rPr>
        <w:t>8.1</w:t>
      </w:r>
      <w:r>
        <w:t>.</w:t>
      </w:r>
    </w:p>
    <w:p>
      <w:pPr>
        <w:pStyle w:val="ListBullet"/>
      </w:pPr>
      <w:r>
        <w:t xml:space="preserve">Indian Independence Act (1947): </w:t>
      </w:r>
      <w:r>
        <w:rPr>
          <w:b/>
        </w:rPr>
        <w:t>9.2</w:t>
      </w:r>
      <w:r>
        <w:t>.</w:t>
      </w:r>
    </w:p>
    <w:p>
      <w:pPr>
        <w:pStyle w:val="ListBullet"/>
      </w:pPr>
      <w:r>
        <w:t xml:space="preserve">Instrumento de ratificación del Convenio de Estambul (BOE-A-2014-5947): </w:t>
      </w:r>
      <w:r>
        <w:rPr>
          <w:b/>
        </w:rPr>
        <w:t>11.3</w:t>
      </w:r>
      <w:r>
        <w:t>.</w:t>
      </w:r>
    </w:p>
    <w:p>
      <w:pPr>
        <w:pStyle w:val="ListBullet"/>
      </w:pPr>
      <w:r>
        <w:t xml:space="preserve">Japón, rescripto imperial de 1-I-1946: </w:t>
      </w:r>
      <w:r>
        <w:rPr>
          <w:b/>
        </w:rPr>
        <w:t>6.2</w:t>
      </w:r>
      <w:r>
        <w:t>.</w:t>
      </w:r>
    </w:p>
    <w:p>
      <w:pPr>
        <w:pStyle w:val="ListBullet"/>
      </w:pPr>
      <w:r>
        <w:t xml:space="preserve">Lex mercatoria, Libro Rojo de Bristol: </w:t>
      </w:r>
      <w:r>
        <w:rPr>
          <w:b/>
        </w:rPr>
        <w:t>1.5</w:t>
      </w:r>
      <w:r>
        <w:t>.</w:t>
      </w:r>
    </w:p>
    <w:p>
      <w:pPr>
        <w:pStyle w:val="ListBullet"/>
      </w:pPr>
      <w:r>
        <w:t xml:space="preserve">Ley Áurea de Brasil (1888): </w:t>
      </w:r>
      <w:r>
        <w:rPr>
          <w:b/>
        </w:rPr>
        <w:t>3.1</w:t>
      </w:r>
      <w:r>
        <w:t>.</w:t>
      </w:r>
    </w:p>
    <w:p>
      <w:pPr>
        <w:pStyle w:val="ListBullet"/>
      </w:pPr>
      <w:r>
        <w:t xml:space="preserve">Ley Fundamental de la República Federal de Alemania: </w:t>
      </w:r>
      <w:r>
        <w:rPr>
          <w:b/>
        </w:rPr>
        <w:t>6.5</w:t>
      </w:r>
      <w:r>
        <w:t>.</w:t>
      </w:r>
    </w:p>
    <w:p>
      <w:pPr>
        <w:pStyle w:val="ListBullet"/>
      </w:pPr>
      <w:r>
        <w:t xml:space="preserve">Leyes y decretos de la Revolución francesa: </w:t>
      </w:r>
      <w:r>
        <w:rPr>
          <w:b/>
        </w:rPr>
        <w:t>3.1</w:t>
      </w:r>
      <w:r>
        <w:t>.</w:t>
      </w:r>
    </w:p>
    <w:p>
      <w:pPr>
        <w:pStyle w:val="ListBullet"/>
      </w:pPr>
      <w:r>
        <w:t xml:space="preserve">OEA, estado de firmas de la Convención de Montevideo (A-40): </w:t>
      </w:r>
      <w:r>
        <w:rPr>
          <w:b/>
        </w:rPr>
        <w:t>11.2</w:t>
      </w:r>
      <w:r>
        <w:t>.</w:t>
      </w:r>
    </w:p>
    <w:p>
      <w:pPr>
        <w:pStyle w:val="ListBullet"/>
      </w:pPr>
      <w:r>
        <w:t xml:space="preserve">Pacto Internacional de Derechos Civiles y Políticos: </w:t>
      </w:r>
      <w:r>
        <w:rPr>
          <w:b/>
        </w:rPr>
        <w:t>8.5</w:t>
      </w:r>
      <w:r>
        <w:t>.</w:t>
      </w:r>
    </w:p>
    <w:p>
      <w:pPr>
        <w:pStyle w:val="ListBullet"/>
      </w:pPr>
      <w:r>
        <w:t xml:space="preserve">Pardessus, Collection de lois maritimes: </w:t>
      </w:r>
      <w:r>
        <w:rPr>
          <w:b/>
        </w:rPr>
        <w:t>1.5</w:t>
      </w:r>
      <w:r>
        <w:t>.</w:t>
      </w:r>
    </w:p>
    <w:p>
      <w:pPr>
        <w:pStyle w:val="ListBullet"/>
      </w:pPr>
      <w:r>
        <w:t xml:space="preserve">Parliamentary Standards Act (Reino Unido): </w:t>
      </w:r>
      <w:r>
        <w:rPr>
          <w:b/>
        </w:rPr>
        <w:t>7.2</w:t>
      </w:r>
      <w:r>
        <w:t>.</w:t>
      </w:r>
    </w:p>
    <w:p>
      <w:pPr>
        <w:pStyle w:val="ListBullet"/>
      </w:pPr>
      <w:r>
        <w:t xml:space="preserve">Plan de Constitución de 1793 (Condorcet): </w:t>
      </w:r>
      <w:r>
        <w:rPr>
          <w:b/>
        </w:rPr>
        <w:t>6.1</w:t>
      </w:r>
      <w:r>
        <w:t>.</w:t>
      </w:r>
    </w:p>
    <w:p>
      <w:pPr>
        <w:pStyle w:val="ListBullet"/>
      </w:pPr>
      <w:r>
        <w:t xml:space="preserve">Principios de Núremberg (1950): </w:t>
      </w:r>
      <w:r>
        <w:rPr>
          <w:b/>
        </w:rPr>
        <w:t>1.4</w:t>
      </w:r>
      <w:r>
        <w:t>.</w:t>
      </w:r>
    </w:p>
    <w:p>
      <w:pPr>
        <w:pStyle w:val="ListBullet"/>
      </w:pPr>
      <w:r>
        <w:t xml:space="preserve">Reglamento (CE) 2866/98: </w:t>
      </w:r>
      <w:r>
        <w:rPr>
          <w:b/>
        </w:rPr>
        <w:t>8.3</w:t>
      </w:r>
      <w:r>
        <w:t>.</w:t>
      </w:r>
    </w:p>
    <w:p>
      <w:pPr>
        <w:pStyle w:val="ListBullet"/>
      </w:pPr>
      <w:r>
        <w:t xml:space="preserve">Reglamento (UE) 2024/1083: </w:t>
      </w:r>
      <w:r>
        <w:rPr>
          <w:b/>
        </w:rPr>
        <w:t>10.2</w:t>
      </w:r>
      <w:r>
        <w:t>.</w:t>
      </w:r>
    </w:p>
    <w:p>
      <w:pPr>
        <w:pStyle w:val="ListBullet"/>
      </w:pPr>
      <w:r>
        <w:t xml:space="preserve">Reglamento (UE) 2024/1624: </w:t>
      </w:r>
      <w:r>
        <w:rPr>
          <w:b/>
        </w:rPr>
        <w:t>8.11</w:t>
      </w:r>
      <w:r>
        <w:t>.</w:t>
      </w:r>
    </w:p>
    <w:p>
      <w:pPr>
        <w:pStyle w:val="ListBullet"/>
      </w:pPr>
      <w:r>
        <w:t xml:space="preserve">Reglamento (UE, Euratom) 2024/2509: </w:t>
      </w:r>
      <w:r>
        <w:rPr>
          <w:b/>
        </w:rPr>
        <w:t>7.5</w:t>
      </w:r>
      <w:r>
        <w:t>.</w:t>
      </w:r>
    </w:p>
    <w:p>
      <w:pPr>
        <w:pStyle w:val="ListBullet"/>
      </w:pPr>
      <w:r>
        <w:t xml:space="preserve">Reglamento General de Protección de Datos: </w:t>
      </w:r>
      <w:r>
        <w:rPr>
          <w:b/>
        </w:rPr>
        <w:t>10.4</w:t>
      </w:r>
      <w:r>
        <w:t>.</w:t>
      </w:r>
    </w:p>
    <w:p>
      <w:pPr>
        <w:pStyle w:val="ListBullet"/>
      </w:pPr>
      <w:r>
        <w:t xml:space="preserve">Sentencia Arbitral de Guadalupe (1486): </w:t>
      </w:r>
      <w:r>
        <w:rPr>
          <w:b/>
        </w:rPr>
        <w:t>2.2</w:t>
      </w:r>
      <w:r>
        <w:t>.</w:t>
      </w:r>
    </w:p>
    <w:p>
      <w:pPr>
        <w:pStyle w:val="ListBullet"/>
      </w:pPr>
      <w:r>
        <w:t xml:space="preserve">Slavery Abolition Act (1833): </w:t>
      </w:r>
      <w:r>
        <w:rPr>
          <w:b/>
        </w:rPr>
        <w:t>3.1</w:t>
      </w:r>
      <w:r>
        <w:t>.</w:t>
      </w:r>
    </w:p>
    <w:p>
      <w:pPr>
        <w:pStyle w:val="ListBullet"/>
      </w:pPr>
      <w:r>
        <w:t xml:space="preserve">Sudáfrica, Ley 34 de 1995, de Promoción de la Unidad Nacional y la Reconciliación: </w:t>
      </w:r>
      <w:r>
        <w:rPr>
          <w:b/>
        </w:rPr>
        <w:t>F.7</w:t>
      </w:r>
      <w:r>
        <w:t>.</w:t>
      </w:r>
    </w:p>
    <w:p>
      <w:pPr>
        <w:pStyle w:val="ListBullet"/>
      </w:pPr>
      <w:r>
        <w:t xml:space="preserve">Tratado de Fort Stanwix: </w:t>
      </w:r>
      <w:r>
        <w:rPr>
          <w:b/>
        </w:rPr>
        <w:t>9.2</w:t>
      </w:r>
      <w:r>
        <w:t>.</w:t>
      </w:r>
    </w:p>
    <w:p>
      <w:pPr>
        <w:pStyle w:val="ListBullet"/>
      </w:pPr>
      <w:r>
        <w:t xml:space="preserve">Tratado de Funcionamiento de la Unión Europea: </w:t>
      </w:r>
      <w:r>
        <w:rPr>
          <w:b/>
        </w:rPr>
        <w:t>5.1</w:t>
      </w:r>
      <w:r>
        <w:t xml:space="preserve">, </w:t>
      </w:r>
      <w:r>
        <w:rPr>
          <w:b/>
        </w:rPr>
        <w:t>8.1</w:t>
      </w:r>
      <w:r>
        <w:t xml:space="preserve">, </w:t>
      </w:r>
      <w:r>
        <w:rPr>
          <w:b/>
        </w:rPr>
        <w:t>8.3</w:t>
      </w:r>
      <w:r>
        <w:t xml:space="preserve">, </w:t>
      </w:r>
      <w:r>
        <w:rPr>
          <w:b/>
        </w:rPr>
        <w:t>10.2</w:t>
      </w:r>
      <w:r>
        <w:t xml:space="preserve">, </w:t>
      </w:r>
      <w:r>
        <w:rPr>
          <w:b/>
        </w:rPr>
        <w:t>11.3</w:t>
      </w:r>
      <w:r>
        <w:t>.</w:t>
      </w:r>
    </w:p>
    <w:p>
      <w:pPr>
        <w:pStyle w:val="ListBullet"/>
      </w:pPr>
      <w:r>
        <w:t xml:space="preserve">Tratado de la Unión Europea: </w:t>
      </w:r>
      <w:r>
        <w:rPr>
          <w:b/>
        </w:rPr>
        <w:t>10.7</w:t>
      </w:r>
      <w:r>
        <w:t>.</w:t>
      </w:r>
    </w:p>
    <w:p>
      <w:r>
        <w:rPr>
          <w:b/>
        </w:rPr>
        <w:t>Las sentencias y las resoluciones de los tribunales</w:t>
      </w:r>
      <w:r>
        <w:t xml:space="preserve"> (193 fuentes)</w:t>
      </w:r>
    </w:p>
    <w:p>
      <w:pPr>
        <w:pStyle w:val="ListBullet"/>
      </w:pPr>
      <w:r>
        <w:t xml:space="preserve">ATC 147/1982: </w:t>
      </w:r>
      <w:r>
        <w:rPr>
          <w:b/>
        </w:rPr>
        <w:t>A.4</w:t>
      </w:r>
      <w:r>
        <w:t>.</w:t>
      </w:r>
    </w:p>
    <w:p>
      <w:pPr>
        <w:pStyle w:val="ListBullet"/>
      </w:pPr>
      <w:r>
        <w:t xml:space="preserve">ATC 141/2016: </w:t>
      </w:r>
      <w:r>
        <w:rPr>
          <w:b/>
        </w:rPr>
        <w:t>A.10</w:t>
      </w:r>
      <w:r>
        <w:t>.</w:t>
      </w:r>
    </w:p>
    <w:p>
      <w:pPr>
        <w:pStyle w:val="ListBullet"/>
      </w:pPr>
      <w:r>
        <w:t xml:space="preserve">ATC 170/2016: </w:t>
      </w:r>
      <w:r>
        <w:rPr>
          <w:b/>
        </w:rPr>
        <w:t>A.10</w:t>
      </w:r>
      <w:r>
        <w:t>.</w:t>
      </w:r>
    </w:p>
    <w:p>
      <w:pPr>
        <w:pStyle w:val="ListBullet"/>
      </w:pPr>
      <w:r>
        <w:t xml:space="preserve">ATC 24/2017: </w:t>
      </w:r>
      <w:r>
        <w:rPr>
          <w:b/>
        </w:rPr>
        <w:t>A.10</w:t>
      </w:r>
      <w:r>
        <w:t>.</w:t>
      </w:r>
    </w:p>
    <w:p>
      <w:pPr>
        <w:pStyle w:val="ListBullet"/>
      </w:pPr>
      <w:r>
        <w:t xml:space="preserve">ATC 123/2017: </w:t>
      </w:r>
      <w:r>
        <w:rPr>
          <w:b/>
        </w:rPr>
        <w:t>A.10</w:t>
      </w:r>
      <w:r>
        <w:t>.</w:t>
      </w:r>
    </w:p>
    <w:p>
      <w:pPr>
        <w:pStyle w:val="ListBullet"/>
      </w:pPr>
      <w:r>
        <w:t xml:space="preserve">ATC 155/2022: </w:t>
      </w:r>
      <w:r>
        <w:rPr>
          <w:b/>
        </w:rPr>
        <w:t>A.10</w:t>
      </w:r>
      <w:r>
        <w:t>.</w:t>
      </w:r>
    </w:p>
    <w:p>
      <w:pPr>
        <w:pStyle w:val="ListBullet"/>
      </w:pPr>
      <w:r>
        <w:t xml:space="preserve">DTC 1/1992: </w:t>
      </w:r>
      <w:r>
        <w:rPr>
          <w:b/>
        </w:rPr>
        <w:t>A.4</w:t>
      </w:r>
      <w:r>
        <w:t>.</w:t>
      </w:r>
    </w:p>
    <w:p>
      <w:pPr>
        <w:pStyle w:val="ListBullet"/>
      </w:pPr>
      <w:r>
        <w:t xml:space="preserve">DTC 1/2004: </w:t>
      </w:r>
      <w:r>
        <w:rPr>
          <w:b/>
        </w:rPr>
        <w:t>A.4</w:t>
      </w:r>
      <w:r>
        <w:t>.</w:t>
      </w:r>
    </w:p>
    <w:p>
      <w:pPr>
        <w:pStyle w:val="ListBullet"/>
      </w:pPr>
      <w:r>
        <w:t xml:space="preserve">STC 11/1981: </w:t>
      </w:r>
      <w:r>
        <w:rPr>
          <w:b/>
        </w:rPr>
        <w:t>10.7</w:t>
      </w:r>
      <w:r>
        <w:t>.</w:t>
      </w:r>
    </w:p>
    <w:p>
      <w:pPr>
        <w:pStyle w:val="ListBullet"/>
      </w:pPr>
      <w:r>
        <w:t xml:space="preserve">STC 18/1981: </w:t>
      </w:r>
      <w:r>
        <w:rPr>
          <w:b/>
        </w:rPr>
        <w:t>7.5</w:t>
      </w:r>
      <w:r>
        <w:t>.</w:t>
      </w:r>
    </w:p>
    <w:p>
      <w:pPr>
        <w:pStyle w:val="ListBullet"/>
      </w:pPr>
      <w:r>
        <w:t xml:space="preserve">STC 26/1981: </w:t>
      </w:r>
      <w:r>
        <w:rPr>
          <w:b/>
        </w:rPr>
        <w:t>A.2</w:t>
      </w:r>
      <w:r>
        <w:t>.</w:t>
      </w:r>
    </w:p>
    <w:p>
      <w:pPr>
        <w:pStyle w:val="ListBullet"/>
      </w:pPr>
      <w:r>
        <w:t xml:space="preserve">STC 10/1983: </w:t>
      </w:r>
      <w:r>
        <w:rPr>
          <w:b/>
        </w:rPr>
        <w:t>A.4</w:t>
      </w:r>
      <w:r>
        <w:t>.</w:t>
      </w:r>
    </w:p>
    <w:p>
      <w:pPr>
        <w:pStyle w:val="ListBullet"/>
      </w:pPr>
      <w:r>
        <w:t xml:space="preserve">STC 76/1983: </w:t>
      </w:r>
      <w:r>
        <w:rPr>
          <w:b/>
        </w:rPr>
        <w:t>A.8</w:t>
      </w:r>
      <w:r>
        <w:t>.</w:t>
      </w:r>
    </w:p>
    <w:p>
      <w:pPr>
        <w:pStyle w:val="ListBullet"/>
      </w:pPr>
      <w:r>
        <w:t xml:space="preserve">STC 111/1983: </w:t>
      </w:r>
      <w:r>
        <w:rPr>
          <w:b/>
        </w:rPr>
        <w:t>A.4</w:t>
      </w:r>
      <w:r>
        <w:t>.</w:t>
      </w:r>
    </w:p>
    <w:p>
      <w:pPr>
        <w:pStyle w:val="ListBullet"/>
      </w:pPr>
      <w:r>
        <w:t xml:space="preserve">STC 42/1985: </w:t>
      </w:r>
      <w:r>
        <w:rPr>
          <w:b/>
        </w:rPr>
        <w:t>A.10</w:t>
      </w:r>
      <w:r>
        <w:t>.</w:t>
      </w:r>
    </w:p>
    <w:p>
      <w:pPr>
        <w:pStyle w:val="ListBullet"/>
      </w:pPr>
      <w:r>
        <w:t xml:space="preserve">STC 44/1986: </w:t>
      </w:r>
      <w:r>
        <w:rPr>
          <w:b/>
        </w:rPr>
        <w:t>A.9</w:t>
      </w:r>
      <w:r>
        <w:t>.</w:t>
      </w:r>
    </w:p>
    <w:p>
      <w:pPr>
        <w:pStyle w:val="ListBullet"/>
      </w:pPr>
      <w:r>
        <w:t xml:space="preserve">STC 53/1986: </w:t>
      </w:r>
      <w:r>
        <w:rPr>
          <w:b/>
        </w:rPr>
        <w:t>A.2</w:t>
      </w:r>
      <w:r>
        <w:t>.</w:t>
      </w:r>
    </w:p>
    <w:p>
      <w:pPr>
        <w:pStyle w:val="ListBullet"/>
      </w:pPr>
      <w:r>
        <w:t xml:space="preserve">STC 108/1986: </w:t>
      </w:r>
      <w:r>
        <w:rPr>
          <w:b/>
        </w:rPr>
        <w:t>6.4</w:t>
      </w:r>
      <w:r>
        <w:t xml:space="preserve">, </w:t>
      </w:r>
      <w:r>
        <w:rPr>
          <w:b/>
        </w:rPr>
        <w:t>A.4</w:t>
      </w:r>
      <w:r>
        <w:t>.</w:t>
      </w:r>
    </w:p>
    <w:p>
      <w:pPr>
        <w:pStyle w:val="ListBullet"/>
      </w:pPr>
      <w:r>
        <w:t xml:space="preserve">STC 152/1988: </w:t>
      </w:r>
      <w:r>
        <w:rPr>
          <w:b/>
        </w:rPr>
        <w:t>A.2</w:t>
      </w:r>
      <w:r>
        <w:t>.</w:t>
      </w:r>
    </w:p>
    <w:p>
      <w:pPr>
        <w:pStyle w:val="ListBullet"/>
      </w:pPr>
      <w:r>
        <w:t xml:space="preserve">STC 132/1989: </w:t>
      </w:r>
      <w:r>
        <w:rPr>
          <w:b/>
        </w:rPr>
        <w:t>A.2</w:t>
      </w:r>
      <w:r>
        <w:t>.</w:t>
      </w:r>
    </w:p>
    <w:p>
      <w:pPr>
        <w:pStyle w:val="ListBullet"/>
      </w:pPr>
      <w:r>
        <w:t xml:space="preserve">STC 219/1989: </w:t>
      </w:r>
      <w:r>
        <w:rPr>
          <w:b/>
        </w:rPr>
        <w:t>A.2</w:t>
      </w:r>
      <w:r>
        <w:t>.</w:t>
      </w:r>
    </w:p>
    <w:p>
      <w:pPr>
        <w:pStyle w:val="ListBullet"/>
      </w:pPr>
      <w:r>
        <w:t xml:space="preserve">STC 76/1990: </w:t>
      </w:r>
      <w:r>
        <w:rPr>
          <w:b/>
        </w:rPr>
        <w:t>7.6</w:t>
      </w:r>
      <w:r>
        <w:t xml:space="preserve">, </w:t>
      </w:r>
      <w:r>
        <w:rPr>
          <w:b/>
        </w:rPr>
        <w:t>11.3</w:t>
      </w:r>
      <w:r>
        <w:t xml:space="preserve">, </w:t>
      </w:r>
      <w:r>
        <w:rPr>
          <w:b/>
        </w:rPr>
        <w:t>A.2</w:t>
      </w:r>
      <w:r>
        <w:t>.</w:t>
      </w:r>
    </w:p>
    <w:p>
      <w:pPr>
        <w:pStyle w:val="ListBullet"/>
      </w:pPr>
      <w:r>
        <w:t xml:space="preserve">STC 150/1990: </w:t>
      </w:r>
      <w:r>
        <w:rPr>
          <w:b/>
        </w:rPr>
        <w:t>7.6</w:t>
      </w:r>
      <w:r>
        <w:t xml:space="preserve">, </w:t>
      </w:r>
      <w:r>
        <w:rPr>
          <w:b/>
        </w:rPr>
        <w:t>A.2</w:t>
      </w:r>
      <w:r>
        <w:t xml:space="preserve">, </w:t>
      </w:r>
      <w:r>
        <w:rPr>
          <w:b/>
        </w:rPr>
        <w:t>A.10</w:t>
      </w:r>
      <w:r>
        <w:t>.</w:t>
      </w:r>
    </w:p>
    <w:p>
      <w:pPr>
        <w:pStyle w:val="ListBullet"/>
      </w:pPr>
      <w:r>
        <w:t xml:space="preserve">STC 10/1991: </w:t>
      </w:r>
      <w:r>
        <w:rPr>
          <w:b/>
        </w:rPr>
        <w:t>10.7</w:t>
      </w:r>
      <w:r>
        <w:t>.</w:t>
      </w:r>
    </w:p>
    <w:p>
      <w:pPr>
        <w:pStyle w:val="ListBullet"/>
      </w:pPr>
      <w:r>
        <w:t xml:space="preserve">STC 145/1991: </w:t>
      </w:r>
      <w:r>
        <w:rPr>
          <w:b/>
        </w:rPr>
        <w:t>A.2</w:t>
      </w:r>
      <w:r>
        <w:t>.</w:t>
      </w:r>
    </w:p>
    <w:p>
      <w:pPr>
        <w:pStyle w:val="ListBullet"/>
      </w:pPr>
      <w:r>
        <w:t xml:space="preserve">STC 147/1991: </w:t>
      </w:r>
      <w:r>
        <w:rPr>
          <w:b/>
        </w:rPr>
        <w:t>A.9</w:t>
      </w:r>
      <w:r>
        <w:t>.</w:t>
      </w:r>
    </w:p>
    <w:p>
      <w:pPr>
        <w:pStyle w:val="ListBullet"/>
      </w:pPr>
      <w:r>
        <w:t xml:space="preserve">STC 149/1991: </w:t>
      </w:r>
      <w:r>
        <w:rPr>
          <w:b/>
        </w:rPr>
        <w:t>A.8</w:t>
      </w:r>
      <w:r>
        <w:t>.</w:t>
      </w:r>
    </w:p>
    <w:p>
      <w:pPr>
        <w:pStyle w:val="ListBullet"/>
      </w:pPr>
      <w:r>
        <w:t xml:space="preserve">STC 245/1991: </w:t>
      </w:r>
      <w:r>
        <w:rPr>
          <w:b/>
        </w:rPr>
        <w:t>A.2</w:t>
      </w:r>
      <w:r>
        <w:t>.</w:t>
      </w:r>
    </w:p>
    <w:p>
      <w:pPr>
        <w:pStyle w:val="ListBullet"/>
      </w:pPr>
      <w:r>
        <w:t xml:space="preserve">STC 66/1995: </w:t>
      </w:r>
      <w:r>
        <w:rPr>
          <w:b/>
        </w:rPr>
        <w:t>10.4</w:t>
      </w:r>
      <w:r>
        <w:t xml:space="preserve">, </w:t>
      </w:r>
      <w:r>
        <w:rPr>
          <w:b/>
        </w:rPr>
        <w:t>10.7</w:t>
      </w:r>
      <w:r>
        <w:t>.</w:t>
      </w:r>
    </w:p>
    <w:p>
      <w:pPr>
        <w:pStyle w:val="ListBullet"/>
      </w:pPr>
      <w:r>
        <w:t xml:space="preserve">STC 55/1996: </w:t>
      </w:r>
      <w:r>
        <w:rPr>
          <w:b/>
        </w:rPr>
        <w:t>10.4</w:t>
      </w:r>
      <w:r>
        <w:t xml:space="preserve">, </w:t>
      </w:r>
      <w:r>
        <w:rPr>
          <w:b/>
        </w:rPr>
        <w:t>10.7</w:t>
      </w:r>
      <w:r>
        <w:t>.</w:t>
      </w:r>
    </w:p>
    <w:p>
      <w:pPr>
        <w:pStyle w:val="ListBullet"/>
      </w:pPr>
      <w:r>
        <w:t xml:space="preserve">STC 118/1996: </w:t>
      </w:r>
      <w:r>
        <w:rPr>
          <w:b/>
        </w:rPr>
        <w:t>A.9</w:t>
      </w:r>
      <w:r>
        <w:t>.</w:t>
      </w:r>
    </w:p>
    <w:p>
      <w:pPr>
        <w:pStyle w:val="ListBullet"/>
      </w:pPr>
      <w:r>
        <w:t xml:space="preserve">STC 173/1996: </w:t>
      </w:r>
      <w:r>
        <w:rPr>
          <w:b/>
        </w:rPr>
        <w:t>A.1</w:t>
      </w:r>
      <w:r>
        <w:t>.</w:t>
      </w:r>
    </w:p>
    <w:p>
      <w:pPr>
        <w:pStyle w:val="ListBullet"/>
      </w:pPr>
      <w:r>
        <w:t xml:space="preserve">STC 207/1996: </w:t>
      </w:r>
      <w:r>
        <w:rPr>
          <w:b/>
        </w:rPr>
        <w:t>10.4</w:t>
      </w:r>
      <w:r>
        <w:t xml:space="preserve">, </w:t>
      </w:r>
      <w:r>
        <w:rPr>
          <w:b/>
        </w:rPr>
        <w:t>10.7</w:t>
      </w:r>
      <w:r>
        <w:t>.</w:t>
      </w:r>
    </w:p>
    <w:p>
      <w:pPr>
        <w:pStyle w:val="ListBullet"/>
      </w:pPr>
      <w:r>
        <w:t xml:space="preserve">STC 61/1997: </w:t>
      </w:r>
      <w:r>
        <w:rPr>
          <w:b/>
        </w:rPr>
        <w:t>A.9</w:t>
      </w:r>
      <w:r>
        <w:t>.</w:t>
      </w:r>
    </w:p>
    <w:p>
      <w:pPr>
        <w:pStyle w:val="ListBullet"/>
      </w:pPr>
      <w:r>
        <w:t xml:space="preserve">STC 182/1997: </w:t>
      </w:r>
      <w:r>
        <w:rPr>
          <w:b/>
        </w:rPr>
        <w:t>A.4</w:t>
      </w:r>
      <w:r>
        <w:t>.</w:t>
      </w:r>
    </w:p>
    <w:p>
      <w:pPr>
        <w:pStyle w:val="ListBullet"/>
      </w:pPr>
      <w:r>
        <w:t xml:space="preserve">STC 233/1999: </w:t>
      </w:r>
      <w:r>
        <w:rPr>
          <w:b/>
        </w:rPr>
        <w:t>A.2</w:t>
      </w:r>
      <w:r>
        <w:t>.</w:t>
      </w:r>
    </w:p>
    <w:p>
      <w:pPr>
        <w:pStyle w:val="ListBullet"/>
      </w:pPr>
      <w:r>
        <w:t xml:space="preserve">STC 105/2000: </w:t>
      </w:r>
      <w:r>
        <w:rPr>
          <w:b/>
        </w:rPr>
        <w:t>6.4</w:t>
      </w:r>
      <w:r>
        <w:t>.</w:t>
      </w:r>
    </w:p>
    <w:p>
      <w:pPr>
        <w:pStyle w:val="ListBullet"/>
      </w:pPr>
      <w:r>
        <w:t xml:space="preserve">STC 68/2001: </w:t>
      </w:r>
      <w:r>
        <w:rPr>
          <w:b/>
        </w:rPr>
        <w:t>A.5</w:t>
      </w:r>
      <w:r>
        <w:t>.</w:t>
      </w:r>
    </w:p>
    <w:p>
      <w:pPr>
        <w:pStyle w:val="ListBullet"/>
      </w:pPr>
      <w:r>
        <w:t xml:space="preserve">STC 5/2004: </w:t>
      </w:r>
      <w:r>
        <w:rPr>
          <w:b/>
        </w:rPr>
        <w:t>6.4</w:t>
      </w:r>
      <w:r>
        <w:t xml:space="preserve">, </w:t>
      </w:r>
      <w:r>
        <w:rPr>
          <w:b/>
        </w:rPr>
        <w:t>A.2</w:t>
      </w:r>
      <w:r>
        <w:t>.</w:t>
      </w:r>
    </w:p>
    <w:p>
      <w:pPr>
        <w:pStyle w:val="ListBullet"/>
      </w:pPr>
      <w:r>
        <w:t xml:space="preserve">STC 6/2004: </w:t>
      </w:r>
      <w:r>
        <w:rPr>
          <w:b/>
        </w:rPr>
        <w:t>A.2</w:t>
      </w:r>
      <w:r>
        <w:t>.</w:t>
      </w:r>
    </w:p>
    <w:p>
      <w:pPr>
        <w:pStyle w:val="ListBullet"/>
      </w:pPr>
      <w:r>
        <w:t xml:space="preserve">STC 166/2007: </w:t>
      </w:r>
      <w:r>
        <w:rPr>
          <w:b/>
        </w:rPr>
        <w:t>A.4</w:t>
      </w:r>
      <w:r>
        <w:t>.</w:t>
      </w:r>
    </w:p>
    <w:p>
      <w:pPr>
        <w:pStyle w:val="ListBullet"/>
      </w:pPr>
      <w:r>
        <w:t xml:space="preserve">STC 31/2010: </w:t>
      </w:r>
      <w:r>
        <w:rPr>
          <w:b/>
        </w:rPr>
        <w:t>A.9</w:t>
      </w:r>
      <w:r>
        <w:t>.</w:t>
      </w:r>
    </w:p>
    <w:p>
      <w:pPr>
        <w:pStyle w:val="ListBullet"/>
      </w:pPr>
      <w:r>
        <w:t xml:space="preserve">STC 163/2011: </w:t>
      </w:r>
      <w:r>
        <w:rPr>
          <w:b/>
        </w:rPr>
        <w:t>6.4</w:t>
      </w:r>
      <w:r>
        <w:t>.</w:t>
      </w:r>
    </w:p>
    <w:p>
      <w:pPr>
        <w:pStyle w:val="ListBullet"/>
      </w:pPr>
      <w:r>
        <w:t xml:space="preserve">STC 145/2012: </w:t>
      </w:r>
      <w:r>
        <w:rPr>
          <w:b/>
        </w:rPr>
        <w:t>11.3</w:t>
      </w:r>
      <w:r>
        <w:t>.</w:t>
      </w:r>
    </w:p>
    <w:p>
      <w:pPr>
        <w:pStyle w:val="ListBullet"/>
      </w:pPr>
      <w:r>
        <w:t xml:space="preserve">STC 198/2012: </w:t>
      </w:r>
      <w:r>
        <w:rPr>
          <w:b/>
        </w:rPr>
        <w:t>7.3</w:t>
      </w:r>
      <w:r>
        <w:t xml:space="preserve">, </w:t>
      </w:r>
      <w:r>
        <w:rPr>
          <w:b/>
        </w:rPr>
        <w:t>A.2</w:t>
      </w:r>
      <w:r>
        <w:t>.</w:t>
      </w:r>
    </w:p>
    <w:p>
      <w:pPr>
        <w:pStyle w:val="ListBullet"/>
      </w:pPr>
      <w:r>
        <w:t xml:space="preserve">STC 205/2013: </w:t>
      </w:r>
      <w:r>
        <w:rPr>
          <w:b/>
        </w:rPr>
        <w:t>A.7</w:t>
      </w:r>
      <w:r>
        <w:t>.</w:t>
      </w:r>
    </w:p>
    <w:p>
      <w:pPr>
        <w:pStyle w:val="ListBullet"/>
      </w:pPr>
      <w:r>
        <w:t xml:space="preserve">STC 26/2014: </w:t>
      </w:r>
      <w:r>
        <w:rPr>
          <w:b/>
        </w:rPr>
        <w:t>A.4</w:t>
      </w:r>
      <w:r>
        <w:t>.</w:t>
      </w:r>
    </w:p>
    <w:p>
      <w:pPr>
        <w:pStyle w:val="ListBullet"/>
      </w:pPr>
      <w:r>
        <w:t xml:space="preserve">STC 31/2015: </w:t>
      </w:r>
      <w:r>
        <w:rPr>
          <w:b/>
        </w:rPr>
        <w:t>7.3</w:t>
      </w:r>
      <w:r>
        <w:t xml:space="preserve">, </w:t>
      </w:r>
      <w:r>
        <w:rPr>
          <w:b/>
        </w:rPr>
        <w:t>A.1</w:t>
      </w:r>
      <w:r>
        <w:t>.</w:t>
      </w:r>
    </w:p>
    <w:p>
      <w:pPr>
        <w:pStyle w:val="ListBullet"/>
      </w:pPr>
      <w:r>
        <w:t xml:space="preserve">STC 49/2015: </w:t>
      </w:r>
      <w:r>
        <w:rPr>
          <w:b/>
        </w:rPr>
        <w:t>A.2</w:t>
      </w:r>
      <w:r>
        <w:t>.</w:t>
      </w:r>
    </w:p>
    <w:p>
      <w:pPr>
        <w:pStyle w:val="ListBullet"/>
      </w:pPr>
      <w:r>
        <w:t xml:space="preserve">STC 95/2015: </w:t>
      </w:r>
      <w:r>
        <w:rPr>
          <w:b/>
        </w:rPr>
        <w:t>A.2</w:t>
      </w:r>
      <w:r>
        <w:t>.</w:t>
      </w:r>
    </w:p>
    <w:p>
      <w:pPr>
        <w:pStyle w:val="ListBullet"/>
      </w:pPr>
      <w:r>
        <w:t xml:space="preserve">STC 4/2016: </w:t>
      </w:r>
      <w:r>
        <w:rPr>
          <w:b/>
        </w:rPr>
        <w:t>A.1</w:t>
      </w:r>
      <w:r>
        <w:t>.</w:t>
      </w:r>
    </w:p>
    <w:p>
      <w:pPr>
        <w:pStyle w:val="ListBullet"/>
      </w:pPr>
      <w:r>
        <w:t xml:space="preserve">STC 41/2016: </w:t>
      </w:r>
      <w:r>
        <w:rPr>
          <w:b/>
        </w:rPr>
        <w:t>A.9</w:t>
      </w:r>
      <w:r>
        <w:t>.</w:t>
      </w:r>
    </w:p>
    <w:p>
      <w:pPr>
        <w:pStyle w:val="ListBullet"/>
      </w:pPr>
      <w:r>
        <w:t xml:space="preserve">STC 104/2016: </w:t>
      </w:r>
      <w:r>
        <w:rPr>
          <w:b/>
        </w:rPr>
        <w:t>A.1</w:t>
      </w:r>
      <w:r>
        <w:t>.</w:t>
      </w:r>
    </w:p>
    <w:p>
      <w:pPr>
        <w:pStyle w:val="ListBullet"/>
      </w:pPr>
      <w:r>
        <w:t xml:space="preserve">STC 111/2016: </w:t>
      </w:r>
      <w:r>
        <w:rPr>
          <w:b/>
        </w:rPr>
        <w:t>A.9</w:t>
      </w:r>
      <w:r>
        <w:t>.</w:t>
      </w:r>
    </w:p>
    <w:p>
      <w:pPr>
        <w:pStyle w:val="ListBullet"/>
      </w:pPr>
      <w:r>
        <w:t xml:space="preserve">STC 185/2016: </w:t>
      </w:r>
      <w:r>
        <w:rPr>
          <w:b/>
        </w:rPr>
        <w:t>A.10</w:t>
      </w:r>
      <w:r>
        <w:t>.</w:t>
      </w:r>
    </w:p>
    <w:p>
      <w:pPr>
        <w:pStyle w:val="ListBullet"/>
      </w:pPr>
      <w:r>
        <w:t xml:space="preserve">STC 215/2016: </w:t>
      </w:r>
      <w:r>
        <w:rPr>
          <w:b/>
        </w:rPr>
        <w:t>A.10</w:t>
      </w:r>
      <w:r>
        <w:t>.</w:t>
      </w:r>
    </w:p>
    <w:p>
      <w:pPr>
        <w:pStyle w:val="ListBullet"/>
      </w:pPr>
      <w:r>
        <w:t xml:space="preserve">STC 51/2017: </w:t>
      </w:r>
      <w:r>
        <w:rPr>
          <w:b/>
        </w:rPr>
        <w:t>7.3</w:t>
      </w:r>
      <w:r>
        <w:t xml:space="preserve">, </w:t>
      </w:r>
      <w:r>
        <w:rPr>
          <w:b/>
        </w:rPr>
        <w:t>A.1</w:t>
      </w:r>
      <w:r>
        <w:t>.</w:t>
      </w:r>
    </w:p>
    <w:p>
      <w:pPr>
        <w:pStyle w:val="ListBullet"/>
      </w:pPr>
      <w:r>
        <w:t xml:space="preserve">STC 59/2017: </w:t>
      </w:r>
      <w:r>
        <w:rPr>
          <w:b/>
        </w:rPr>
        <w:t>10.4</w:t>
      </w:r>
      <w:r>
        <w:t>.</w:t>
      </w:r>
    </w:p>
    <w:p>
      <w:pPr>
        <w:pStyle w:val="ListBullet"/>
      </w:pPr>
      <w:r>
        <w:t xml:space="preserve">STC 73/2017: </w:t>
      </w:r>
      <w:r>
        <w:rPr>
          <w:b/>
        </w:rPr>
        <w:t>5.1</w:t>
      </w:r>
      <w:r>
        <w:t xml:space="preserve">, </w:t>
      </w:r>
      <w:r>
        <w:rPr>
          <w:b/>
        </w:rPr>
        <w:t>11.3</w:t>
      </w:r>
      <w:r>
        <w:t xml:space="preserve">, </w:t>
      </w:r>
      <w:r>
        <w:rPr>
          <w:b/>
        </w:rPr>
        <w:t>A.2</w:t>
      </w:r>
      <w:r>
        <w:t xml:space="preserve">, </w:t>
      </w:r>
      <w:r>
        <w:rPr>
          <w:b/>
        </w:rPr>
        <w:t>A.4</w:t>
      </w:r>
      <w:r>
        <w:t>.</w:t>
      </w:r>
    </w:p>
    <w:p>
      <w:pPr>
        <w:pStyle w:val="ListBullet"/>
      </w:pPr>
      <w:r>
        <w:t xml:space="preserve">STC 79/2017: </w:t>
      </w:r>
      <w:r>
        <w:rPr>
          <w:b/>
        </w:rPr>
        <w:t>A.9</w:t>
      </w:r>
      <w:r>
        <w:t>.</w:t>
      </w:r>
    </w:p>
    <w:p>
      <w:pPr>
        <w:pStyle w:val="ListBullet"/>
      </w:pPr>
      <w:r>
        <w:t xml:space="preserve">STC 111/2017: </w:t>
      </w:r>
      <w:r>
        <w:rPr>
          <w:b/>
        </w:rPr>
        <w:t>A.9</w:t>
      </w:r>
      <w:r>
        <w:t>.</w:t>
      </w:r>
    </w:p>
    <w:p>
      <w:pPr>
        <w:pStyle w:val="ListBullet"/>
      </w:pPr>
      <w:r>
        <w:t xml:space="preserve">STC 114/2017: </w:t>
      </w:r>
      <w:r>
        <w:rPr>
          <w:b/>
        </w:rPr>
        <w:t>7.3</w:t>
      </w:r>
      <w:r>
        <w:t xml:space="preserve">, </w:t>
      </w:r>
      <w:r>
        <w:rPr>
          <w:b/>
        </w:rPr>
        <w:t>A.1</w:t>
      </w:r>
      <w:r>
        <w:t>.</w:t>
      </w:r>
    </w:p>
    <w:p>
      <w:pPr>
        <w:pStyle w:val="ListBullet"/>
      </w:pPr>
      <w:r>
        <w:t xml:space="preserve">STC 45/2018: </w:t>
      </w:r>
      <w:r>
        <w:rPr>
          <w:b/>
        </w:rPr>
        <w:t>A.1</w:t>
      </w:r>
      <w:r>
        <w:t>.</w:t>
      </w:r>
    </w:p>
    <w:p>
      <w:pPr>
        <w:pStyle w:val="ListBullet"/>
      </w:pPr>
      <w:r>
        <w:t xml:space="preserve">STC 51/2018: </w:t>
      </w:r>
      <w:r>
        <w:rPr>
          <w:b/>
        </w:rPr>
        <w:t>A.1</w:t>
      </w:r>
      <w:r>
        <w:t>.</w:t>
      </w:r>
    </w:p>
    <w:p>
      <w:pPr>
        <w:pStyle w:val="ListBullet"/>
      </w:pPr>
      <w:r>
        <w:t xml:space="preserve">STC 61/2018: </w:t>
      </w:r>
      <w:r>
        <w:rPr>
          <w:b/>
        </w:rPr>
        <w:t>11.3</w:t>
      </w:r>
      <w:r>
        <w:t xml:space="preserve">, </w:t>
      </w:r>
      <w:r>
        <w:rPr>
          <w:b/>
        </w:rPr>
        <w:t>A.4</w:t>
      </w:r>
      <w:r>
        <w:t>.</w:t>
      </w:r>
    </w:p>
    <w:p>
      <w:pPr>
        <w:pStyle w:val="ListBullet"/>
      </w:pPr>
      <w:r>
        <w:t xml:space="preserve">STC 124/2018: </w:t>
      </w:r>
      <w:r>
        <w:rPr>
          <w:b/>
        </w:rPr>
        <w:t>A.5</w:t>
      </w:r>
      <w:r>
        <w:t>.</w:t>
      </w:r>
    </w:p>
    <w:p>
      <w:pPr>
        <w:pStyle w:val="ListBullet"/>
      </w:pPr>
      <w:r>
        <w:t xml:space="preserve">STC 32/2019: </w:t>
      </w:r>
      <w:r>
        <w:rPr>
          <w:b/>
        </w:rPr>
        <w:t>A.2</w:t>
      </w:r>
      <w:r>
        <w:t>.</w:t>
      </w:r>
    </w:p>
    <w:p>
      <w:pPr>
        <w:pStyle w:val="ListBullet"/>
      </w:pPr>
      <w:r>
        <w:t xml:space="preserve">STC 89/2019: </w:t>
      </w:r>
      <w:r>
        <w:rPr>
          <w:b/>
        </w:rPr>
        <w:t>A.1</w:t>
      </w:r>
      <w:r>
        <w:t>.</w:t>
      </w:r>
    </w:p>
    <w:p>
      <w:pPr>
        <w:pStyle w:val="ListBullet"/>
      </w:pPr>
      <w:r>
        <w:t xml:space="preserve">STC 90/2019: </w:t>
      </w:r>
      <w:r>
        <w:rPr>
          <w:b/>
        </w:rPr>
        <w:t>A.1</w:t>
      </w:r>
      <w:r>
        <w:t>.</w:t>
      </w:r>
    </w:p>
    <w:p>
      <w:pPr>
        <w:pStyle w:val="ListBullet"/>
      </w:pPr>
      <w:r>
        <w:t xml:space="preserve">STC 98/2019: </w:t>
      </w:r>
      <w:r>
        <w:rPr>
          <w:b/>
        </w:rPr>
        <w:t>A.3</w:t>
      </w:r>
      <w:r>
        <w:t>.</w:t>
      </w:r>
    </w:p>
    <w:p>
      <w:pPr>
        <w:pStyle w:val="ListBullet"/>
      </w:pPr>
      <w:r>
        <w:t xml:space="preserve">STC 108/2019: </w:t>
      </w:r>
      <w:r>
        <w:rPr>
          <w:b/>
        </w:rPr>
        <w:t>A.2</w:t>
      </w:r>
      <w:r>
        <w:t>.</w:t>
      </w:r>
    </w:p>
    <w:p>
      <w:pPr>
        <w:pStyle w:val="ListBullet"/>
      </w:pPr>
      <w:r>
        <w:t xml:space="preserve">STC 126/2019: </w:t>
      </w:r>
      <w:r>
        <w:rPr>
          <w:b/>
        </w:rPr>
        <w:t>7.6</w:t>
      </w:r>
      <w:r>
        <w:t xml:space="preserve">, </w:t>
      </w:r>
      <w:r>
        <w:rPr>
          <w:b/>
        </w:rPr>
        <w:t>A.2</w:t>
      </w:r>
      <w:r>
        <w:t>.</w:t>
      </w:r>
    </w:p>
    <w:p>
      <w:pPr>
        <w:pStyle w:val="ListBullet"/>
      </w:pPr>
      <w:r>
        <w:t xml:space="preserve">STC 14/2020: </w:t>
      </w:r>
      <w:r>
        <w:rPr>
          <w:b/>
        </w:rPr>
        <w:t>A.4</w:t>
      </w:r>
      <w:r>
        <w:t>.</w:t>
      </w:r>
    </w:p>
    <w:p>
      <w:pPr>
        <w:pStyle w:val="ListBullet"/>
      </w:pPr>
      <w:r>
        <w:t xml:space="preserve">STC 79/2020: </w:t>
      </w:r>
      <w:r>
        <w:rPr>
          <w:b/>
        </w:rPr>
        <w:t>A.2</w:t>
      </w:r>
      <w:r>
        <w:t>.</w:t>
      </w:r>
    </w:p>
    <w:p>
      <w:pPr>
        <w:pStyle w:val="ListBullet"/>
      </w:pPr>
      <w:r>
        <w:t xml:space="preserve">STC 172/2020: </w:t>
      </w:r>
      <w:r>
        <w:rPr>
          <w:b/>
        </w:rPr>
        <w:t>7.3</w:t>
      </w:r>
      <w:r>
        <w:t xml:space="preserve">, </w:t>
      </w:r>
      <w:r>
        <w:rPr>
          <w:b/>
        </w:rPr>
        <w:t>A.2</w:t>
      </w:r>
      <w:r>
        <w:t>.</w:t>
      </w:r>
    </w:p>
    <w:p>
      <w:pPr>
        <w:pStyle w:val="ListBullet"/>
      </w:pPr>
      <w:r>
        <w:t xml:space="preserve">STC 73/2021: </w:t>
      </w:r>
      <w:r>
        <w:rPr>
          <w:b/>
        </w:rPr>
        <w:t>A.2</w:t>
      </w:r>
      <w:r>
        <w:t>.</w:t>
      </w:r>
    </w:p>
    <w:p>
      <w:pPr>
        <w:pStyle w:val="ListBullet"/>
      </w:pPr>
      <w:r>
        <w:t xml:space="preserve">STC 148/2021: </w:t>
      </w:r>
      <w:r>
        <w:rPr>
          <w:b/>
        </w:rPr>
        <w:t>7.2</w:t>
      </w:r>
      <w:r>
        <w:t xml:space="preserve">, </w:t>
      </w:r>
      <w:r>
        <w:rPr>
          <w:b/>
        </w:rPr>
        <w:t>8.5</w:t>
      </w:r>
      <w:r>
        <w:t xml:space="preserve">, </w:t>
      </w:r>
      <w:r>
        <w:rPr>
          <w:b/>
        </w:rPr>
        <w:t>10.7</w:t>
      </w:r>
      <w:r>
        <w:t xml:space="preserve">, </w:t>
      </w:r>
      <w:r>
        <w:rPr>
          <w:b/>
        </w:rPr>
        <w:t>A.2</w:t>
      </w:r>
      <w:r>
        <w:t xml:space="preserve">, </w:t>
      </w:r>
      <w:r>
        <w:rPr>
          <w:b/>
        </w:rPr>
        <w:t>A.6</w:t>
      </w:r>
      <w:r>
        <w:t>.</w:t>
      </w:r>
    </w:p>
    <w:p>
      <w:pPr>
        <w:pStyle w:val="ListBullet"/>
      </w:pPr>
      <w:r>
        <w:t xml:space="preserve">STC 169/2021: </w:t>
      </w:r>
      <w:r>
        <w:rPr>
          <w:b/>
        </w:rPr>
        <w:t>7.3</w:t>
      </w:r>
      <w:r>
        <w:t xml:space="preserve">, </w:t>
      </w:r>
      <w:r>
        <w:rPr>
          <w:b/>
        </w:rPr>
        <w:t>A.2</w:t>
      </w:r>
      <w:r>
        <w:t>.</w:t>
      </w:r>
    </w:p>
    <w:p>
      <w:pPr>
        <w:pStyle w:val="ListBullet"/>
      </w:pPr>
      <w:r>
        <w:t xml:space="preserve">STC 182/2021: </w:t>
      </w:r>
      <w:r>
        <w:rPr>
          <w:b/>
        </w:rPr>
        <w:t>5.1</w:t>
      </w:r>
      <w:r>
        <w:t xml:space="preserve">, </w:t>
      </w:r>
      <w:r>
        <w:rPr>
          <w:b/>
        </w:rPr>
        <w:t>7.2</w:t>
      </w:r>
      <w:r>
        <w:t xml:space="preserve">, </w:t>
      </w:r>
      <w:r>
        <w:rPr>
          <w:b/>
        </w:rPr>
        <w:t>10.4</w:t>
      </w:r>
      <w:r>
        <w:t xml:space="preserve">, </w:t>
      </w:r>
      <w:r>
        <w:rPr>
          <w:b/>
        </w:rPr>
        <w:t>A.2</w:t>
      </w:r>
      <w:r>
        <w:t>.</w:t>
      </w:r>
    </w:p>
    <w:p>
      <w:pPr>
        <w:pStyle w:val="ListBullet"/>
      </w:pPr>
      <w:r>
        <w:t xml:space="preserve">STC 183/2021: </w:t>
      </w:r>
      <w:r>
        <w:rPr>
          <w:b/>
        </w:rPr>
        <w:t>7.2</w:t>
      </w:r>
      <w:r>
        <w:t xml:space="preserve">, </w:t>
      </w:r>
      <w:r>
        <w:rPr>
          <w:b/>
        </w:rPr>
        <w:t>A.2</w:t>
      </w:r>
      <w:r>
        <w:t xml:space="preserve">, </w:t>
      </w:r>
      <w:r>
        <w:rPr>
          <w:b/>
        </w:rPr>
        <w:t>A.6</w:t>
      </w:r>
      <w:r>
        <w:t>.</w:t>
      </w:r>
    </w:p>
    <w:p>
      <w:pPr>
        <w:pStyle w:val="ListBullet"/>
      </w:pPr>
      <w:r>
        <w:t xml:space="preserve">STC 2/2022: </w:t>
      </w:r>
      <w:r>
        <w:rPr>
          <w:b/>
        </w:rPr>
        <w:t>A.2</w:t>
      </w:r>
      <w:r>
        <w:t>.</w:t>
      </w:r>
    </w:p>
    <w:p>
      <w:pPr>
        <w:pStyle w:val="ListBullet"/>
      </w:pPr>
      <w:r>
        <w:t xml:space="preserve">STC 49/2022: </w:t>
      </w:r>
      <w:r>
        <w:rPr>
          <w:b/>
        </w:rPr>
        <w:t>A.2</w:t>
      </w:r>
      <w:r>
        <w:t>.</w:t>
      </w:r>
    </w:p>
    <w:p>
      <w:pPr>
        <w:pStyle w:val="ListBullet"/>
      </w:pPr>
      <w:r>
        <w:t xml:space="preserve">STC 103/2022: </w:t>
      </w:r>
      <w:r>
        <w:rPr>
          <w:b/>
        </w:rPr>
        <w:t>A.2</w:t>
      </w:r>
      <w:r>
        <w:t>.</w:t>
      </w:r>
    </w:p>
    <w:p>
      <w:pPr>
        <w:pStyle w:val="ListBullet"/>
      </w:pPr>
      <w:r>
        <w:t xml:space="preserve">STC 125/2022: </w:t>
      </w:r>
      <w:r>
        <w:rPr>
          <w:b/>
        </w:rPr>
        <w:t>10.7</w:t>
      </w:r>
      <w:r>
        <w:t>.</w:t>
      </w:r>
    </w:p>
    <w:p>
      <w:pPr>
        <w:pStyle w:val="ListBullet"/>
      </w:pPr>
      <w:r>
        <w:t xml:space="preserve">STC 9/2023: </w:t>
      </w:r>
      <w:r>
        <w:rPr>
          <w:b/>
        </w:rPr>
        <w:t>A.4</w:t>
      </w:r>
      <w:r>
        <w:t>.</w:t>
      </w:r>
    </w:p>
    <w:p>
      <w:pPr>
        <w:pStyle w:val="ListBullet"/>
      </w:pPr>
      <w:r>
        <w:t xml:space="preserve">STC 17/2023: </w:t>
      </w:r>
      <w:r>
        <w:rPr>
          <w:b/>
        </w:rPr>
        <w:t>A.4</w:t>
      </w:r>
      <w:r>
        <w:t>.</w:t>
      </w:r>
    </w:p>
    <w:p>
      <w:pPr>
        <w:pStyle w:val="ListBullet"/>
      </w:pPr>
      <w:r>
        <w:t xml:space="preserve">STC 49/2023: </w:t>
      </w:r>
      <w:r>
        <w:rPr>
          <w:b/>
        </w:rPr>
        <w:t>7.3</w:t>
      </w:r>
      <w:r>
        <w:t>.</w:t>
      </w:r>
    </w:p>
    <w:p>
      <w:pPr>
        <w:pStyle w:val="ListBullet"/>
      </w:pPr>
      <w:r>
        <w:t xml:space="preserve">STC 94/2023: </w:t>
      </w:r>
      <w:r>
        <w:rPr>
          <w:b/>
        </w:rPr>
        <w:t>A.4</w:t>
      </w:r>
      <w:r>
        <w:t>.</w:t>
      </w:r>
    </w:p>
    <w:p>
      <w:pPr>
        <w:pStyle w:val="ListBullet"/>
      </w:pPr>
      <w:r>
        <w:t xml:space="preserve">STC 128/2023: </w:t>
      </w:r>
      <w:r>
        <w:rPr>
          <w:b/>
        </w:rPr>
        <w:t>A.4</w:t>
      </w:r>
      <w:r>
        <w:t xml:space="preserve">, </w:t>
      </w:r>
      <w:r>
        <w:rPr>
          <w:b/>
        </w:rPr>
        <w:t>A.10</w:t>
      </w:r>
      <w:r>
        <w:t>.</w:t>
      </w:r>
    </w:p>
    <w:p>
      <w:pPr>
        <w:pStyle w:val="ListBullet"/>
      </w:pPr>
      <w:r>
        <w:t xml:space="preserve">STC 149/2023: </w:t>
      </w:r>
      <w:r>
        <w:rPr>
          <w:b/>
        </w:rPr>
        <w:t>A.8</w:t>
      </w:r>
      <w:r>
        <w:t>.</w:t>
      </w:r>
    </w:p>
    <w:p>
      <w:pPr>
        <w:pStyle w:val="ListBullet"/>
      </w:pPr>
      <w:r>
        <w:t xml:space="preserve">STC 31/2024: </w:t>
      </w:r>
      <w:r>
        <w:rPr>
          <w:b/>
        </w:rPr>
        <w:t>A.4</w:t>
      </w:r>
      <w:r>
        <w:t>.</w:t>
      </w:r>
    </w:p>
    <w:p>
      <w:pPr>
        <w:pStyle w:val="ListBullet"/>
      </w:pPr>
      <w:r>
        <w:t xml:space="preserve">STC 45/2024: </w:t>
      </w:r>
      <w:r>
        <w:rPr>
          <w:b/>
        </w:rPr>
        <w:t>A.4</w:t>
      </w:r>
      <w:r>
        <w:t>.</w:t>
      </w:r>
    </w:p>
    <w:p>
      <w:pPr>
        <w:pStyle w:val="ListBullet"/>
      </w:pPr>
      <w:r>
        <w:t xml:space="preserve">STC 79/2024: </w:t>
      </w:r>
      <w:r>
        <w:rPr>
          <w:b/>
        </w:rPr>
        <w:t>A.2</w:t>
      </w:r>
      <w:r>
        <w:t xml:space="preserve">, </w:t>
      </w:r>
      <w:r>
        <w:rPr>
          <w:b/>
        </w:rPr>
        <w:t>A.9</w:t>
      </w:r>
      <w:r>
        <w:t>.</w:t>
      </w:r>
    </w:p>
    <w:p>
      <w:pPr>
        <w:pStyle w:val="ListBullet"/>
      </w:pPr>
      <w:r>
        <w:t xml:space="preserve">STC 85/2024: </w:t>
      </w:r>
      <w:r>
        <w:rPr>
          <w:b/>
        </w:rPr>
        <w:t>A.2</w:t>
      </w:r>
      <w:r>
        <w:t>.</w:t>
      </w:r>
    </w:p>
    <w:p>
      <w:pPr>
        <w:pStyle w:val="ListBullet"/>
      </w:pPr>
      <w:r>
        <w:t xml:space="preserve">STC 139/2024: </w:t>
      </w:r>
      <w:r>
        <w:rPr>
          <w:b/>
        </w:rPr>
        <w:t>A.4</w:t>
      </w:r>
      <w:r>
        <w:t xml:space="preserve">, </w:t>
      </w:r>
      <w:r>
        <w:rPr>
          <w:b/>
        </w:rPr>
        <w:t>A.10</w:t>
      </w:r>
      <w:r>
        <w:t>.</w:t>
      </w:r>
    </w:p>
    <w:p>
      <w:pPr>
        <w:pStyle w:val="ListBullet"/>
      </w:pPr>
      <w:r>
        <w:t xml:space="preserve">STC 153/2024: </w:t>
      </w:r>
      <w:r>
        <w:rPr>
          <w:b/>
        </w:rPr>
        <w:t>A.10</w:t>
      </w:r>
      <w:r>
        <w:t>.</w:t>
      </w:r>
    </w:p>
    <w:p>
      <w:pPr>
        <w:pStyle w:val="ListBullet"/>
      </w:pPr>
      <w:r>
        <w:t xml:space="preserve">STC 26/2025: </w:t>
      </w:r>
      <w:r>
        <w:rPr>
          <w:b/>
        </w:rPr>
        <w:t>A.9</w:t>
      </w:r>
      <w:r>
        <w:t>.</w:t>
      </w:r>
    </w:p>
    <w:p>
      <w:pPr>
        <w:pStyle w:val="ListBullet"/>
      </w:pPr>
      <w:r>
        <w:t xml:space="preserve">STC 121/2025: </w:t>
      </w:r>
      <w:r>
        <w:rPr>
          <w:b/>
        </w:rPr>
        <w:t>10.4</w:t>
      </w:r>
      <w:r>
        <w:t>.</w:t>
      </w:r>
    </w:p>
    <w:p>
      <w:pPr>
        <w:pStyle w:val="ListBullet"/>
      </w:pPr>
      <w:r>
        <w:t xml:space="preserve">STC 137/2025: </w:t>
      </w:r>
      <w:r>
        <w:rPr>
          <w:b/>
        </w:rPr>
        <w:t>7.2</w:t>
      </w:r>
      <w:r>
        <w:t xml:space="preserve">, </w:t>
      </w:r>
      <w:r>
        <w:rPr>
          <w:b/>
        </w:rPr>
        <w:t>H.10</w:t>
      </w:r>
      <w:r>
        <w:t>.</w:t>
      </w:r>
    </w:p>
    <w:p>
      <w:pPr>
        <w:pStyle w:val="ListBullet"/>
      </w:pPr>
      <w:r>
        <w:t xml:space="preserve">STC 164/2025: </w:t>
      </w:r>
      <w:r>
        <w:rPr>
          <w:b/>
        </w:rPr>
        <w:t>7.2</w:t>
      </w:r>
      <w:r>
        <w:t>.</w:t>
      </w:r>
    </w:p>
    <w:p>
      <w:pPr>
        <w:pStyle w:val="ListBullet"/>
      </w:pPr>
      <w:r>
        <w:t xml:space="preserve">STC 184/2025: </w:t>
      </w:r>
      <w:r>
        <w:rPr>
          <w:b/>
        </w:rPr>
        <w:t>10.4</w:t>
      </w:r>
      <w:r>
        <w:t>.</w:t>
      </w:r>
    </w:p>
    <w:p>
      <w:pPr>
        <w:pStyle w:val="ListBullet"/>
      </w:pPr>
      <w:r>
        <w:t xml:space="preserve">STC 190/2025: </w:t>
      </w:r>
      <w:r>
        <w:rPr>
          <w:b/>
        </w:rPr>
        <w:t>A.9</w:t>
      </w:r>
      <w:r>
        <w:t>.</w:t>
      </w:r>
    </w:p>
    <w:p>
      <w:pPr>
        <w:pStyle w:val="ListBullet"/>
      </w:pPr>
      <w:r>
        <w:t xml:space="preserve">STC 17/2026: </w:t>
      </w:r>
      <w:r>
        <w:rPr>
          <w:b/>
        </w:rPr>
        <w:t>A.2</w:t>
      </w:r>
      <w:r>
        <w:t xml:space="preserve">, </w:t>
      </w:r>
      <w:r>
        <w:rPr>
          <w:b/>
        </w:rPr>
        <w:t>A.9</w:t>
      </w:r>
      <w:r>
        <w:t>.</w:t>
      </w:r>
    </w:p>
    <w:p>
      <w:pPr>
        <w:pStyle w:val="ListBullet"/>
      </w:pPr>
      <w:r>
        <w:t xml:space="preserve">STC 21/2026: </w:t>
      </w:r>
      <w:r>
        <w:rPr>
          <w:b/>
        </w:rPr>
        <w:t>A.2</w:t>
      </w:r>
      <w:r>
        <w:t>.</w:t>
      </w:r>
    </w:p>
    <w:p>
      <w:pPr>
        <w:pStyle w:val="ListBullet"/>
      </w:pPr>
      <w:r>
        <w:t xml:space="preserve">STC 44/2026: </w:t>
      </w:r>
      <w:r>
        <w:rPr>
          <w:b/>
        </w:rPr>
        <w:t>A.9</w:t>
      </w:r>
      <w:r>
        <w:t>.</w:t>
      </w:r>
    </w:p>
    <w:p>
      <w:pPr>
        <w:pStyle w:val="ListBullet"/>
      </w:pPr>
      <w:r>
        <w:t xml:space="preserve">Tribunal Constitucional, Auto 177/2022 (BOE-A-2023-1773): </w:t>
      </w:r>
      <w:r>
        <w:rPr>
          <w:b/>
        </w:rPr>
        <w:t>A.10</w:t>
      </w:r>
      <w:r>
        <w:t>.</w:t>
      </w:r>
    </w:p>
    <w:p>
      <w:pPr>
        <w:pStyle w:val="ListBullet"/>
      </w:pPr>
      <w:r>
        <w:t xml:space="preserve">Tribunal Constitucional, conflicto entre órganos n.º 9110-2024: </w:t>
      </w:r>
      <w:r>
        <w:rPr>
          <w:b/>
        </w:rPr>
        <w:t>A.4</w:t>
      </w:r>
      <w:r>
        <w:t>.</w:t>
      </w:r>
    </w:p>
    <w:p>
      <w:pPr>
        <w:pStyle w:val="ListBullet"/>
      </w:pPr>
      <w:r>
        <w:t xml:space="preserve">Tribunal Constitucional, Declaración 1/2025: </w:t>
      </w:r>
      <w:r>
        <w:rPr>
          <w:b/>
        </w:rPr>
        <w:t>A.4</w:t>
      </w:r>
      <w:r>
        <w:t>.</w:t>
      </w:r>
    </w:p>
    <w:p>
      <w:pPr>
        <w:pStyle w:val="ListBullet"/>
      </w:pPr>
      <w:r>
        <w:t xml:space="preserve">Tribunal Constitucional, declaración de 23-IX-2026: </w:t>
      </w:r>
      <w:r>
        <w:rPr>
          <w:b/>
        </w:rPr>
        <w:t>A.4</w:t>
      </w:r>
      <w:r>
        <w:t>.</w:t>
      </w:r>
    </w:p>
    <w:p>
      <w:pPr>
        <w:pStyle w:val="ListBullet"/>
      </w:pPr>
      <w:r>
        <w:t xml:space="preserve">Tribunal Constitucional, sentencias de 23-X-2013 y 25-VI-2015: </w:t>
      </w:r>
      <w:r>
        <w:rPr>
          <w:b/>
        </w:rPr>
        <w:t>A.2</w:t>
      </w:r>
      <w:r>
        <w:t>.</w:t>
      </w:r>
    </w:p>
    <w:p>
      <w:pPr>
        <w:pStyle w:val="ListBullet"/>
      </w:pPr>
      <w:r>
        <w:t xml:space="preserve">STS 2/1998: </w:t>
      </w:r>
      <w:r>
        <w:rPr>
          <w:b/>
        </w:rPr>
        <w:t>A.5</w:t>
      </w:r>
      <w:r>
        <w:t>.</w:t>
      </w:r>
    </w:p>
    <w:p>
      <w:pPr>
        <w:pStyle w:val="ListBullet"/>
      </w:pPr>
      <w:r>
        <w:t xml:space="preserve">STS 279/2003: </w:t>
      </w:r>
      <w:r>
        <w:rPr>
          <w:b/>
        </w:rPr>
        <w:t>A.7</w:t>
      </w:r>
      <w:r>
        <w:t>.</w:t>
      </w:r>
    </w:p>
    <w:p>
      <w:pPr>
        <w:pStyle w:val="ListBullet"/>
      </w:pPr>
      <w:r>
        <w:t xml:space="preserve">STS 1045/2007: </w:t>
      </w:r>
      <w:r>
        <w:rPr>
          <w:b/>
        </w:rPr>
        <w:t>A.7</w:t>
      </w:r>
      <w:r>
        <w:t>.</w:t>
      </w:r>
    </w:p>
    <w:p>
      <w:pPr>
        <w:pStyle w:val="ListBullet"/>
      </w:pPr>
      <w:r>
        <w:t xml:space="preserve">STS 54/2008: </w:t>
      </w:r>
      <w:r>
        <w:rPr>
          <w:b/>
        </w:rPr>
        <w:t>A.7</w:t>
      </w:r>
      <w:r>
        <w:t>.</w:t>
      </w:r>
    </w:p>
    <w:p>
      <w:pPr>
        <w:pStyle w:val="ListBullet"/>
      </w:pPr>
      <w:r>
        <w:t xml:space="preserve">STS 241/2013: </w:t>
      </w:r>
      <w:r>
        <w:rPr>
          <w:b/>
        </w:rPr>
        <w:t>A.2</w:t>
      </w:r>
      <w:r>
        <w:t xml:space="preserve">, </w:t>
      </w:r>
      <w:r>
        <w:rPr>
          <w:b/>
        </w:rPr>
        <w:t>H.10</w:t>
      </w:r>
      <w:r>
        <w:t>.</w:t>
      </w:r>
    </w:p>
    <w:p>
      <w:pPr>
        <w:pStyle w:val="ListBullet"/>
      </w:pPr>
      <w:r>
        <w:t xml:space="preserve">STS 1978/2017: </w:t>
      </w:r>
      <w:r>
        <w:rPr>
          <w:b/>
        </w:rPr>
        <w:t>8.5</w:t>
      </w:r>
      <w:r>
        <w:t>.</w:t>
      </w:r>
    </w:p>
    <w:p>
      <w:pPr>
        <w:pStyle w:val="ListBullet"/>
      </w:pPr>
      <w:r>
        <w:t xml:space="preserve">STS 184/2018: </w:t>
      </w:r>
      <w:r>
        <w:rPr>
          <w:b/>
        </w:rPr>
        <w:t>8.5</w:t>
      </w:r>
      <w:r>
        <w:t>.</w:t>
      </w:r>
    </w:p>
    <w:p>
      <w:pPr>
        <w:pStyle w:val="ListBullet"/>
      </w:pPr>
      <w:r>
        <w:t xml:space="preserve">STS 459/2019: </w:t>
      </w:r>
      <w:r>
        <w:rPr>
          <w:b/>
        </w:rPr>
        <w:t>A.4</w:t>
      </w:r>
      <w:r>
        <w:t>.</w:t>
      </w:r>
    </w:p>
    <w:p>
      <w:pPr>
        <w:pStyle w:val="ListBullet"/>
      </w:pPr>
      <w:r>
        <w:t xml:space="preserve">STS 1484/2019: </w:t>
      </w:r>
      <w:r>
        <w:rPr>
          <w:b/>
        </w:rPr>
        <w:t>A.7</w:t>
      </w:r>
      <w:r>
        <w:t>.</w:t>
      </w:r>
    </w:p>
    <w:p>
      <w:pPr>
        <w:pStyle w:val="ListBullet"/>
      </w:pPr>
      <w:r>
        <w:t xml:space="preserve">STS 572/2021: </w:t>
      </w:r>
      <w:r>
        <w:rPr>
          <w:b/>
        </w:rPr>
        <w:t>A.4</w:t>
      </w:r>
      <w:r>
        <w:t>.</w:t>
      </w:r>
    </w:p>
    <w:p>
      <w:pPr>
        <w:pStyle w:val="ListBullet"/>
      </w:pPr>
      <w:r>
        <w:t xml:space="preserve">STS 932/2021: </w:t>
      </w:r>
      <w:r>
        <w:rPr>
          <w:b/>
        </w:rPr>
        <w:t>10.4</w:t>
      </w:r>
      <w:r>
        <w:t>.</w:t>
      </w:r>
    </w:p>
    <w:p>
      <w:pPr>
        <w:pStyle w:val="ListBullet"/>
      </w:pPr>
      <w:r>
        <w:t xml:space="preserve">STS 162/2022: </w:t>
      </w:r>
      <w:r>
        <w:rPr>
          <w:b/>
        </w:rPr>
        <w:t>A.7</w:t>
      </w:r>
      <w:r>
        <w:t>.</w:t>
      </w:r>
    </w:p>
    <w:p>
      <w:pPr>
        <w:pStyle w:val="ListBullet"/>
      </w:pPr>
      <w:r>
        <w:t xml:space="preserve">STS 291/2022: </w:t>
      </w:r>
      <w:r>
        <w:rPr>
          <w:b/>
        </w:rPr>
        <w:t>11.3</w:t>
      </w:r>
      <w:r>
        <w:t>.</w:t>
      </w:r>
    </w:p>
    <w:p>
      <w:pPr>
        <w:pStyle w:val="ListBullet"/>
      </w:pPr>
      <w:r>
        <w:t xml:space="preserve">STS 132/2023: </w:t>
      </w:r>
      <w:r>
        <w:rPr>
          <w:b/>
        </w:rPr>
        <w:t>A.4</w:t>
      </w:r>
      <w:r>
        <w:t>.</w:t>
      </w:r>
    </w:p>
    <w:p>
      <w:pPr>
        <w:pStyle w:val="ListBullet"/>
      </w:pPr>
      <w:r>
        <w:t xml:space="preserve">STS 444/2023: </w:t>
      </w:r>
      <w:r>
        <w:rPr>
          <w:b/>
        </w:rPr>
        <w:t>A.4</w:t>
      </w:r>
      <w:r>
        <w:t>.</w:t>
      </w:r>
    </w:p>
    <w:p>
      <w:pPr>
        <w:pStyle w:val="ListBullet"/>
      </w:pPr>
      <w:r>
        <w:t xml:space="preserve">STS 1182/2024: </w:t>
      </w:r>
      <w:r>
        <w:rPr>
          <w:b/>
        </w:rPr>
        <w:t>10.4</w:t>
      </w:r>
      <w:r>
        <w:t>.</w:t>
      </w:r>
    </w:p>
    <w:p>
      <w:pPr>
        <w:pStyle w:val="ListBullet"/>
      </w:pPr>
      <w:r>
        <w:t xml:space="preserve">STS 1264/2024: </w:t>
      </w:r>
      <w:r>
        <w:rPr>
          <w:b/>
        </w:rPr>
        <w:t>A.5</w:t>
      </w:r>
      <w:r>
        <w:t>.</w:t>
      </w:r>
    </w:p>
    <w:p>
      <w:pPr>
        <w:pStyle w:val="ListBullet"/>
      </w:pPr>
      <w:r>
        <w:t xml:space="preserve">STS 1000/2025: </w:t>
      </w:r>
      <w:r>
        <w:rPr>
          <w:b/>
        </w:rPr>
        <w:t>A.7</w:t>
      </w:r>
      <w:r>
        <w:t>.</w:t>
      </w:r>
    </w:p>
    <w:p>
      <w:pPr>
        <w:pStyle w:val="ListBullet"/>
      </w:pPr>
      <w:r>
        <w:t xml:space="preserve">STS 1008/2025: </w:t>
      </w:r>
      <w:r>
        <w:rPr>
          <w:b/>
        </w:rPr>
        <w:t>A.3</w:t>
      </w:r>
      <w:r>
        <w:t>.</w:t>
      </w:r>
    </w:p>
    <w:p>
      <w:pPr>
        <w:pStyle w:val="ListBullet"/>
      </w:pPr>
      <w:r>
        <w:t xml:space="preserve">STS 1063/2025: </w:t>
      </w:r>
      <w:r>
        <w:rPr>
          <w:b/>
        </w:rPr>
        <w:t>10.4</w:t>
      </w:r>
      <w:r>
        <w:t>.</w:t>
      </w:r>
    </w:p>
    <w:p>
      <w:pPr>
        <w:pStyle w:val="ListBullet"/>
      </w:pPr>
      <w:r>
        <w:t xml:space="preserve">STS 1119/2025: </w:t>
      </w:r>
      <w:r>
        <w:rPr>
          <w:b/>
        </w:rPr>
        <w:t>8.5</w:t>
      </w:r>
      <w:r>
        <w:t>.</w:t>
      </w:r>
    </w:p>
    <w:p>
      <w:pPr>
        <w:pStyle w:val="ListBullet"/>
      </w:pPr>
      <w:r>
        <w:t xml:space="preserve">STS 1785/2025: </w:t>
      </w:r>
      <w:r>
        <w:rPr>
          <w:b/>
        </w:rPr>
        <w:t>10.4</w:t>
      </w:r>
      <w:r>
        <w:t>.</w:t>
      </w:r>
    </w:p>
    <w:p>
      <w:pPr>
        <w:pStyle w:val="ListBullet"/>
      </w:pPr>
      <w:r>
        <w:t xml:space="preserve">STS 1786/2025: </w:t>
      </w:r>
      <w:r>
        <w:rPr>
          <w:b/>
        </w:rPr>
        <w:t>10.4</w:t>
      </w:r>
      <w:r>
        <w:t>.</w:t>
      </w:r>
    </w:p>
    <w:p>
      <w:pPr>
        <w:pStyle w:val="ListBullet"/>
      </w:pPr>
      <w:r>
        <w:t xml:space="preserve">STS 1796/2025: </w:t>
      </w:r>
      <w:r>
        <w:rPr>
          <w:b/>
        </w:rPr>
        <w:t>10.4</w:t>
      </w:r>
      <w:r>
        <w:t>.</w:t>
      </w:r>
    </w:p>
    <w:p>
      <w:pPr>
        <w:pStyle w:val="ListBullet"/>
      </w:pPr>
      <w:r>
        <w:t xml:space="preserve">STS 3259/2025: </w:t>
      </w:r>
      <w:r>
        <w:rPr>
          <w:b/>
        </w:rPr>
        <w:t>10.4</w:t>
      </w:r>
      <w:r>
        <w:t>.</w:t>
      </w:r>
    </w:p>
    <w:p>
      <w:pPr>
        <w:pStyle w:val="ListBullet"/>
      </w:pPr>
      <w:r>
        <w:t xml:space="preserve">STS 3465/2025: </w:t>
      </w:r>
      <w:r>
        <w:rPr>
          <w:b/>
        </w:rPr>
        <w:t>10.4</w:t>
      </w:r>
      <w:r>
        <w:t>.</w:t>
      </w:r>
    </w:p>
    <w:p>
      <w:pPr>
        <w:pStyle w:val="ListBullet"/>
      </w:pPr>
      <w:r>
        <w:t xml:space="preserve">STS 527/2026: </w:t>
      </w:r>
      <w:r>
        <w:rPr>
          <w:b/>
        </w:rPr>
        <w:t>A.5</w:t>
      </w:r>
      <w:r>
        <w:t>.</w:t>
      </w:r>
    </w:p>
    <w:p>
      <w:pPr>
        <w:pStyle w:val="ListBullet"/>
      </w:pPr>
      <w:r>
        <w:t xml:space="preserve">STS 868/2026: </w:t>
      </w:r>
      <w:r>
        <w:rPr>
          <w:b/>
        </w:rPr>
        <w:t>A.5</w:t>
      </w:r>
      <w:r>
        <w:t>.</w:t>
      </w:r>
    </w:p>
    <w:p>
      <w:pPr>
        <w:pStyle w:val="ListBullet"/>
      </w:pPr>
      <w:r>
        <w:t xml:space="preserve">STS 872/2026: </w:t>
      </w:r>
      <w:r>
        <w:rPr>
          <w:b/>
        </w:rPr>
        <w:t>8.5</w:t>
      </w:r>
      <w:r>
        <w:t>.</w:t>
      </w:r>
    </w:p>
    <w:p>
      <w:pPr>
        <w:pStyle w:val="ListBullet"/>
      </w:pPr>
      <w:r>
        <w:t xml:space="preserve">Tribunal Supremo de Illinois, Bueker v. Madison County, 2016 IL 120024: </w:t>
      </w:r>
      <w:r>
        <w:rPr>
          <w:b/>
        </w:rPr>
        <w:t>E.4</w:t>
      </w:r>
      <w:r>
        <w:t>.</w:t>
      </w:r>
    </w:p>
    <w:p>
      <w:pPr>
        <w:pStyle w:val="ListBullet"/>
      </w:pPr>
      <w:r>
        <w:t xml:space="preserve">Tribunal Supremo de los Estados Unidos, Payton c. Nueva York: </w:t>
      </w:r>
      <w:r>
        <w:rPr>
          <w:b/>
        </w:rPr>
        <w:t>H.10</w:t>
      </w:r>
      <w:r>
        <w:t>.</w:t>
      </w:r>
    </w:p>
    <w:p>
      <w:pPr>
        <w:pStyle w:val="ListBullet"/>
      </w:pPr>
      <w:r>
        <w:t xml:space="preserve">Tribunal Supremo de Nueva Zelanda, Ellis v R [2022] NZSC 114: </w:t>
      </w:r>
      <w:r>
        <w:rPr>
          <w:b/>
        </w:rPr>
        <w:t>F.7</w:t>
      </w:r>
      <w:r>
        <w:t>.</w:t>
      </w:r>
    </w:p>
    <w:p>
      <w:pPr>
        <w:pStyle w:val="ListBullet"/>
      </w:pPr>
      <w:r>
        <w:t xml:space="preserve">Tribunal Supremo, archivo de julio de 2016: </w:t>
      </w:r>
      <w:r>
        <w:rPr>
          <w:b/>
        </w:rPr>
        <w:t>A.4</w:t>
      </w:r>
      <w:r>
        <w:t>.</w:t>
      </w:r>
    </w:p>
    <w:p>
      <w:pPr>
        <w:pStyle w:val="ListBullet"/>
      </w:pPr>
      <w:r>
        <w:t xml:space="preserve">Tribunal Supremo, auto de 15-4-2026: </w:t>
      </w:r>
      <w:r>
        <w:rPr>
          <w:b/>
        </w:rPr>
        <w:t>8.5</w:t>
      </w:r>
      <w:r>
        <w:t>.</w:t>
      </w:r>
    </w:p>
    <w:p>
      <w:pPr>
        <w:pStyle w:val="ListBullet"/>
      </w:pPr>
      <w:r>
        <w:t xml:space="preserve">Tribunal Supremo, auto de 24-4-2025: </w:t>
      </w:r>
      <w:r>
        <w:rPr>
          <w:b/>
        </w:rPr>
        <w:t>7.2</w:t>
      </w:r>
      <w:r>
        <w:t>.</w:t>
      </w:r>
    </w:p>
    <w:p>
      <w:pPr>
        <w:pStyle w:val="ListBullet"/>
      </w:pPr>
      <w:r>
        <w:t xml:space="preserve">Tribunal Supremo, providencia de 18-11-2021: </w:t>
      </w:r>
      <w:r>
        <w:rPr>
          <w:b/>
        </w:rPr>
        <w:t>7.3</w:t>
      </w:r>
      <w:r>
        <w:t>.</w:t>
      </w:r>
    </w:p>
    <w:p>
      <w:pPr>
        <w:pStyle w:val="ListBullet"/>
      </w:pPr>
      <w:r>
        <w:t xml:space="preserve">Tribunal Supremo, Sala Especial, sentencia de 27-III-2003: </w:t>
      </w:r>
      <w:r>
        <w:rPr>
          <w:b/>
        </w:rPr>
        <w:t>A.2</w:t>
      </w:r>
      <w:r>
        <w:t>.</w:t>
      </w:r>
    </w:p>
    <w:p>
      <w:pPr>
        <w:pStyle w:val="ListBullet"/>
      </w:pPr>
      <w:r>
        <w:t xml:space="preserve">Tribunal Supremo, sentencia condenatoria a un mando de la Ertzaintza (número no localizado): </w:t>
      </w:r>
      <w:r>
        <w:rPr>
          <w:b/>
        </w:rPr>
        <w:t>A.5</w:t>
      </w:r>
      <w:r>
        <w:t>.</w:t>
      </w:r>
    </w:p>
    <w:p>
      <w:pPr>
        <w:pStyle w:val="ListBullet"/>
      </w:pPr>
      <w:r>
        <w:t xml:space="preserve">Tribunal Supremo, sentencia de 12-11-2015: </w:t>
      </w:r>
      <w:r>
        <w:rPr>
          <w:b/>
        </w:rPr>
        <w:t>8.5</w:t>
      </w:r>
      <w:r>
        <w:t>.</w:t>
      </w:r>
    </w:p>
    <w:p>
      <w:pPr>
        <w:pStyle w:val="ListBullet"/>
      </w:pPr>
      <w:r>
        <w:t xml:space="preserve">Tribunal Supremo, sentencia de 18-VI-2026: </w:t>
      </w:r>
      <w:r>
        <w:rPr>
          <w:b/>
        </w:rPr>
        <w:t>A.5</w:t>
      </w:r>
      <w:r>
        <w:t>.</w:t>
      </w:r>
    </w:p>
    <w:p>
      <w:pPr>
        <w:pStyle w:val="ListBullet"/>
      </w:pPr>
      <w:r>
        <w:t xml:space="preserve">Tribunal Supremo, sentencia de 20-IX-2005 y STS de 2-XII-2005: </w:t>
      </w:r>
      <w:r>
        <w:rPr>
          <w:b/>
        </w:rPr>
        <w:t>A.5</w:t>
      </w:r>
      <w:r>
        <w:t>.</w:t>
      </w:r>
    </w:p>
    <w:p>
      <w:pPr>
        <w:pStyle w:val="ListBullet"/>
      </w:pPr>
      <w:r>
        <w:t xml:space="preserve">Tribunal Supremo, sentencia de 21 de junio de 1996: </w:t>
      </w:r>
      <w:r>
        <w:rPr>
          <w:b/>
        </w:rPr>
        <w:t>10.6</w:t>
      </w:r>
      <w:r>
        <w:t>.</w:t>
      </w:r>
    </w:p>
    <w:p>
      <w:pPr>
        <w:pStyle w:val="ListBullet"/>
      </w:pPr>
      <w:r>
        <w:t xml:space="preserve">Tribunal Supremo, sentencia de 22 de marzo de 1996: </w:t>
      </w:r>
      <w:r>
        <w:rPr>
          <w:b/>
        </w:rPr>
        <w:t>10.7</w:t>
      </w:r>
      <w:r>
        <w:t>.</w:t>
      </w:r>
    </w:p>
    <w:p>
      <w:pPr>
        <w:pStyle w:val="ListBullet"/>
      </w:pPr>
      <w:r>
        <w:t xml:space="preserve">Tribunal Supremo, sentencia de 7 de julio de 2026: </w:t>
      </w:r>
      <w:r>
        <w:rPr>
          <w:b/>
        </w:rPr>
        <w:t>10.7</w:t>
      </w:r>
      <w:r>
        <w:t>.</w:t>
      </w:r>
    </w:p>
    <w:p>
      <w:pPr>
        <w:pStyle w:val="ListBullet"/>
      </w:pPr>
      <w:r>
        <w:t xml:space="preserve">Tribunal Supremo, sentencia de 9-II-2000: </w:t>
      </w:r>
      <w:r>
        <w:rPr>
          <w:b/>
        </w:rPr>
        <w:t>A.4</w:t>
      </w:r>
      <w:r>
        <w:t>.</w:t>
      </w:r>
    </w:p>
    <w:p>
      <w:pPr>
        <w:pStyle w:val="ListBullet"/>
      </w:pPr>
      <w:r>
        <w:t xml:space="preserve">Tribunal Supremo, sentencia del Pleno de 20-XI-2013: </w:t>
      </w:r>
      <w:r>
        <w:rPr>
          <w:b/>
        </w:rPr>
        <w:t>A.3</w:t>
      </w:r>
      <w:r>
        <w:t>.</w:t>
      </w:r>
    </w:p>
    <w:p>
      <w:pPr>
        <w:pStyle w:val="ListBullet"/>
      </w:pPr>
      <w:r>
        <w:t xml:space="preserve">Tribunal Supremo, sentencias de 23 y 28-IV-2015: </w:t>
      </w:r>
      <w:r>
        <w:rPr>
          <w:b/>
        </w:rPr>
        <w:t>7.3</w:t>
      </w:r>
      <w:r>
        <w:t xml:space="preserve">, </w:t>
      </w:r>
      <w:r>
        <w:rPr>
          <w:b/>
        </w:rPr>
        <w:t>A.1</w:t>
      </w:r>
      <w:r>
        <w:t>.</w:t>
      </w:r>
    </w:p>
    <w:p>
      <w:pPr>
        <w:pStyle w:val="ListBullet"/>
      </w:pPr>
      <w:r>
        <w:t xml:space="preserve">Audiencia Nacional, auto de 22-I-2026: </w:t>
      </w:r>
      <w:r>
        <w:rPr>
          <w:b/>
        </w:rPr>
        <w:t>A.2</w:t>
      </w:r>
      <w:r>
        <w:t>.</w:t>
      </w:r>
    </w:p>
    <w:p>
      <w:pPr>
        <w:pStyle w:val="ListBullet"/>
      </w:pPr>
      <w:r>
        <w:t xml:space="preserve">Juzgado de lo Contencioso-Administrativo n.º 2 de Bilbao: </w:t>
      </w:r>
      <w:r>
        <w:rPr>
          <w:b/>
        </w:rPr>
        <w:t>A.1</w:t>
      </w:r>
      <w:r>
        <w:t>.</w:t>
      </w:r>
    </w:p>
    <w:p>
      <w:pPr>
        <w:pStyle w:val="ListBullet"/>
      </w:pPr>
      <w:r>
        <w:t xml:space="preserve">TSJ de Andalucía, sentencia de 1-II-2002 (rollo 29/2001): </w:t>
      </w:r>
      <w:r>
        <w:rPr>
          <w:b/>
        </w:rPr>
        <w:t>A.7</w:t>
      </w:r>
      <w:r>
        <w:t>.</w:t>
      </w:r>
    </w:p>
    <w:p>
      <w:pPr>
        <w:pStyle w:val="ListBullet"/>
      </w:pPr>
      <w:r>
        <w:t xml:space="preserve">TSJ de Cataluña, autos de 4-V-2022 y 28-VII-2022: </w:t>
      </w:r>
      <w:r>
        <w:rPr>
          <w:b/>
        </w:rPr>
        <w:t>7.3</w:t>
      </w:r>
      <w:r>
        <w:t xml:space="preserve">, </w:t>
      </w:r>
      <w:r>
        <w:rPr>
          <w:b/>
        </w:rPr>
        <w:t>A.1</w:t>
      </w:r>
      <w:r>
        <w:t>.</w:t>
      </w:r>
    </w:p>
    <w:p>
      <w:pPr>
        <w:pStyle w:val="ListBullet"/>
      </w:pPr>
      <w:r>
        <w:t xml:space="preserve">TSJ de Cataluña, sentencia de 16-XII-2020 (rec. 168/2015): </w:t>
      </w:r>
      <w:r>
        <w:rPr>
          <w:b/>
        </w:rPr>
        <w:t>7.3</w:t>
      </w:r>
      <w:r>
        <w:t xml:space="preserve">, </w:t>
      </w:r>
      <w:r>
        <w:rPr>
          <w:b/>
        </w:rPr>
        <w:t>A.1</w:t>
      </w:r>
      <w:r>
        <w:t>.</w:t>
      </w:r>
    </w:p>
    <w:p>
      <w:pPr>
        <w:pStyle w:val="ListBullet"/>
      </w:pPr>
      <w:r>
        <w:t xml:space="preserve">TSJ de Madrid, sentencia 185/2024: </w:t>
      </w:r>
      <w:r>
        <w:rPr>
          <w:b/>
        </w:rPr>
        <w:t>A.5</w:t>
      </w:r>
      <w:r>
        <w:t>.</w:t>
      </w:r>
    </w:p>
    <w:p>
      <w:pPr>
        <w:pStyle w:val="ListBullet"/>
      </w:pPr>
      <w:r>
        <w:t xml:space="preserve">TJUE (Sala Octava), sentencia de 25-VII-2018, asunto C-205/17, fallo, extracto leído en EUR-Lex (CELEX 62017CJ0205): </w:t>
      </w:r>
      <w:r>
        <w:rPr>
          <w:b/>
        </w:rPr>
        <w:t>A.2</w:t>
      </w:r>
      <w:r>
        <w:t>.</w:t>
      </w:r>
    </w:p>
    <w:p>
      <w:pPr>
        <w:pStyle w:val="ListBullet"/>
      </w:pPr>
      <w:r>
        <w:t xml:space="preserve">TJUE, asunto C-502/19: </w:t>
      </w:r>
      <w:r>
        <w:rPr>
          <w:b/>
        </w:rPr>
        <w:t>A.4</w:t>
      </w:r>
      <w:r>
        <w:t>.</w:t>
      </w:r>
    </w:p>
    <w:p>
      <w:pPr>
        <w:pStyle w:val="ListBullet"/>
      </w:pPr>
      <w:r>
        <w:t xml:space="preserve">TJUE, asunto C-504/26 (Diario Oficial de la UE): </w:t>
      </w:r>
      <w:r>
        <w:rPr>
          <w:b/>
        </w:rPr>
        <w:t>7.5</w:t>
      </w:r>
      <w:r>
        <w:t xml:space="preserve">, </w:t>
      </w:r>
      <w:r>
        <w:rPr>
          <w:b/>
        </w:rPr>
        <w:t>8.5</w:t>
      </w:r>
      <w:r>
        <w:t>.</w:t>
      </w:r>
    </w:p>
    <w:p>
      <w:pPr>
        <w:pStyle w:val="ListBullet"/>
      </w:pPr>
      <w:r>
        <w:t xml:space="preserve">TJUE, sentencia de 14-IV-2026, asunto C-418/24 (Obadal): </w:t>
      </w:r>
      <w:r>
        <w:rPr>
          <w:b/>
        </w:rPr>
        <w:t>10.7</w:t>
      </w:r>
      <w:r>
        <w:t xml:space="preserve">, </w:t>
      </w:r>
      <w:r>
        <w:rPr>
          <w:b/>
        </w:rPr>
        <w:t>A.5</w:t>
      </w:r>
      <w:r>
        <w:t>.</w:t>
      </w:r>
    </w:p>
    <w:p>
      <w:pPr>
        <w:pStyle w:val="ListBullet"/>
      </w:pPr>
      <w:r>
        <w:t xml:space="preserve">TJUE, sentencia de 21-XII-2016 (asuntos C-154/15, C-307/15, C-308/15): </w:t>
      </w:r>
      <w:r>
        <w:rPr>
          <w:b/>
        </w:rPr>
        <w:t>A.2</w:t>
      </w:r>
      <w:r>
        <w:t>.</w:t>
      </w:r>
    </w:p>
    <w:p>
      <w:pPr>
        <w:pStyle w:val="ListBullet"/>
      </w:pPr>
      <w:r>
        <w:t xml:space="preserve">TJUE, sentencia de 22-II-2024, asuntos C-59/22, C-110/22 y C-159/22: </w:t>
      </w:r>
      <w:r>
        <w:rPr>
          <w:b/>
        </w:rPr>
        <w:t>10.7</w:t>
      </w:r>
      <w:r>
        <w:t>.</w:t>
      </w:r>
    </w:p>
    <w:p>
      <w:pPr>
        <w:pStyle w:val="ListBullet"/>
      </w:pPr>
      <w:r>
        <w:t xml:space="preserve">TJUE, sentencia de 28-6-2022, asunto C-278/20: </w:t>
      </w:r>
      <w:r>
        <w:rPr>
          <w:b/>
        </w:rPr>
        <w:t>8.5</w:t>
      </w:r>
      <w:r>
        <w:t>.</w:t>
      </w:r>
    </w:p>
    <w:p>
      <w:pPr>
        <w:pStyle w:val="ListBullet"/>
      </w:pPr>
      <w:r>
        <w:t xml:space="preserve">TJUE, sentencia de 30-5-2024, asunto C-743/22: </w:t>
      </w:r>
      <w:r>
        <w:rPr>
          <w:b/>
        </w:rPr>
        <w:t>8.5</w:t>
      </w:r>
      <w:r>
        <w:t>.</w:t>
      </w:r>
    </w:p>
    <w:p>
      <w:pPr>
        <w:pStyle w:val="ListBullet"/>
      </w:pPr>
      <w:r>
        <w:t xml:space="preserve">TJUE, sentencia Gauweiler, asunto C-62/14 (16-6-2015): </w:t>
      </w:r>
      <w:r>
        <w:rPr>
          <w:b/>
        </w:rPr>
        <w:t>8.1</w:t>
      </w:r>
      <w:r>
        <w:t>.</w:t>
      </w:r>
    </w:p>
    <w:p>
      <w:pPr>
        <w:pStyle w:val="ListBullet"/>
      </w:pPr>
      <w:r>
        <w:t xml:space="preserve">TEDH, 30-VI-2009: </w:t>
      </w:r>
      <w:r>
        <w:rPr>
          <w:b/>
        </w:rPr>
        <w:t>A.2</w:t>
      </w:r>
      <w:r>
        <w:t>.</w:t>
      </w:r>
    </w:p>
    <w:p>
      <w:pPr>
        <w:pStyle w:val="ListBullet"/>
      </w:pPr>
      <w:r>
        <w:t xml:space="preserve">TEDH, Casa di Cura Valle Fiorita c. Italia (13-12-2018): </w:t>
      </w:r>
      <w:r>
        <w:rPr>
          <w:b/>
        </w:rPr>
        <w:t>10.7</w:t>
      </w:r>
      <w:r>
        <w:t>.</w:t>
      </w:r>
    </w:p>
    <w:p>
      <w:pPr>
        <w:pStyle w:val="ListBullet"/>
      </w:pPr>
      <w:r>
        <w:t xml:space="preserve">TEDH, caso del director de Egunkaria: </w:t>
      </w:r>
      <w:r>
        <w:rPr>
          <w:b/>
        </w:rPr>
        <w:t>A.2</w:t>
      </w:r>
      <w:r>
        <w:t>.</w:t>
      </w:r>
    </w:p>
    <w:p>
      <w:pPr>
        <w:pStyle w:val="ListBullet"/>
      </w:pPr>
      <w:r>
        <w:t xml:space="preserve">TEDH, demanda 3344/13: </w:t>
      </w:r>
      <w:r>
        <w:rPr>
          <w:b/>
        </w:rPr>
        <w:t>A.2</w:t>
      </w:r>
      <w:r>
        <w:t>.</w:t>
      </w:r>
    </w:p>
    <w:p>
      <w:pPr>
        <w:pStyle w:val="ListBullet"/>
      </w:pPr>
      <w:r>
        <w:t xml:space="preserve">TEDH, demanda 74181/01, sentencia de 6-I-2010: </w:t>
      </w:r>
      <w:r>
        <w:rPr>
          <w:b/>
        </w:rPr>
        <w:t>A.5</w:t>
      </w:r>
      <w:r>
        <w:t>.</w:t>
      </w:r>
    </w:p>
    <w:p>
      <w:pPr>
        <w:pStyle w:val="ListBullet"/>
      </w:pPr>
      <w:r>
        <w:t xml:space="preserve">TEDH, demanda nº 41462/17, sentencia de 6-X-2020: </w:t>
      </w:r>
      <w:r>
        <w:rPr>
          <w:b/>
        </w:rPr>
        <w:t>A.5</w:t>
      </w:r>
      <w:r>
        <w:t>.</w:t>
      </w:r>
    </w:p>
    <w:p>
      <w:pPr>
        <w:pStyle w:val="ListBullet"/>
      </w:pPr>
      <w:r>
        <w:t xml:space="preserve">TEDH, Kafkaris c. Chipre (2008): </w:t>
      </w:r>
      <w:r>
        <w:rPr>
          <w:b/>
        </w:rPr>
        <w:t>7.3</w:t>
      </w:r>
      <w:r>
        <w:t xml:space="preserve">, </w:t>
      </w:r>
      <w:r>
        <w:rPr>
          <w:b/>
        </w:rPr>
        <w:t>A.2</w:t>
      </w:r>
      <w:r>
        <w:t>.</w:t>
      </w:r>
    </w:p>
    <w:p>
      <w:pPr>
        <w:pStyle w:val="ListBullet"/>
      </w:pPr>
      <w:r>
        <w:t xml:space="preserve">TEDH, Observer y Guardian c. Reino Unido (26-11-1991): </w:t>
      </w:r>
      <w:r>
        <w:rPr>
          <w:b/>
        </w:rPr>
        <w:t>10.2</w:t>
      </w:r>
      <w:r>
        <w:t>.</w:t>
      </w:r>
    </w:p>
    <w:p>
      <w:pPr>
        <w:pStyle w:val="ListBullet"/>
      </w:pPr>
      <w:r>
        <w:t xml:space="preserve">TEDH, Papachela y Amazon c. Grecia (3-12-2020): </w:t>
      </w:r>
      <w:r>
        <w:rPr>
          <w:b/>
        </w:rPr>
        <w:t>10.7</w:t>
      </w:r>
      <w:r>
        <w:t>.</w:t>
      </w:r>
    </w:p>
    <w:p>
      <w:pPr>
        <w:pStyle w:val="ListBullet"/>
      </w:pPr>
      <w:r>
        <w:t xml:space="preserve">TEDH, sentencia de 13-III-2018: </w:t>
      </w:r>
      <w:r>
        <w:rPr>
          <w:b/>
        </w:rPr>
        <w:t>A.2</w:t>
      </w:r>
      <w:r>
        <w:t>.</w:t>
      </w:r>
    </w:p>
    <w:p>
      <w:pPr>
        <w:pStyle w:val="ListBullet"/>
      </w:pPr>
      <w:r>
        <w:t xml:space="preserve">TEDH, sentencia de 25-XI-2003: </w:t>
      </w:r>
      <w:r>
        <w:rPr>
          <w:b/>
        </w:rPr>
        <w:t>A.7</w:t>
      </w:r>
      <w:r>
        <w:t>.</w:t>
      </w:r>
    </w:p>
    <w:p>
      <w:pPr>
        <w:pStyle w:val="ListBullet"/>
      </w:pPr>
      <w:r>
        <w:t xml:space="preserve">TEDH, sentencias de 13-XII-2018 (Italia) y 3-XII-2020 (Grecia): </w:t>
      </w:r>
      <w:r>
        <w:rPr>
          <w:b/>
        </w:rPr>
        <w:t>A.2</w:t>
      </w:r>
      <w:r>
        <w:t>.</w:t>
      </w:r>
    </w:p>
    <w:p>
      <w:pPr>
        <w:pStyle w:val="ListBullet"/>
      </w:pPr>
      <w:r>
        <w:t xml:space="preserve">TEDH, Soberanía de la Razón y otros c. España, decisión de 26-5-2015: </w:t>
      </w:r>
      <w:r>
        <w:rPr>
          <w:b/>
        </w:rPr>
        <w:t>6.4</w:t>
      </w:r>
      <w:r>
        <w:t>.</w:t>
      </w:r>
    </w:p>
    <w:p>
      <w:pPr>
        <w:pStyle w:val="ListBullet"/>
      </w:pPr>
      <w:r>
        <w:t xml:space="preserve">TEDH, Stern Taulats y Roura Capellera c. España (13-3-2018): </w:t>
      </w:r>
      <w:r>
        <w:rPr>
          <w:b/>
        </w:rPr>
        <w:t>7.2</w:t>
      </w:r>
      <w:r>
        <w:t>.</w:t>
      </w:r>
    </w:p>
    <w:p>
      <w:pPr>
        <w:pStyle w:val="ListBullet"/>
      </w:pPr>
      <w:r>
        <w:t xml:space="preserve">Casley v Deputy Commissioner of Taxation [2017] WASCA 196 (Tribunal de Apelación de Australia Occidental): </w:t>
      </w:r>
      <w:r>
        <w:rPr>
          <w:b/>
        </w:rPr>
        <w:t>6.2</w:t>
      </w:r>
      <w:r>
        <w:t>.</w:t>
      </w:r>
    </w:p>
    <w:p>
      <w:pPr>
        <w:pStyle w:val="ListBullet"/>
      </w:pPr>
      <w:r>
        <w:t xml:space="preserve">Corte Penal Internacional, audiencia de la Fiscalía (Whitney Harris): </w:t>
      </w:r>
      <w:r>
        <w:rPr>
          <w:b/>
        </w:rPr>
        <w:t>7.2</w:t>
      </w:r>
      <w:r>
        <w:t>.</w:t>
      </w:r>
    </w:p>
    <w:p>
      <w:pPr>
        <w:pStyle w:val="ListBullet"/>
      </w:pPr>
      <w:r>
        <w:t xml:space="preserve">Deputy Commissioner of Taxation v Casley [2017] WASC 161 (Tribunal Supremo de Australia Occidental): </w:t>
      </w:r>
      <w:r>
        <w:rPr>
          <w:b/>
        </w:rPr>
        <w:t>6.2</w:t>
      </w:r>
      <w:r>
        <w:t>.</w:t>
      </w:r>
    </w:p>
    <w:p>
      <w:pPr>
        <w:pStyle w:val="ListBullet"/>
      </w:pPr>
      <w:r>
        <w:t xml:space="preserve">Tribunal Arbitral Mixto germano-polaco, laudo de 1929: </w:t>
      </w:r>
      <w:r>
        <w:rPr>
          <w:b/>
        </w:rPr>
        <w:t>6.2</w:t>
      </w:r>
      <w:r>
        <w:t>.</w:t>
      </w:r>
    </w:p>
    <w:p>
      <w:pPr>
        <w:pStyle w:val="ListBullet"/>
      </w:pPr>
      <w:r>
        <w:t xml:space="preserve">Tribunal de Alberta (Canadá), Meads v. Meads, 2012 ABQB 571: </w:t>
      </w:r>
      <w:r>
        <w:rPr>
          <w:b/>
        </w:rPr>
        <w:t>E.1</w:t>
      </w:r>
      <w:r>
        <w:t xml:space="preserve">, </w:t>
      </w:r>
      <w:r>
        <w:rPr>
          <w:b/>
        </w:rPr>
        <w:t>E.2</w:t>
      </w:r>
      <w:r>
        <w:t xml:space="preserve">, </w:t>
      </w:r>
      <w:r>
        <w:rPr>
          <w:b/>
        </w:rPr>
        <w:t>E.3</w:t>
      </w:r>
      <w:r>
        <w:t xml:space="preserve">, </w:t>
      </w:r>
      <w:r>
        <w:rPr>
          <w:b/>
        </w:rPr>
        <w:t>E.4</w:t>
      </w:r>
      <w:r>
        <w:t>.</w:t>
      </w:r>
    </w:p>
    <w:p>
      <w:pPr>
        <w:pStyle w:val="ListBullet"/>
      </w:pPr>
      <w:r>
        <w:t xml:space="preserve">Tribunal Militar Internacional de Núremberg, el fiscal Robert H. Jackson (informe de 1945 y discurso de apertura): </w:t>
      </w:r>
      <w:r>
        <w:rPr>
          <w:b/>
        </w:rPr>
        <w:t>7.2</w:t>
      </w:r>
      <w:r>
        <w:t>.</w:t>
      </w:r>
    </w:p>
    <w:p>
      <w:pPr>
        <w:pStyle w:val="ListBullet"/>
      </w:pPr>
      <w:r>
        <w:t xml:space="preserve">Tribunal Militar Internacional de Núremberg, sentencia de 1-10-1946: </w:t>
      </w:r>
      <w:r>
        <w:rPr>
          <w:b/>
        </w:rPr>
        <w:t>9.1</w:t>
      </w:r>
      <w:r>
        <w:t>.</w:t>
      </w:r>
    </w:p>
    <w:p>
      <w:r>
        <w:rPr>
          <w:b/>
        </w:rPr>
        <w:t>La estadística oficial</w:t>
      </w:r>
      <w:r>
        <w:t xml:space="preserve"> (33 fuentes)</w:t>
      </w:r>
    </w:p>
    <w:p>
      <w:pPr>
        <w:pStyle w:val="ListBullet"/>
      </w:pPr>
      <w:r>
        <w:t xml:space="preserve">TEDH, Analysis of Statistics 2017: </w:t>
      </w:r>
      <w:r>
        <w:rPr>
          <w:b/>
        </w:rPr>
        <w:t>6.4</w:t>
      </w:r>
      <w:r>
        <w:t>.</w:t>
      </w:r>
    </w:p>
    <w:p>
      <w:pPr>
        <w:pStyle w:val="ListBullet"/>
      </w:pPr>
      <w:r>
        <w:t xml:space="preserve">TEDH, Violations by Article and by State 1959-2017: </w:t>
      </w:r>
      <w:r>
        <w:rPr>
          <w:b/>
        </w:rPr>
        <w:t>6.4</w:t>
      </w:r>
      <w:r>
        <w:t>.</w:t>
      </w:r>
    </w:p>
    <w:p>
      <w:pPr>
        <w:pStyle w:val="ListBullet"/>
      </w:pPr>
      <w:r>
        <w:t xml:space="preserve">AEMPS, Utilización de medicamentos antidepresivos en España, 2000-2013: </w:t>
      </w:r>
      <w:r>
        <w:rPr>
          <w:b/>
        </w:rPr>
        <w:t>8.10</w:t>
      </w:r>
      <w:r>
        <w:t>.</w:t>
      </w:r>
    </w:p>
    <w:p>
      <w:pPr>
        <w:pStyle w:val="ListBullet"/>
      </w:pPr>
      <w:r>
        <w:t xml:space="preserve">Agencia Tributaria: </w:t>
      </w:r>
      <w:r>
        <w:rPr>
          <w:b/>
        </w:rPr>
        <w:t>A.2</w:t>
      </w:r>
      <w:r>
        <w:t>.</w:t>
      </w:r>
    </w:p>
    <w:p>
      <w:pPr>
        <w:pStyle w:val="ListBullet"/>
      </w:pPr>
      <w:r>
        <w:t xml:space="preserve">Ayuntamiento de Madrid, datos abiertos: </w:t>
      </w:r>
      <w:r>
        <w:rPr>
          <w:b/>
        </w:rPr>
        <w:t>9.1</w:t>
      </w:r>
      <w:r>
        <w:t>.</w:t>
      </w:r>
    </w:p>
    <w:p>
      <w:pPr>
        <w:pStyle w:val="ListBullet"/>
      </w:pPr>
      <w:r>
        <w:t xml:space="preserve">Banco Central Europeo: </w:t>
      </w:r>
      <w:r>
        <w:rPr>
          <w:b/>
        </w:rPr>
        <w:t>8.1</w:t>
      </w:r>
      <w:r>
        <w:t xml:space="preserve">, </w:t>
      </w:r>
      <w:r>
        <w:rPr>
          <w:b/>
        </w:rPr>
        <w:t>8.3</w:t>
      </w:r>
      <w:r>
        <w:t xml:space="preserve">, </w:t>
      </w:r>
      <w:r>
        <w:rPr>
          <w:b/>
        </w:rPr>
        <w:t>8.11</w:t>
      </w:r>
      <w:r>
        <w:t>.</w:t>
      </w:r>
    </w:p>
    <w:p>
      <w:pPr>
        <w:pStyle w:val="ListBullet"/>
      </w:pPr>
      <w:r>
        <w:t xml:space="preserve">Banco de España: </w:t>
      </w:r>
      <w:r>
        <w:rPr>
          <w:b/>
        </w:rPr>
        <w:t>7.2</w:t>
      </w:r>
      <w:r>
        <w:t xml:space="preserve">, </w:t>
      </w:r>
      <w:r>
        <w:rPr>
          <w:b/>
        </w:rPr>
        <w:t>8.3</w:t>
      </w:r>
      <w:r>
        <w:t xml:space="preserve">, </w:t>
      </w:r>
      <w:r>
        <w:rPr>
          <w:b/>
        </w:rPr>
        <w:t>8.8</w:t>
      </w:r>
      <w:r>
        <w:t xml:space="preserve">, </w:t>
      </w:r>
      <w:r>
        <w:rPr>
          <w:b/>
        </w:rPr>
        <w:t>A.2</w:t>
      </w:r>
      <w:r>
        <w:t xml:space="preserve">, </w:t>
      </w:r>
      <w:r>
        <w:rPr>
          <w:b/>
        </w:rPr>
        <w:t>A.8</w:t>
      </w:r>
      <w:r>
        <w:t xml:space="preserve">, </w:t>
      </w:r>
      <w:r>
        <w:rPr>
          <w:b/>
        </w:rPr>
        <w:t>B.5</w:t>
      </w:r>
      <w:r>
        <w:t>.</w:t>
      </w:r>
    </w:p>
    <w:p>
      <w:pPr>
        <w:pStyle w:val="ListBullet"/>
      </w:pPr>
      <w:r>
        <w:t xml:space="preserve">Banco Mundial: </w:t>
      </w:r>
      <w:r>
        <w:rPr>
          <w:b/>
        </w:rPr>
        <w:t>6.4</w:t>
      </w:r>
      <w:r>
        <w:t xml:space="preserve">, </w:t>
      </w:r>
      <w:r>
        <w:rPr>
          <w:b/>
        </w:rPr>
        <w:t>8.1</w:t>
      </w:r>
      <w:r>
        <w:t xml:space="preserve">, </w:t>
      </w:r>
      <w:r>
        <w:rPr>
          <w:b/>
        </w:rPr>
        <w:t>8.4</w:t>
      </w:r>
      <w:r>
        <w:t xml:space="preserve">, </w:t>
      </w:r>
      <w:r>
        <w:rPr>
          <w:b/>
        </w:rPr>
        <w:t>8.7</w:t>
      </w:r>
      <w:r>
        <w:t xml:space="preserve">, </w:t>
      </w:r>
      <w:r>
        <w:rPr>
          <w:b/>
        </w:rPr>
        <w:t>A.2</w:t>
      </w:r>
      <w:r>
        <w:t>.</w:t>
      </w:r>
    </w:p>
    <w:p>
      <w:pPr>
        <w:pStyle w:val="ListBullet"/>
      </w:pPr>
      <w:r>
        <w:t xml:space="preserve">Boletín Estadístico del Personal al Servicio de las Administraciones Públicas: </w:t>
      </w:r>
      <w:r>
        <w:rPr>
          <w:b/>
        </w:rPr>
        <w:t>8.6</w:t>
      </w:r>
      <w:r>
        <w:t xml:space="preserve">, </w:t>
      </w:r>
      <w:r>
        <w:rPr>
          <w:b/>
        </w:rPr>
        <w:t>C.1</w:t>
      </w:r>
      <w:r>
        <w:t xml:space="preserve">, </w:t>
      </w:r>
      <w:r>
        <w:rPr>
          <w:b/>
        </w:rPr>
        <w:t>C.2</w:t>
      </w:r>
      <w:r>
        <w:t>.</w:t>
      </w:r>
    </w:p>
    <w:p>
      <w:pPr>
        <w:pStyle w:val="ListBullet"/>
      </w:pPr>
      <w:r>
        <w:t xml:space="preserve">Centro de Investigaciones Sociológicas (CIS): </w:t>
      </w:r>
      <w:r>
        <w:rPr>
          <w:b/>
        </w:rPr>
        <w:t>8.9</w:t>
      </w:r>
      <w:r>
        <w:t>.</w:t>
      </w:r>
    </w:p>
    <w:p>
      <w:pPr>
        <w:pStyle w:val="ListBullet"/>
      </w:pPr>
      <w:r>
        <w:t xml:space="preserve">Consejo de la Juventud de España, Observatorio de Emancipación: </w:t>
      </w:r>
      <w:r>
        <w:rPr>
          <w:b/>
        </w:rPr>
        <w:t>7.2</w:t>
      </w:r>
      <w:r>
        <w:t xml:space="preserve">, </w:t>
      </w:r>
      <w:r>
        <w:rPr>
          <w:b/>
        </w:rPr>
        <w:t>A.2</w:t>
      </w:r>
      <w:r>
        <w:t>.</w:t>
      </w:r>
    </w:p>
    <w:p>
      <w:pPr>
        <w:pStyle w:val="ListBullet"/>
      </w:pPr>
      <w:r>
        <w:t xml:space="preserve">EFSA, informe de la UE sobre residuos de plaguicidas: </w:t>
      </w:r>
      <w:r>
        <w:rPr>
          <w:b/>
        </w:rPr>
        <w:t>8.7</w:t>
      </w:r>
      <w:r>
        <w:t>.</w:t>
      </w:r>
    </w:p>
    <w:p>
      <w:pPr>
        <w:pStyle w:val="ListBullet"/>
      </w:pPr>
      <w:r>
        <w:t xml:space="preserve">Eurostat: </w:t>
      </w:r>
      <w:r>
        <w:rPr>
          <w:b/>
        </w:rPr>
        <w:t>5.1</w:t>
      </w:r>
      <w:r>
        <w:t xml:space="preserve">, </w:t>
      </w:r>
      <w:r>
        <w:rPr>
          <w:b/>
        </w:rPr>
        <w:t>7.2</w:t>
      </w:r>
      <w:r>
        <w:t xml:space="preserve">, </w:t>
      </w:r>
      <w:r>
        <w:rPr>
          <w:b/>
        </w:rPr>
        <w:t>8.3</w:t>
      </w:r>
      <w:r>
        <w:t xml:space="preserve">, </w:t>
      </w:r>
      <w:r>
        <w:rPr>
          <w:b/>
        </w:rPr>
        <w:t>8.4</w:t>
      </w:r>
      <w:r>
        <w:t xml:space="preserve">, </w:t>
      </w:r>
      <w:r>
        <w:rPr>
          <w:b/>
        </w:rPr>
        <w:t>8.6</w:t>
      </w:r>
      <w:r>
        <w:t xml:space="preserve">, </w:t>
      </w:r>
      <w:r>
        <w:rPr>
          <w:b/>
        </w:rPr>
        <w:t>8.10</w:t>
      </w:r>
      <w:r>
        <w:t xml:space="preserve">, </w:t>
      </w:r>
      <w:r>
        <w:rPr>
          <w:b/>
        </w:rPr>
        <w:t>9.1</w:t>
      </w:r>
      <w:r>
        <w:t xml:space="preserve">, </w:t>
      </w:r>
      <w:r>
        <w:rPr>
          <w:b/>
        </w:rPr>
        <w:t>10.2</w:t>
      </w:r>
      <w:r>
        <w:t xml:space="preserve">, </w:t>
      </w:r>
      <w:r>
        <w:rPr>
          <w:b/>
        </w:rPr>
        <w:t>A.2</w:t>
      </w:r>
      <w:r>
        <w:t xml:space="preserve">, </w:t>
      </w:r>
      <w:r>
        <w:rPr>
          <w:b/>
        </w:rPr>
        <w:t>A.8</w:t>
      </w:r>
      <w:r>
        <w:t xml:space="preserve">, </w:t>
      </w:r>
      <w:r>
        <w:rPr>
          <w:b/>
        </w:rPr>
        <w:t>B.4</w:t>
      </w:r>
      <w:r>
        <w:t xml:space="preserve">, </w:t>
      </w:r>
      <w:r>
        <w:rPr>
          <w:b/>
        </w:rPr>
        <w:t>B.5</w:t>
      </w:r>
      <w:r>
        <w:t xml:space="preserve">, </w:t>
      </w:r>
      <w:r>
        <w:rPr>
          <w:b/>
        </w:rPr>
        <w:t>C.2</w:t>
      </w:r>
      <w:r>
        <w:t xml:space="preserve">, </w:t>
      </w:r>
      <w:r>
        <w:rPr>
          <w:b/>
        </w:rPr>
        <w:t>C.3</w:t>
      </w:r>
      <w:r>
        <w:t>.</w:t>
      </w:r>
    </w:p>
    <w:p>
      <w:pPr>
        <w:pStyle w:val="ListBullet"/>
      </w:pPr>
      <w:r>
        <w:t xml:space="preserve">Fondo de Reserva de la Seguridad Social, informes a las Cortes: </w:t>
      </w:r>
      <w:r>
        <w:rPr>
          <w:b/>
        </w:rPr>
        <w:t>5.1</w:t>
      </w:r>
      <w:r>
        <w:t xml:space="preserve">, </w:t>
      </w:r>
      <w:r>
        <w:rPr>
          <w:b/>
        </w:rPr>
        <w:t>7.5</w:t>
      </w:r>
      <w:r>
        <w:t xml:space="preserve">, </w:t>
      </w:r>
      <w:r>
        <w:rPr>
          <w:b/>
        </w:rPr>
        <w:t>8.6</w:t>
      </w:r>
      <w:r>
        <w:t>.</w:t>
      </w:r>
    </w:p>
    <w:p>
      <w:pPr>
        <w:pStyle w:val="ListBullet"/>
      </w:pPr>
      <w:r>
        <w:t xml:space="preserve">Fondo Monetario Internacional: </w:t>
      </w:r>
      <w:r>
        <w:rPr>
          <w:b/>
        </w:rPr>
        <w:t>8.7</w:t>
      </w:r>
      <w:r>
        <w:t xml:space="preserve">, </w:t>
      </w:r>
      <w:r>
        <w:rPr>
          <w:b/>
        </w:rPr>
        <w:t>9.2</w:t>
      </w:r>
      <w:r>
        <w:t>.</w:t>
      </w:r>
    </w:p>
    <w:p>
      <w:pPr>
        <w:pStyle w:val="ListBullet"/>
      </w:pPr>
      <w:r>
        <w:t xml:space="preserve">Generalitat de Catalunya, datos abiertos: </w:t>
      </w:r>
      <w:r>
        <w:rPr>
          <w:b/>
        </w:rPr>
        <w:t>8.7</w:t>
      </w:r>
      <w:r>
        <w:t>.</w:t>
      </w:r>
    </w:p>
    <w:p>
      <w:pPr>
        <w:pStyle w:val="ListBullet"/>
      </w:pPr>
      <w:r>
        <w:t xml:space="preserve">Institute of International Finance, Global Debt Monitor: </w:t>
      </w:r>
      <w:r>
        <w:rPr>
          <w:b/>
        </w:rPr>
        <w:t>8.1</w:t>
      </w:r>
      <w:r>
        <w:t>.</w:t>
      </w:r>
    </w:p>
    <w:p>
      <w:pPr>
        <w:pStyle w:val="ListBullet"/>
      </w:pPr>
      <w:r>
        <w:t xml:space="preserve">Instituto de Estadística de Islandia: </w:t>
      </w:r>
      <w:r>
        <w:rPr>
          <w:b/>
        </w:rPr>
        <w:t>9.2</w:t>
      </w:r>
      <w:r>
        <w:t>.</w:t>
      </w:r>
    </w:p>
    <w:p>
      <w:pPr>
        <w:pStyle w:val="ListBullet"/>
      </w:pPr>
      <w:r>
        <w:t xml:space="preserve">Instituto Nacional de Estadística (INE): </w:t>
      </w:r>
      <w:r>
        <w:rPr>
          <w:b/>
        </w:rPr>
        <w:t>5.1</w:t>
      </w:r>
      <w:r>
        <w:t xml:space="preserve">, </w:t>
      </w:r>
      <w:r>
        <w:rPr>
          <w:b/>
        </w:rPr>
        <w:t>7.5</w:t>
      </w:r>
      <w:r>
        <w:t xml:space="preserve">, </w:t>
      </w:r>
      <w:r>
        <w:rPr>
          <w:b/>
        </w:rPr>
        <w:t>8.3</w:t>
      </w:r>
      <w:r>
        <w:t xml:space="preserve">, </w:t>
      </w:r>
      <w:r>
        <w:rPr>
          <w:b/>
        </w:rPr>
        <w:t>8.6</w:t>
      </w:r>
      <w:r>
        <w:t xml:space="preserve">, </w:t>
      </w:r>
      <w:r>
        <w:rPr>
          <w:b/>
        </w:rPr>
        <w:t>8.8</w:t>
      </w:r>
      <w:r>
        <w:t xml:space="preserve">, </w:t>
      </w:r>
      <w:r>
        <w:rPr>
          <w:b/>
        </w:rPr>
        <w:t>8.10</w:t>
      </w:r>
      <w:r>
        <w:t xml:space="preserve">, </w:t>
      </w:r>
      <w:r>
        <w:rPr>
          <w:b/>
        </w:rPr>
        <w:t>9.1</w:t>
      </w:r>
      <w:r>
        <w:t xml:space="preserve">, </w:t>
      </w:r>
      <w:r>
        <w:rPr>
          <w:b/>
        </w:rPr>
        <w:t>11.3</w:t>
      </w:r>
      <w:r>
        <w:t xml:space="preserve">, </w:t>
      </w:r>
      <w:r>
        <w:rPr>
          <w:b/>
        </w:rPr>
        <w:t>A.2</w:t>
      </w:r>
      <w:r>
        <w:t xml:space="preserve">, </w:t>
      </w:r>
      <w:r>
        <w:rPr>
          <w:b/>
        </w:rPr>
        <w:t>B.4</w:t>
      </w:r>
      <w:r>
        <w:t xml:space="preserve">, </w:t>
      </w:r>
      <w:r>
        <w:rPr>
          <w:b/>
        </w:rPr>
        <w:t>B.5</w:t>
      </w:r>
      <w:r>
        <w:t xml:space="preserve">, </w:t>
      </w:r>
      <w:r>
        <w:rPr>
          <w:b/>
        </w:rPr>
        <w:t>B.6</w:t>
      </w:r>
      <w:r>
        <w:t>.</w:t>
      </w:r>
    </w:p>
    <w:p>
      <w:pPr>
        <w:pStyle w:val="ListBullet"/>
      </w:pPr>
      <w:r>
        <w:t xml:space="preserve">Intervención General de la Administración del Estado (IGAE): </w:t>
      </w:r>
      <w:r>
        <w:rPr>
          <w:b/>
        </w:rPr>
        <w:t>7.6</w:t>
      </w:r>
      <w:r>
        <w:t xml:space="preserve">, </w:t>
      </w:r>
      <w:r>
        <w:rPr>
          <w:b/>
        </w:rPr>
        <w:t>A.8</w:t>
      </w:r>
      <w:r>
        <w:t>.</w:t>
      </w:r>
    </w:p>
    <w:p>
      <w:pPr>
        <w:pStyle w:val="ListBullet"/>
      </w:pPr>
      <w:r>
        <w:t xml:space="preserve">Ministerio de Educación, INEE: </w:t>
      </w:r>
      <w:r>
        <w:rPr>
          <w:b/>
        </w:rPr>
        <w:t>8.4</w:t>
      </w:r>
      <w:r>
        <w:t>.</w:t>
      </w:r>
    </w:p>
    <w:p>
      <w:pPr>
        <w:pStyle w:val="ListBullet"/>
      </w:pPr>
      <w:r>
        <w:t xml:space="preserve">Ministerio de Hacienda: </w:t>
      </w:r>
      <w:r>
        <w:rPr>
          <w:b/>
        </w:rPr>
        <w:t>8.6</w:t>
      </w:r>
      <w:r>
        <w:t xml:space="preserve">, </w:t>
      </w:r>
      <w:r>
        <w:rPr>
          <w:b/>
        </w:rPr>
        <w:t>A.9</w:t>
      </w:r>
      <w:r>
        <w:t xml:space="preserve">, </w:t>
      </w:r>
      <w:r>
        <w:rPr>
          <w:b/>
        </w:rPr>
        <w:t>C.2</w:t>
      </w:r>
      <w:r>
        <w:t>.</w:t>
      </w:r>
    </w:p>
    <w:p>
      <w:pPr>
        <w:pStyle w:val="ListBullet"/>
      </w:pPr>
      <w:r>
        <w:t xml:space="preserve">Ministerio de Justicia: </w:t>
      </w:r>
      <w:r>
        <w:rPr>
          <w:b/>
        </w:rPr>
        <w:t>11.3</w:t>
      </w:r>
      <w:r>
        <w:t xml:space="preserve">, </w:t>
      </w:r>
      <w:r>
        <w:rPr>
          <w:b/>
        </w:rPr>
        <w:t>A.5</w:t>
      </w:r>
      <w:r>
        <w:t>.</w:t>
      </w:r>
    </w:p>
    <w:p>
      <w:pPr>
        <w:pStyle w:val="ListBullet"/>
      </w:pPr>
      <w:r>
        <w:t xml:space="preserve">Ministerio de Sanidad: </w:t>
      </w:r>
      <w:r>
        <w:rPr>
          <w:b/>
        </w:rPr>
        <w:t>8.4</w:t>
      </w:r>
      <w:r>
        <w:t xml:space="preserve">, </w:t>
      </w:r>
      <w:r>
        <w:rPr>
          <w:b/>
        </w:rPr>
        <w:t>8.10</w:t>
      </w:r>
      <w:r>
        <w:t xml:space="preserve">, </w:t>
      </w:r>
      <w:r>
        <w:rPr>
          <w:b/>
        </w:rPr>
        <w:t>A.2</w:t>
      </w:r>
      <w:r>
        <w:t xml:space="preserve">, </w:t>
      </w:r>
      <w:r>
        <w:rPr>
          <w:b/>
        </w:rPr>
        <w:t>A.9</w:t>
      </w:r>
      <w:r>
        <w:t>.</w:t>
      </w:r>
    </w:p>
    <w:p>
      <w:pPr>
        <w:pStyle w:val="ListBullet"/>
      </w:pPr>
      <w:r>
        <w:t xml:space="preserve">Ministerio de Sanidad, Barómetro Sanitario: </w:t>
      </w:r>
      <w:r>
        <w:rPr>
          <w:b/>
        </w:rPr>
        <w:t>8.4</w:t>
      </w:r>
      <w:r>
        <w:t>.</w:t>
      </w:r>
    </w:p>
    <w:p>
      <w:pPr>
        <w:pStyle w:val="ListBullet"/>
      </w:pPr>
      <w:r>
        <w:t xml:space="preserve">Ministerio de Trabajo y Economía Social: </w:t>
      </w:r>
      <w:r>
        <w:rPr>
          <w:b/>
        </w:rPr>
        <w:t>A.2</w:t>
      </w:r>
      <w:r>
        <w:t>.</w:t>
      </w:r>
    </w:p>
    <w:p>
      <w:pPr>
        <w:pStyle w:val="ListBullet"/>
      </w:pPr>
      <w:r>
        <w:t xml:space="preserve">Ministerio de Vivienda, Observatorio de Vivienda y Suelo: </w:t>
      </w:r>
      <w:r>
        <w:rPr>
          <w:b/>
        </w:rPr>
        <w:t>7.6</w:t>
      </w:r>
      <w:r>
        <w:t>.</w:t>
      </w:r>
    </w:p>
    <w:p>
      <w:pPr>
        <w:pStyle w:val="ListBullet"/>
      </w:pPr>
      <w:r>
        <w:t xml:space="preserve">Ministerio del Interior: </w:t>
      </w:r>
      <w:r>
        <w:rPr>
          <w:b/>
        </w:rPr>
        <w:t>10.7</w:t>
      </w:r>
      <w:r>
        <w:t xml:space="preserve">, </w:t>
      </w:r>
      <w:r>
        <w:rPr>
          <w:b/>
        </w:rPr>
        <w:t>A.4</w:t>
      </w:r>
      <w:r>
        <w:t>.</w:t>
      </w:r>
    </w:p>
    <w:p>
      <w:pPr>
        <w:pStyle w:val="ListBullet"/>
      </w:pPr>
      <w:r>
        <w:t xml:space="preserve">OCDE: </w:t>
      </w:r>
      <w:r>
        <w:rPr>
          <w:b/>
        </w:rPr>
        <w:t>8.3</w:t>
      </w:r>
      <w:r>
        <w:t xml:space="preserve">, </w:t>
      </w:r>
      <w:r>
        <w:rPr>
          <w:b/>
        </w:rPr>
        <w:t>8.4</w:t>
      </w:r>
      <w:r>
        <w:t xml:space="preserve">, </w:t>
      </w:r>
      <w:r>
        <w:rPr>
          <w:b/>
        </w:rPr>
        <w:t>8.10</w:t>
      </w:r>
      <w:r>
        <w:t xml:space="preserve">, </w:t>
      </w:r>
      <w:r>
        <w:rPr>
          <w:b/>
        </w:rPr>
        <w:t>9.1</w:t>
      </w:r>
      <w:r>
        <w:t xml:space="preserve">, </w:t>
      </w:r>
      <w:r>
        <w:rPr>
          <w:b/>
        </w:rPr>
        <w:t>11.3</w:t>
      </w:r>
      <w:r>
        <w:t>.</w:t>
      </w:r>
    </w:p>
    <w:p>
      <w:pPr>
        <w:pStyle w:val="ListBullet"/>
      </w:pPr>
      <w:r>
        <w:t xml:space="preserve">Oficina de Estadística de Australia: </w:t>
      </w:r>
      <w:r>
        <w:rPr>
          <w:b/>
        </w:rPr>
        <w:t>F.7</w:t>
      </w:r>
      <w:r>
        <w:t>.</w:t>
      </w:r>
    </w:p>
    <w:p>
      <w:pPr>
        <w:pStyle w:val="ListBullet"/>
      </w:pPr>
      <w:r>
        <w:t xml:space="preserve">Reserva Federal de los Estados Unidos: </w:t>
      </w:r>
      <w:r>
        <w:rPr>
          <w:b/>
        </w:rPr>
        <w:t>8.1</w:t>
      </w:r>
      <w:r>
        <w:t>.</w:t>
      </w:r>
    </w:p>
    <w:p>
      <w:pPr>
        <w:pStyle w:val="ListBullet"/>
      </w:pPr>
      <w:r>
        <w:t xml:space="preserve">Resultados oficiales de los referéndums: </w:t>
      </w:r>
      <w:r>
        <w:rPr>
          <w:b/>
        </w:rPr>
        <w:t>A.4</w:t>
      </w:r>
      <w:r>
        <w:t>.</w:t>
      </w:r>
    </w:p>
    <w:p>
      <w:pPr>
        <w:pStyle w:val="ListBullet"/>
      </w:pPr>
      <w:r>
        <w:t xml:space="preserve">Seguridad Social: </w:t>
      </w:r>
      <w:r>
        <w:rPr>
          <w:b/>
        </w:rPr>
        <w:t>8.4</w:t>
      </w:r>
      <w:r>
        <w:t xml:space="preserve">, </w:t>
      </w:r>
      <w:r>
        <w:rPr>
          <w:b/>
        </w:rPr>
        <w:t>8.6</w:t>
      </w:r>
      <w:r>
        <w:t>.</w:t>
      </w:r>
    </w:p>
    <w:p>
      <w:r>
        <w:rPr>
          <w:b/>
        </w:rPr>
        <w:t>Los organismos y las instituciones</w:t>
      </w:r>
      <w:r>
        <w:t xml:space="preserve"> (66 fuentes)</w:t>
      </w:r>
    </w:p>
    <w:p>
      <w:pPr>
        <w:pStyle w:val="ListBullet"/>
      </w:pPr>
      <w:r>
        <w:t xml:space="preserve">Tribunal Constitucional, fichas de los magistrados (sitio del Tribunal): </w:t>
      </w:r>
      <w:r>
        <w:rPr>
          <w:b/>
        </w:rPr>
        <w:t>A.10</w:t>
      </w:r>
      <w:r>
        <w:t>.</w:t>
      </w:r>
    </w:p>
    <w:p>
      <w:pPr>
        <w:pStyle w:val="ListBullet"/>
      </w:pPr>
      <w:r>
        <w:t xml:space="preserve">Tribunal Constitucional, Memoria: </w:t>
      </w:r>
      <w:r>
        <w:rPr>
          <w:b/>
        </w:rPr>
        <w:t>5.1</w:t>
      </w:r>
      <w:r>
        <w:t xml:space="preserve">, </w:t>
      </w:r>
      <w:r>
        <w:rPr>
          <w:b/>
        </w:rPr>
        <w:t>7.2</w:t>
      </w:r>
      <w:r>
        <w:t xml:space="preserve">, </w:t>
      </w:r>
      <w:r>
        <w:rPr>
          <w:b/>
        </w:rPr>
        <w:t>11.3</w:t>
      </w:r>
      <w:r>
        <w:t xml:space="preserve">, </w:t>
      </w:r>
      <w:r>
        <w:rPr>
          <w:b/>
        </w:rPr>
        <w:t>A.9</w:t>
      </w:r>
      <w:r>
        <w:t xml:space="preserve">, </w:t>
      </w:r>
      <w:r>
        <w:rPr>
          <w:b/>
        </w:rPr>
        <w:t>A.10</w:t>
      </w:r>
      <w:r>
        <w:t>.</w:t>
      </w:r>
    </w:p>
    <w:p>
      <w:pPr>
        <w:pStyle w:val="ListBullet"/>
      </w:pPr>
      <w:r>
        <w:t xml:space="preserve">Agencia Federal de Educación Cívica de Alemania (bpb): </w:t>
      </w:r>
      <w:r>
        <w:rPr>
          <w:b/>
        </w:rPr>
        <w:t>9.2</w:t>
      </w:r>
      <w:r>
        <w:t>.</w:t>
      </w:r>
    </w:p>
    <w:p>
      <w:pPr>
        <w:pStyle w:val="ListBullet"/>
      </w:pPr>
      <w:r>
        <w:t xml:space="preserve">Asamblea de Ciudadanos de Irlanda: </w:t>
      </w:r>
      <w:r>
        <w:rPr>
          <w:b/>
        </w:rPr>
        <w:t>10.2</w:t>
      </w:r>
      <w:r>
        <w:t>.</w:t>
      </w:r>
    </w:p>
    <w:p>
      <w:pPr>
        <w:pStyle w:val="ListBullet"/>
      </w:pPr>
      <w:r>
        <w:t xml:space="preserve">Asamblea Federal de Checoslovaquia, proyectos y actas: </w:t>
      </w:r>
      <w:r>
        <w:rPr>
          <w:b/>
        </w:rPr>
        <w:t>9.2</w:t>
      </w:r>
      <w:r>
        <w:t>.</w:t>
      </w:r>
    </w:p>
    <w:p>
      <w:pPr>
        <w:pStyle w:val="ListBullet"/>
      </w:pPr>
      <w:r>
        <w:t xml:space="preserve">Autoridad Independiente de Responsabilidad Fiscal (AIReF): </w:t>
      </w:r>
      <w:r>
        <w:rPr>
          <w:b/>
        </w:rPr>
        <w:t>7.6</w:t>
      </w:r>
      <w:r>
        <w:t xml:space="preserve">, </w:t>
      </w:r>
      <w:r>
        <w:rPr>
          <w:b/>
        </w:rPr>
        <w:t>8.3</w:t>
      </w:r>
      <w:r>
        <w:t xml:space="preserve">, </w:t>
      </w:r>
      <w:r>
        <w:rPr>
          <w:b/>
        </w:rPr>
        <w:t>11.3</w:t>
      </w:r>
      <w:r>
        <w:t xml:space="preserve">, </w:t>
      </w:r>
      <w:r>
        <w:rPr>
          <w:b/>
        </w:rPr>
        <w:t>B.5</w:t>
      </w:r>
      <w:r>
        <w:t>.</w:t>
      </w:r>
    </w:p>
    <w:p>
      <w:pPr>
        <w:pStyle w:val="ListBullet"/>
      </w:pPr>
      <w:r>
        <w:t xml:space="preserve">Banco de Inglaterra, «Money creation in the modern economy»: </w:t>
      </w:r>
      <w:r>
        <w:rPr>
          <w:b/>
        </w:rPr>
        <w:t>5.1</w:t>
      </w:r>
      <w:r>
        <w:t xml:space="preserve">, </w:t>
      </w:r>
      <w:r>
        <w:rPr>
          <w:b/>
        </w:rPr>
        <w:t>8.1</w:t>
      </w:r>
      <w:r>
        <w:t>.</w:t>
      </w:r>
    </w:p>
    <w:p>
      <w:pPr>
        <w:pStyle w:val="ListBullet"/>
      </w:pPr>
      <w:r>
        <w:t xml:space="preserve">Biblioteca del Congreso de los Estados Unidos: </w:t>
      </w:r>
      <w:r>
        <w:rPr>
          <w:b/>
        </w:rPr>
        <w:t>9.2</w:t>
      </w:r>
      <w:r>
        <w:t xml:space="preserve">, </w:t>
      </w:r>
      <w:r>
        <w:rPr>
          <w:b/>
        </w:rPr>
        <w:t>F.4</w:t>
      </w:r>
      <w:r>
        <w:t>.</w:t>
      </w:r>
    </w:p>
    <w:p>
      <w:pPr>
        <w:pStyle w:val="ListBullet"/>
      </w:pPr>
      <w:r>
        <w:t xml:space="preserve">Boletín Oficial de las Cortes Generales: </w:t>
      </w:r>
      <w:r>
        <w:rPr>
          <w:b/>
        </w:rPr>
        <w:t>A.4</w:t>
      </w:r>
      <w:r>
        <w:t>.</w:t>
      </w:r>
    </w:p>
    <w:p>
      <w:pPr>
        <w:pStyle w:val="ListBullet"/>
      </w:pPr>
      <w:r>
        <w:t xml:space="preserve">Casa de S. M. el Rey, presupuesto y cuentas: </w:t>
      </w:r>
      <w:r>
        <w:rPr>
          <w:b/>
        </w:rPr>
        <w:t>C.2</w:t>
      </w:r>
      <w:r>
        <w:t>.</w:t>
      </w:r>
    </w:p>
    <w:p>
      <w:pPr>
        <w:pStyle w:val="ListBullet"/>
      </w:pPr>
      <w:r>
        <w:t xml:space="preserve">Centro Memorial de las Víctimas del Terrorismo, «1980. El terrorismo contra la Transición» (2020): </w:t>
      </w:r>
      <w:r>
        <w:rPr>
          <w:b/>
        </w:rPr>
        <w:t>6.1</w:t>
      </w:r>
      <w:r>
        <w:t>.</w:t>
      </w:r>
    </w:p>
    <w:p>
      <w:pPr>
        <w:pStyle w:val="ListBullet"/>
      </w:pPr>
      <w:r>
        <w:t xml:space="preserve">Comisión de Derecho de Nueva Zelanda, Māori Custom and Values in New Zealand Law: </w:t>
      </w:r>
      <w:r>
        <w:rPr>
          <w:b/>
        </w:rPr>
        <w:t>F.7</w:t>
      </w:r>
      <w:r>
        <w:t>.</w:t>
      </w:r>
    </w:p>
    <w:p>
      <w:pPr>
        <w:pStyle w:val="ListBullet"/>
      </w:pPr>
      <w:r>
        <w:t xml:space="preserve">Comisión de Reforma Legal de Australia, ALRC 31: </w:t>
      </w:r>
      <w:r>
        <w:rPr>
          <w:b/>
        </w:rPr>
        <w:t>F.7</w:t>
      </w:r>
      <w:r>
        <w:t>.</w:t>
      </w:r>
    </w:p>
    <w:p>
      <w:pPr>
        <w:pStyle w:val="ListBullet"/>
      </w:pPr>
      <w:r>
        <w:t xml:space="preserve">Comisión Europea: </w:t>
      </w:r>
      <w:r>
        <w:rPr>
          <w:b/>
        </w:rPr>
        <w:t>8.5</w:t>
      </w:r>
      <w:r>
        <w:t xml:space="preserve">, </w:t>
      </w:r>
      <w:r>
        <w:rPr>
          <w:b/>
        </w:rPr>
        <w:t>8.11</w:t>
      </w:r>
      <w:r>
        <w:t xml:space="preserve">, </w:t>
      </w:r>
      <w:r>
        <w:rPr>
          <w:b/>
        </w:rPr>
        <w:t>A.2</w:t>
      </w:r>
      <w:r>
        <w:t xml:space="preserve">, </w:t>
      </w:r>
      <w:r>
        <w:rPr>
          <w:b/>
        </w:rPr>
        <w:t>A.5</w:t>
      </w:r>
      <w:r>
        <w:t xml:space="preserve">, </w:t>
      </w:r>
      <w:r>
        <w:rPr>
          <w:b/>
        </w:rPr>
        <w:t>A.7</w:t>
      </w:r>
      <w:r>
        <w:t>.</w:t>
      </w:r>
    </w:p>
    <w:p>
      <w:pPr>
        <w:pStyle w:val="ListBullet"/>
      </w:pPr>
      <w:r>
        <w:t xml:space="preserve">Comisión Nacional de los Mercados y la Competencia (CNMC; antes CNC): </w:t>
      </w:r>
      <w:r>
        <w:rPr>
          <w:b/>
        </w:rPr>
        <w:t>A.2</w:t>
      </w:r>
      <w:r>
        <w:t>.</w:t>
      </w:r>
    </w:p>
    <w:p>
      <w:pPr>
        <w:pStyle w:val="ListBullet"/>
      </w:pPr>
      <w:r>
        <w:t xml:space="preserve">Confederación Haudenosaunee, «Who we are»: </w:t>
      </w:r>
      <w:r>
        <w:rPr>
          <w:b/>
        </w:rPr>
        <w:t>F.7</w:t>
      </w:r>
      <w:r>
        <w:t>.</w:t>
      </w:r>
    </w:p>
    <w:p>
      <w:pPr>
        <w:pStyle w:val="ListBullet"/>
      </w:pPr>
      <w:r>
        <w:t xml:space="preserve">Congreso de los Diputados: </w:t>
      </w:r>
      <w:r>
        <w:rPr>
          <w:b/>
        </w:rPr>
        <w:t>7.2</w:t>
      </w:r>
      <w:r>
        <w:t xml:space="preserve">, </w:t>
      </w:r>
      <w:r>
        <w:rPr>
          <w:b/>
        </w:rPr>
        <w:t>11.3</w:t>
      </w:r>
      <w:r>
        <w:t xml:space="preserve">, </w:t>
      </w:r>
      <w:r>
        <w:rPr>
          <w:b/>
        </w:rPr>
        <w:t>A.4</w:t>
      </w:r>
      <w:r>
        <w:t xml:space="preserve">, </w:t>
      </w:r>
      <w:r>
        <w:rPr>
          <w:b/>
        </w:rPr>
        <w:t>A.6</w:t>
      </w:r>
      <w:r>
        <w:t xml:space="preserve">, </w:t>
      </w:r>
      <w:r>
        <w:rPr>
          <w:b/>
        </w:rPr>
        <w:t>A.11</w:t>
      </w:r>
      <w:r>
        <w:t xml:space="preserve">, </w:t>
      </w:r>
      <w:r>
        <w:rPr>
          <w:b/>
        </w:rPr>
        <w:t>C.2</w:t>
      </w:r>
      <w:r>
        <w:t xml:space="preserve">, </w:t>
      </w:r>
      <w:r>
        <w:rPr>
          <w:b/>
        </w:rPr>
        <w:t>C.4</w:t>
      </w:r>
      <w:r>
        <w:t>.</w:t>
      </w:r>
    </w:p>
    <w:p>
      <w:pPr>
        <w:pStyle w:val="ListBullet"/>
      </w:pPr>
      <w:r>
        <w:t xml:space="preserve">Congreso de los Diputados, Portal de la Constitución (sinopsis y comentarios): </w:t>
      </w:r>
      <w:r>
        <w:rPr>
          <w:b/>
        </w:rPr>
        <w:t>A.4</w:t>
      </w:r>
      <w:r>
        <w:t xml:space="preserve">, </w:t>
      </w:r>
      <w:r>
        <w:rPr>
          <w:b/>
        </w:rPr>
        <w:t>A.6</w:t>
      </w:r>
      <w:r>
        <w:t xml:space="preserve">, </w:t>
      </w:r>
      <w:r>
        <w:rPr>
          <w:b/>
        </w:rPr>
        <w:t>A.8</w:t>
      </w:r>
      <w:r>
        <w:t xml:space="preserve">, </w:t>
      </w:r>
      <w:r>
        <w:rPr>
          <w:b/>
        </w:rPr>
        <w:t>A.9</w:t>
      </w:r>
      <w:r>
        <w:t>.</w:t>
      </w:r>
    </w:p>
    <w:p>
      <w:pPr>
        <w:pStyle w:val="ListBullet"/>
      </w:pPr>
      <w:r>
        <w:t xml:space="preserve">Congreso, comparecencia de la directora del CNI: </w:t>
      </w:r>
      <w:r>
        <w:rPr>
          <w:b/>
        </w:rPr>
        <w:t>A.2</w:t>
      </w:r>
      <w:r>
        <w:t>.</w:t>
      </w:r>
    </w:p>
    <w:p>
      <w:pPr>
        <w:pStyle w:val="ListBullet"/>
      </w:pPr>
      <w:r>
        <w:t xml:space="preserve">Consejo de Estado: </w:t>
      </w:r>
      <w:r>
        <w:rPr>
          <w:b/>
        </w:rPr>
        <w:t>6.4</w:t>
      </w:r>
      <w:r>
        <w:t xml:space="preserve">, </w:t>
      </w:r>
      <w:r>
        <w:rPr>
          <w:b/>
        </w:rPr>
        <w:t>7.3</w:t>
      </w:r>
      <w:r>
        <w:t xml:space="preserve">, </w:t>
      </w:r>
      <w:r>
        <w:rPr>
          <w:b/>
        </w:rPr>
        <w:t>9.2</w:t>
      </w:r>
      <w:r>
        <w:t xml:space="preserve">, </w:t>
      </w:r>
      <w:r>
        <w:rPr>
          <w:b/>
        </w:rPr>
        <w:t>A.5</w:t>
      </w:r>
      <w:r>
        <w:t>.</w:t>
      </w:r>
    </w:p>
    <w:p>
      <w:pPr>
        <w:pStyle w:val="ListBullet"/>
      </w:pPr>
      <w:r>
        <w:t xml:space="preserve">Consejo de Europa, Congreso de Autoridades Locales y Regionales: </w:t>
      </w:r>
      <w:r>
        <w:rPr>
          <w:b/>
        </w:rPr>
        <w:t>A.9</w:t>
      </w:r>
      <w:r>
        <w:t>.</w:t>
      </w:r>
    </w:p>
    <w:p>
      <w:pPr>
        <w:pStyle w:val="ListBullet"/>
      </w:pPr>
      <w:r>
        <w:t xml:space="preserve">Consejo de Europa, GRECO: </w:t>
      </w:r>
      <w:r>
        <w:rPr>
          <w:b/>
        </w:rPr>
        <w:t>7.2</w:t>
      </w:r>
      <w:r>
        <w:t xml:space="preserve">, </w:t>
      </w:r>
      <w:r>
        <w:rPr>
          <w:b/>
        </w:rPr>
        <w:t>7.3</w:t>
      </w:r>
      <w:r>
        <w:t xml:space="preserve">, </w:t>
      </w:r>
      <w:r>
        <w:rPr>
          <w:b/>
        </w:rPr>
        <w:t>11.3</w:t>
      </w:r>
      <w:r>
        <w:t xml:space="preserve">, </w:t>
      </w:r>
      <w:r>
        <w:rPr>
          <w:b/>
        </w:rPr>
        <w:t>A.1</w:t>
      </w:r>
      <w:r>
        <w:t>.</w:t>
      </w:r>
    </w:p>
    <w:p>
      <w:pPr>
        <w:pStyle w:val="ListBullet"/>
      </w:pPr>
      <w:r>
        <w:t xml:space="preserve">Consejo de Transparencia y Buen Gobierno: </w:t>
      </w:r>
      <w:r>
        <w:rPr>
          <w:b/>
        </w:rPr>
        <w:t>10.2</w:t>
      </w:r>
      <w:r>
        <w:t xml:space="preserve">, </w:t>
      </w:r>
      <w:r>
        <w:rPr>
          <w:b/>
        </w:rPr>
        <w:t>A.5</w:t>
      </w:r>
      <w:r>
        <w:t>.</w:t>
      </w:r>
    </w:p>
    <w:p>
      <w:pPr>
        <w:pStyle w:val="ListBullet"/>
      </w:pPr>
      <w:r>
        <w:t xml:space="preserve">Consejo General del Poder Judicial (CGPJ): </w:t>
      </w:r>
      <w:r>
        <w:rPr>
          <w:b/>
        </w:rPr>
        <w:t>6.4</w:t>
      </w:r>
      <w:r>
        <w:t xml:space="preserve">, </w:t>
      </w:r>
      <w:r>
        <w:rPr>
          <w:b/>
        </w:rPr>
        <w:t>7.3</w:t>
      </w:r>
      <w:r>
        <w:t xml:space="preserve">, </w:t>
      </w:r>
      <w:r>
        <w:rPr>
          <w:b/>
        </w:rPr>
        <w:t>7.5</w:t>
      </w:r>
      <w:r>
        <w:t xml:space="preserve">, </w:t>
      </w:r>
      <w:r>
        <w:rPr>
          <w:b/>
        </w:rPr>
        <w:t>7.7</w:t>
      </w:r>
      <w:r>
        <w:t xml:space="preserve">, </w:t>
      </w:r>
      <w:r>
        <w:rPr>
          <w:b/>
        </w:rPr>
        <w:t>10.2</w:t>
      </w:r>
      <w:r>
        <w:t xml:space="preserve">, </w:t>
      </w:r>
      <w:r>
        <w:rPr>
          <w:b/>
        </w:rPr>
        <w:t>11.3</w:t>
      </w:r>
      <w:r>
        <w:t xml:space="preserve">, </w:t>
      </w:r>
      <w:r>
        <w:rPr>
          <w:b/>
        </w:rPr>
        <w:t>A.2</w:t>
      </w:r>
      <w:r>
        <w:t xml:space="preserve">, </w:t>
      </w:r>
      <w:r>
        <w:rPr>
          <w:b/>
        </w:rPr>
        <w:t>A.6</w:t>
      </w:r>
      <w:r>
        <w:t xml:space="preserve">, </w:t>
      </w:r>
      <w:r>
        <w:rPr>
          <w:b/>
        </w:rPr>
        <w:t>A.7</w:t>
      </w:r>
      <w:r>
        <w:t xml:space="preserve">, </w:t>
      </w:r>
      <w:r>
        <w:rPr>
          <w:b/>
        </w:rPr>
        <w:t>A.9</w:t>
      </w:r>
      <w:r>
        <w:t>.</w:t>
      </w:r>
    </w:p>
    <w:p>
      <w:pPr>
        <w:pStyle w:val="ListBullet"/>
      </w:pPr>
      <w:r>
        <w:t xml:space="preserve">Crónica del Muro (Chronik der Mauer, Berlín): </w:t>
      </w:r>
      <w:r>
        <w:rPr>
          <w:b/>
        </w:rPr>
        <w:t>9.2</w:t>
      </w:r>
      <w:r>
        <w:t>.</w:t>
      </w:r>
    </w:p>
    <w:p>
      <w:pPr>
        <w:pStyle w:val="ListBullet"/>
      </w:pPr>
      <w:r>
        <w:t xml:space="preserve">Defensor del Pueblo: </w:t>
      </w:r>
      <w:r>
        <w:rPr>
          <w:b/>
        </w:rPr>
        <w:t>8.4</w:t>
      </w:r>
      <w:r>
        <w:t xml:space="preserve">, </w:t>
      </w:r>
      <w:r>
        <w:rPr>
          <w:b/>
        </w:rPr>
        <w:t>A.2</w:t>
      </w:r>
      <w:r>
        <w:t xml:space="preserve">, </w:t>
      </w:r>
      <w:r>
        <w:rPr>
          <w:b/>
        </w:rPr>
        <w:t>A.9</w:t>
      </w:r>
      <w:r>
        <w:t>.</w:t>
      </w:r>
    </w:p>
    <w:p>
      <w:pPr>
        <w:pStyle w:val="ListBullet"/>
      </w:pPr>
      <w:r>
        <w:t xml:space="preserve">Departamento de Educación de Nunavut: </w:t>
      </w:r>
      <w:r>
        <w:rPr>
          <w:b/>
        </w:rPr>
        <w:t>F.7</w:t>
      </w:r>
      <w:r>
        <w:t>.</w:t>
      </w:r>
    </w:p>
    <w:p>
      <w:pPr>
        <w:pStyle w:val="ListBullet"/>
      </w:pPr>
      <w:r>
        <w:t xml:space="preserve">Departamento de Estado de EE. UU., Oficina del Historiador: </w:t>
      </w:r>
      <w:r>
        <w:rPr>
          <w:b/>
        </w:rPr>
        <w:t>9.2</w:t>
      </w:r>
      <w:r>
        <w:t>.</w:t>
      </w:r>
    </w:p>
    <w:p>
      <w:pPr>
        <w:pStyle w:val="ListBullet"/>
      </w:pPr>
      <w:r>
        <w:t xml:space="preserve">Diario de Sesiones de las Cortes Generales: </w:t>
      </w:r>
      <w:r>
        <w:rPr>
          <w:b/>
        </w:rPr>
        <w:t>6.1</w:t>
      </w:r>
      <w:r>
        <w:t xml:space="preserve">, </w:t>
      </w:r>
      <w:r>
        <w:rPr>
          <w:b/>
        </w:rPr>
        <w:t>8.1</w:t>
      </w:r>
      <w:r>
        <w:t xml:space="preserve">, </w:t>
      </w:r>
      <w:r>
        <w:rPr>
          <w:b/>
        </w:rPr>
        <w:t>8.5</w:t>
      </w:r>
      <w:r>
        <w:t xml:space="preserve">, </w:t>
      </w:r>
      <w:r>
        <w:rPr>
          <w:b/>
        </w:rPr>
        <w:t>A.1</w:t>
      </w:r>
      <w:r>
        <w:t xml:space="preserve">, </w:t>
      </w:r>
      <w:r>
        <w:rPr>
          <w:b/>
        </w:rPr>
        <w:t>A.4</w:t>
      </w:r>
      <w:r>
        <w:t>.</w:t>
      </w:r>
    </w:p>
    <w:p>
      <w:pPr>
        <w:pStyle w:val="ListBullet"/>
      </w:pPr>
      <w:r>
        <w:t xml:space="preserve">F. W. de Klerk, discurso de 2-2-1990: </w:t>
      </w:r>
      <w:r>
        <w:rPr>
          <w:b/>
        </w:rPr>
        <w:t>9.2</w:t>
      </w:r>
      <w:r>
        <w:t>.</w:t>
      </w:r>
    </w:p>
    <w:p>
      <w:pPr>
        <w:pStyle w:val="ListBullet"/>
      </w:pPr>
      <w:r>
        <w:t xml:space="preserve">Federación Española de Municipios y Provincias (FEMP): </w:t>
      </w:r>
      <w:r>
        <w:rPr>
          <w:b/>
        </w:rPr>
        <w:t>A.9</w:t>
      </w:r>
      <w:r>
        <w:t>.</w:t>
      </w:r>
    </w:p>
    <w:p>
      <w:pPr>
        <w:pStyle w:val="ListBullet"/>
      </w:pPr>
      <w:r>
        <w:t xml:space="preserve">Fiscalía General del Estado: </w:t>
      </w:r>
      <w:r>
        <w:rPr>
          <w:b/>
        </w:rPr>
        <w:t>7.2</w:t>
      </w:r>
      <w:r>
        <w:t xml:space="preserve">, </w:t>
      </w:r>
      <w:r>
        <w:rPr>
          <w:b/>
        </w:rPr>
        <w:t>7.7</w:t>
      </w:r>
      <w:r>
        <w:t>.</w:t>
      </w:r>
    </w:p>
    <w:p>
      <w:pPr>
        <w:pStyle w:val="ListBullet"/>
      </w:pPr>
      <w:r>
        <w:t xml:space="preserve">FROB: </w:t>
      </w:r>
      <w:r>
        <w:rPr>
          <w:b/>
        </w:rPr>
        <w:t>A.8</w:t>
      </w:r>
      <w:r>
        <w:t>.</w:t>
      </w:r>
    </w:p>
    <w:p>
      <w:pPr>
        <w:pStyle w:val="ListBullet"/>
      </w:pPr>
      <w:r>
        <w:t xml:space="preserve">Gaceta Oficial de Filipinas: </w:t>
      </w:r>
      <w:r>
        <w:rPr>
          <w:b/>
        </w:rPr>
        <w:t>9.2</w:t>
      </w:r>
      <w:r>
        <w:t>.</w:t>
      </w:r>
    </w:p>
    <w:p>
      <w:pPr>
        <w:pStyle w:val="ListBullet"/>
      </w:pPr>
      <w:r>
        <w:t xml:space="preserve">Gandhi Heritage Portal: </w:t>
      </w:r>
      <w:r>
        <w:rPr>
          <w:b/>
        </w:rPr>
        <w:t>9.2</w:t>
      </w:r>
      <w:r>
        <w:t>.</w:t>
      </w:r>
    </w:p>
    <w:p>
      <w:pPr>
        <w:pStyle w:val="ListBullet"/>
      </w:pPr>
      <w:r>
        <w:t xml:space="preserve">Generalitat de Catalunya: </w:t>
      </w:r>
      <w:r>
        <w:rPr>
          <w:b/>
        </w:rPr>
        <w:t>8.7</w:t>
      </w:r>
      <w:r>
        <w:t xml:space="preserve">, </w:t>
      </w:r>
      <w:r>
        <w:rPr>
          <w:b/>
        </w:rPr>
        <w:t>A.1</w:t>
      </w:r>
      <w:r>
        <w:t xml:space="preserve">, </w:t>
      </w:r>
      <w:r>
        <w:rPr>
          <w:b/>
        </w:rPr>
        <w:t>A.9</w:t>
      </w:r>
      <w:r>
        <w:t>.</w:t>
      </w:r>
    </w:p>
    <w:p>
      <w:pPr>
        <w:pStyle w:val="ListBullet"/>
      </w:pPr>
      <w:r>
        <w:t xml:space="preserve">Gobierno de Islandia: </w:t>
      </w:r>
      <w:r>
        <w:rPr>
          <w:b/>
        </w:rPr>
        <w:t>9.2</w:t>
      </w:r>
      <w:r>
        <w:t>.</w:t>
      </w:r>
    </w:p>
    <w:p>
      <w:pPr>
        <w:pStyle w:val="ListBullet"/>
      </w:pPr>
      <w:r>
        <w:t xml:space="preserve">Gobierno de los Países Bajos (Rijksoverheid): </w:t>
      </w:r>
      <w:r>
        <w:rPr>
          <w:b/>
        </w:rPr>
        <w:t>8.11</w:t>
      </w:r>
      <w:r>
        <w:t>.</w:t>
      </w:r>
    </w:p>
    <w:p>
      <w:pPr>
        <w:pStyle w:val="ListBullet"/>
      </w:pPr>
      <w:r>
        <w:t xml:space="preserve">Gobierno de Melilla, sesión de control (enero de 2025): </w:t>
      </w:r>
      <w:r>
        <w:rPr>
          <w:b/>
        </w:rPr>
        <w:t>A.9</w:t>
      </w:r>
      <w:r>
        <w:t>.</w:t>
      </w:r>
    </w:p>
    <w:p>
      <w:pPr>
        <w:pStyle w:val="ListBullet"/>
      </w:pPr>
      <w:r>
        <w:t xml:space="preserve">Instituto de la Memoria Nacional de Polonia (IPN): </w:t>
      </w:r>
      <w:r>
        <w:rPr>
          <w:b/>
        </w:rPr>
        <w:t>9.2</w:t>
      </w:r>
      <w:r>
        <w:t>.</w:t>
      </w:r>
    </w:p>
    <w:p>
      <w:pPr>
        <w:pStyle w:val="ListBullet"/>
      </w:pPr>
      <w:r>
        <w:t xml:space="preserve">Instituto Nacional de Administración Pública (INAP): </w:t>
      </w:r>
      <w:r>
        <w:rPr>
          <w:b/>
        </w:rPr>
        <w:t>A.9</w:t>
      </w:r>
      <w:r>
        <w:t>.</w:t>
      </w:r>
    </w:p>
    <w:p>
      <w:pPr>
        <w:pStyle w:val="ListBullet"/>
      </w:pPr>
      <w:r>
        <w:t xml:space="preserve">Instituto para el Estudio de los Regímenes Totalitarios (ÚSTR, Chequia): </w:t>
      </w:r>
      <w:r>
        <w:rPr>
          <w:b/>
        </w:rPr>
        <w:t>9.2</w:t>
      </w:r>
      <w:r>
        <w:t>.</w:t>
      </w:r>
    </w:p>
    <w:p>
      <w:pPr>
        <w:pStyle w:val="ListBullet"/>
      </w:pPr>
      <w:r>
        <w:t xml:space="preserve">INTOSAI, ISSAI 300: </w:t>
      </w:r>
      <w:r>
        <w:rPr>
          <w:b/>
        </w:rPr>
        <w:t>7.5</w:t>
      </w:r>
      <w:r>
        <w:t>.</w:t>
      </w:r>
    </w:p>
    <w:p>
      <w:pPr>
        <w:pStyle w:val="ListBullet"/>
      </w:pPr>
      <w:r>
        <w:t xml:space="preserve">Islandia, Comisión Investigadora Especial (2010): </w:t>
      </w:r>
      <w:r>
        <w:rPr>
          <w:b/>
        </w:rPr>
        <w:t>9.2</w:t>
      </w:r>
      <w:r>
        <w:t>.</w:t>
      </w:r>
    </w:p>
    <w:p>
      <w:pPr>
        <w:pStyle w:val="ListBullet"/>
      </w:pPr>
      <w:r>
        <w:t xml:space="preserve">Junta Electoral Central, acuerdo de 3-I-2020: </w:t>
      </w:r>
      <w:r>
        <w:rPr>
          <w:b/>
        </w:rPr>
        <w:t>A.4</w:t>
      </w:r>
      <w:r>
        <w:t>.</w:t>
      </w:r>
    </w:p>
    <w:p>
      <w:pPr>
        <w:pStyle w:val="ListBullet"/>
      </w:pPr>
      <w:r>
        <w:t xml:space="preserve">La Moncloa, Gobierno de España: </w:t>
      </w:r>
      <w:r>
        <w:rPr>
          <w:b/>
        </w:rPr>
        <w:t>7.2</w:t>
      </w:r>
      <w:r>
        <w:t xml:space="preserve">, </w:t>
      </w:r>
      <w:r>
        <w:rPr>
          <w:b/>
        </w:rPr>
        <w:t>7.5</w:t>
      </w:r>
      <w:r>
        <w:t xml:space="preserve">, </w:t>
      </w:r>
      <w:r>
        <w:rPr>
          <w:b/>
        </w:rPr>
        <w:t>8.5</w:t>
      </w:r>
      <w:r>
        <w:t xml:space="preserve">, </w:t>
      </w:r>
      <w:r>
        <w:rPr>
          <w:b/>
        </w:rPr>
        <w:t>11.3</w:t>
      </w:r>
      <w:r>
        <w:t xml:space="preserve">, </w:t>
      </w:r>
      <w:r>
        <w:rPr>
          <w:b/>
        </w:rPr>
        <w:t>A.2</w:t>
      </w:r>
      <w:r>
        <w:t xml:space="preserve">, </w:t>
      </w:r>
      <w:r>
        <w:rPr>
          <w:b/>
        </w:rPr>
        <w:t>C.1</w:t>
      </w:r>
      <w:r>
        <w:t>.</w:t>
      </w:r>
    </w:p>
    <w:p>
      <w:pPr>
        <w:pStyle w:val="ListBullet"/>
      </w:pPr>
      <w:r>
        <w:t xml:space="preserve">Ministerio de Defensa: </w:t>
      </w:r>
      <w:r>
        <w:rPr>
          <w:b/>
        </w:rPr>
        <w:t>A.1</w:t>
      </w:r>
      <w:r>
        <w:t>.</w:t>
      </w:r>
    </w:p>
    <w:p>
      <w:pPr>
        <w:pStyle w:val="ListBullet"/>
      </w:pPr>
      <w:r>
        <w:t xml:space="preserve">Ministerio de Educación de Polonia: </w:t>
      </w:r>
      <w:r>
        <w:rPr>
          <w:b/>
        </w:rPr>
        <w:t>9.2</w:t>
      </w:r>
      <w:r>
        <w:t>.</w:t>
      </w:r>
    </w:p>
    <w:p>
      <w:pPr>
        <w:pStyle w:val="ListBullet"/>
      </w:pPr>
      <w:r>
        <w:t xml:space="preserve">Ministerio de Trabajo, Comisión Internacional de Personas Expertas sobre la Democracia en el Trabajo: </w:t>
      </w:r>
      <w:r>
        <w:rPr>
          <w:b/>
        </w:rPr>
        <w:t>A.8</w:t>
      </w:r>
      <w:r>
        <w:t>.</w:t>
      </w:r>
    </w:p>
    <w:p>
      <w:pPr>
        <w:pStyle w:val="ListBullet"/>
      </w:pPr>
      <w:r>
        <w:t xml:space="preserve">Ministerio para la Transición Ecológica y el Reto Demográfico, nota de prensa: </w:t>
      </w:r>
      <w:r>
        <w:rPr>
          <w:b/>
        </w:rPr>
        <w:t>A.2</w:t>
      </w:r>
      <w:r>
        <w:t>.</w:t>
      </w:r>
    </w:p>
    <w:p>
      <w:pPr>
        <w:pStyle w:val="ListBullet"/>
      </w:pPr>
      <w:r>
        <w:t xml:space="preserve">NDI y Centro Carter, misión de observación: </w:t>
      </w:r>
      <w:r>
        <w:rPr>
          <w:b/>
        </w:rPr>
        <w:t>9.2</w:t>
      </w:r>
      <w:r>
        <w:t>.</w:t>
      </w:r>
    </w:p>
    <w:p>
      <w:pPr>
        <w:pStyle w:val="ListBullet"/>
      </w:pPr>
      <w:r>
        <w:t xml:space="preserve">Oficina de Prensa del Gobierno de la India: </w:t>
      </w:r>
      <w:r>
        <w:rPr>
          <w:b/>
        </w:rPr>
        <w:t>9.2</w:t>
      </w:r>
      <w:r>
        <w:t>.</w:t>
      </w:r>
    </w:p>
    <w:p>
      <w:pPr>
        <w:pStyle w:val="ListBullet"/>
      </w:pPr>
      <w:r>
        <w:t xml:space="preserve">OSCE/ODIHR: </w:t>
      </w:r>
      <w:r>
        <w:rPr>
          <w:b/>
        </w:rPr>
        <w:t>9.2</w:t>
      </w:r>
      <w:r>
        <w:t>.</w:t>
      </w:r>
    </w:p>
    <w:p>
      <w:pPr>
        <w:pStyle w:val="ListBullet"/>
      </w:pPr>
      <w:r>
        <w:t xml:space="preserve">OTAN: </w:t>
      </w:r>
      <w:r>
        <w:rPr>
          <w:b/>
        </w:rPr>
        <w:t>A.1</w:t>
      </w:r>
      <w:r>
        <w:t>.</w:t>
      </w:r>
    </w:p>
    <w:p>
      <w:pPr>
        <w:pStyle w:val="ListBullet"/>
      </w:pPr>
      <w:r>
        <w:t xml:space="preserve">Pacto Antitransfuguismo (1998, III Adenda 2020): </w:t>
      </w:r>
      <w:r>
        <w:rPr>
          <w:b/>
        </w:rPr>
        <w:t>A.4</w:t>
      </w:r>
      <w:r>
        <w:t>.</w:t>
      </w:r>
    </w:p>
    <w:p>
      <w:pPr>
        <w:pStyle w:val="ListBullet"/>
      </w:pPr>
      <w:r>
        <w:t xml:space="preserve">Parks Australia, ficha «Tjukurpa»: </w:t>
      </w:r>
      <w:r>
        <w:rPr>
          <w:b/>
        </w:rPr>
        <w:t>1.4</w:t>
      </w:r>
      <w:r>
        <w:t>.</w:t>
      </w:r>
    </w:p>
    <w:p>
      <w:pPr>
        <w:pStyle w:val="ListBullet"/>
      </w:pPr>
      <w:r>
        <w:t xml:space="preserve">Parlamento del Reino Unido: </w:t>
      </w:r>
      <w:r>
        <w:rPr>
          <w:b/>
        </w:rPr>
        <w:t>9.2</w:t>
      </w:r>
      <w:r>
        <w:t>.</w:t>
      </w:r>
    </w:p>
    <w:p>
      <w:pPr>
        <w:pStyle w:val="ListBullet"/>
      </w:pPr>
      <w:r>
        <w:t xml:space="preserve">Parlamento Europeo, Observatorio Legislativo: </w:t>
      </w:r>
      <w:r>
        <w:rPr>
          <w:b/>
        </w:rPr>
        <w:t>8.11</w:t>
      </w:r>
      <w:r>
        <w:t>.</w:t>
      </w:r>
    </w:p>
    <w:p>
      <w:pPr>
        <w:pStyle w:val="ListBullet"/>
      </w:pPr>
      <w:r>
        <w:t xml:space="preserve">Portal de la Transparencia: </w:t>
      </w:r>
      <w:r>
        <w:rPr>
          <w:b/>
        </w:rPr>
        <w:t>C.1</w:t>
      </w:r>
      <w:r>
        <w:t xml:space="preserve">, </w:t>
      </w:r>
      <w:r>
        <w:rPr>
          <w:b/>
        </w:rPr>
        <w:t>C.2</w:t>
      </w:r>
      <w:r>
        <w:t>.</w:t>
      </w:r>
    </w:p>
    <w:p>
      <w:pPr>
        <w:pStyle w:val="ListBullet"/>
      </w:pPr>
      <w:r>
        <w:t xml:space="preserve">Presidencia de la República Checa: </w:t>
      </w:r>
      <w:r>
        <w:rPr>
          <w:b/>
        </w:rPr>
        <w:t>9.2</w:t>
      </w:r>
      <w:r>
        <w:t>.</w:t>
      </w:r>
    </w:p>
    <w:p>
      <w:pPr>
        <w:pStyle w:val="ListBullet"/>
      </w:pPr>
      <w:r>
        <w:t xml:space="preserve">Presidencia de los Estados Unidos: </w:t>
      </w:r>
      <w:r>
        <w:rPr>
          <w:b/>
        </w:rPr>
        <w:t>8.1</w:t>
      </w:r>
      <w:r>
        <w:t xml:space="preserve">, </w:t>
      </w:r>
      <w:r>
        <w:rPr>
          <w:b/>
        </w:rPr>
        <w:t>9.2</w:t>
      </w:r>
      <w:r>
        <w:t>.</w:t>
      </w:r>
    </w:p>
    <w:p>
      <w:pPr>
        <w:pStyle w:val="ListBullet"/>
      </w:pPr>
      <w:r>
        <w:t xml:space="preserve">Sejm de Polonia: </w:t>
      </w:r>
      <w:r>
        <w:rPr>
          <w:b/>
        </w:rPr>
        <w:t>9.2</w:t>
      </w:r>
      <w:r>
        <w:t>.</w:t>
      </w:r>
    </w:p>
    <w:p>
      <w:pPr>
        <w:pStyle w:val="ListBullet"/>
      </w:pPr>
      <w:r>
        <w:t xml:space="preserve">Senado: </w:t>
      </w:r>
      <w:r>
        <w:rPr>
          <w:b/>
        </w:rPr>
        <w:t>8.6</w:t>
      </w:r>
      <w:r>
        <w:t xml:space="preserve">, </w:t>
      </w:r>
      <w:r>
        <w:rPr>
          <w:b/>
        </w:rPr>
        <w:t>C.2</w:t>
      </w:r>
      <w:r>
        <w:t>.</w:t>
      </w:r>
    </w:p>
    <w:p>
      <w:pPr>
        <w:pStyle w:val="ListBullet"/>
      </w:pPr>
      <w:r>
        <w:t xml:space="preserve">Sudáfrica, Comisión de la Verdad y la Reconciliación: </w:t>
      </w:r>
      <w:r>
        <w:rPr>
          <w:b/>
        </w:rPr>
        <w:t>2.2</w:t>
      </w:r>
      <w:r>
        <w:t>.</w:t>
      </w:r>
    </w:p>
    <w:p>
      <w:pPr>
        <w:pStyle w:val="ListBullet"/>
      </w:pPr>
      <w:r>
        <w:t xml:space="preserve">Tribunal de Cuentas: </w:t>
      </w:r>
      <w:r>
        <w:rPr>
          <w:b/>
        </w:rPr>
        <w:t>6.4</w:t>
      </w:r>
      <w:r>
        <w:t xml:space="preserve">, </w:t>
      </w:r>
      <w:r>
        <w:rPr>
          <w:b/>
        </w:rPr>
        <w:t>7.2</w:t>
      </w:r>
      <w:r>
        <w:t xml:space="preserve">, </w:t>
      </w:r>
      <w:r>
        <w:rPr>
          <w:b/>
        </w:rPr>
        <w:t>7.5</w:t>
      </w:r>
      <w:r>
        <w:t xml:space="preserve">, </w:t>
      </w:r>
      <w:r>
        <w:rPr>
          <w:b/>
        </w:rPr>
        <w:t>8.7</w:t>
      </w:r>
      <w:r>
        <w:t xml:space="preserve">, </w:t>
      </w:r>
      <w:r>
        <w:rPr>
          <w:b/>
        </w:rPr>
        <w:t>9.1</w:t>
      </w:r>
      <w:r>
        <w:t xml:space="preserve">, </w:t>
      </w:r>
      <w:r>
        <w:rPr>
          <w:b/>
        </w:rPr>
        <w:t>11.3</w:t>
      </w:r>
      <w:r>
        <w:t xml:space="preserve">, </w:t>
      </w:r>
      <w:r>
        <w:rPr>
          <w:b/>
        </w:rPr>
        <w:t>A.2</w:t>
      </w:r>
      <w:r>
        <w:t xml:space="preserve">, </w:t>
      </w:r>
      <w:r>
        <w:rPr>
          <w:b/>
        </w:rPr>
        <w:t>A.3</w:t>
      </w:r>
      <w:r>
        <w:t xml:space="preserve">, </w:t>
      </w:r>
      <w:r>
        <w:rPr>
          <w:b/>
        </w:rPr>
        <w:t>A.8</w:t>
      </w:r>
      <w:r>
        <w:t xml:space="preserve">, </w:t>
      </w:r>
      <w:r>
        <w:rPr>
          <w:b/>
        </w:rPr>
        <w:t>C.2</w:t>
      </w:r>
      <w:r>
        <w:t>.</w:t>
      </w:r>
    </w:p>
    <w:p>
      <w:pPr>
        <w:pStyle w:val="ListBullet"/>
      </w:pPr>
      <w:r>
        <w:t xml:space="preserve">UNESCO: </w:t>
      </w:r>
      <w:r>
        <w:rPr>
          <w:b/>
        </w:rPr>
        <w:t>0.1</w:t>
      </w:r>
      <w:r>
        <w:t xml:space="preserve">, </w:t>
      </w:r>
      <w:r>
        <w:rPr>
          <w:b/>
        </w:rPr>
        <w:t>1.5</w:t>
      </w:r>
      <w:r>
        <w:t xml:space="preserve">, </w:t>
      </w:r>
      <w:r>
        <w:rPr>
          <w:b/>
        </w:rPr>
        <w:t>F.7</w:t>
      </w:r>
      <w:r>
        <w:t>.</w:t>
      </w:r>
    </w:p>
    <w:p>
      <w:r>
        <w:rPr>
          <w:b/>
        </w:rPr>
        <w:t>Los textos sagrados y de las tradiciones</w:t>
      </w:r>
      <w:r>
        <w:t xml:space="preserve"> (66 fuentes)</w:t>
      </w:r>
    </w:p>
    <w:p>
      <w:pPr>
        <w:pStyle w:val="ListBullet"/>
      </w:pPr>
      <w:r>
        <w:t xml:space="preserve">Aṅguttara Nikāya: </w:t>
      </w:r>
      <w:r>
        <w:rPr>
          <w:b/>
        </w:rPr>
        <w:t>J.3</w:t>
      </w:r>
      <w:r>
        <w:t>.</w:t>
      </w:r>
    </w:p>
    <w:p>
      <w:pPr>
        <w:pStyle w:val="ListBullet"/>
      </w:pPr>
      <w:r>
        <w:t xml:space="preserve">Bhagavad Gita: </w:t>
      </w:r>
      <w:r>
        <w:rPr>
          <w:b/>
        </w:rPr>
        <w:t>1.9</w:t>
      </w:r>
      <w:r>
        <w:t xml:space="preserve">, </w:t>
      </w:r>
      <w:r>
        <w:rPr>
          <w:b/>
        </w:rPr>
        <w:t>3.6</w:t>
      </w:r>
      <w:r>
        <w:t xml:space="preserve">, </w:t>
      </w:r>
      <w:r>
        <w:rPr>
          <w:b/>
        </w:rPr>
        <w:t>4.2</w:t>
      </w:r>
      <w:r>
        <w:t xml:space="preserve">, </w:t>
      </w:r>
      <w:r>
        <w:rPr>
          <w:b/>
        </w:rPr>
        <w:t>4.3</w:t>
      </w:r>
      <w:r>
        <w:t xml:space="preserve">, </w:t>
      </w:r>
      <w:r>
        <w:rPr>
          <w:b/>
        </w:rPr>
        <w:t>4.4</w:t>
      </w:r>
      <w:r>
        <w:t xml:space="preserve">, </w:t>
      </w:r>
      <w:r>
        <w:rPr>
          <w:b/>
        </w:rPr>
        <w:t>10.3</w:t>
      </w:r>
      <w:r>
        <w:t xml:space="preserve">, </w:t>
      </w:r>
      <w:r>
        <w:rPr>
          <w:b/>
        </w:rPr>
        <w:t>I.4</w:t>
      </w:r>
      <w:r>
        <w:t xml:space="preserve">, </w:t>
      </w:r>
      <w:r>
        <w:rPr>
          <w:b/>
        </w:rPr>
        <w:t>J.3</w:t>
      </w:r>
      <w:r>
        <w:t>.</w:t>
      </w:r>
    </w:p>
    <w:p>
      <w:pPr>
        <w:pStyle w:val="ListBullet"/>
      </w:pPr>
      <w:r>
        <w:t xml:space="preserve">Catecismo de la Iglesia católica: </w:t>
      </w:r>
      <w:r>
        <w:rPr>
          <w:b/>
        </w:rPr>
        <w:t>0.3</w:t>
      </w:r>
      <w:r>
        <w:t>.</w:t>
      </w:r>
    </w:p>
    <w:p>
      <w:pPr>
        <w:pStyle w:val="ListBullet"/>
      </w:pPr>
      <w:r>
        <w:t xml:space="preserve">Cilindro de Ciro: </w:t>
      </w:r>
      <w:r>
        <w:rPr>
          <w:b/>
        </w:rPr>
        <w:t>6.2</w:t>
      </w:r>
      <w:r>
        <w:t>.</w:t>
      </w:r>
    </w:p>
    <w:p>
      <w:pPr>
        <w:pStyle w:val="ListBullet"/>
      </w:pPr>
      <w:r>
        <w:t xml:space="preserve">Código de Hammurabi: </w:t>
      </w:r>
      <w:r>
        <w:rPr>
          <w:b/>
        </w:rPr>
        <w:t>3.2</w:t>
      </w:r>
      <w:r>
        <w:t xml:space="preserve">, </w:t>
      </w:r>
      <w:r>
        <w:rPr>
          <w:b/>
        </w:rPr>
        <w:t>3.3</w:t>
      </w:r>
      <w:r>
        <w:t xml:space="preserve">, </w:t>
      </w:r>
      <w:r>
        <w:rPr>
          <w:b/>
        </w:rPr>
        <w:t>F.4</w:t>
      </w:r>
      <w:r>
        <w:t>.</w:t>
      </w:r>
    </w:p>
    <w:p>
      <w:pPr>
        <w:pStyle w:val="ListBullet"/>
      </w:pPr>
      <w:r>
        <w:t xml:space="preserve">Código de Justiniano: </w:t>
      </w:r>
      <w:r>
        <w:rPr>
          <w:b/>
        </w:rPr>
        <w:t>1.7</w:t>
      </w:r>
      <w:r>
        <w:t xml:space="preserve">, </w:t>
      </w:r>
      <w:r>
        <w:rPr>
          <w:b/>
        </w:rPr>
        <w:t>H.10</w:t>
      </w:r>
      <w:r>
        <w:t>.</w:t>
      </w:r>
    </w:p>
    <w:p>
      <w:pPr>
        <w:pStyle w:val="ListBullet"/>
      </w:pPr>
      <w:r>
        <w:t xml:space="preserve">Código de Ur-Namma: </w:t>
      </w:r>
      <w:r>
        <w:rPr>
          <w:b/>
        </w:rPr>
        <w:t>3.2</w:t>
      </w:r>
      <w:r>
        <w:t xml:space="preserve">, </w:t>
      </w:r>
      <w:r>
        <w:rPr>
          <w:b/>
        </w:rPr>
        <w:t>F.4</w:t>
      </w:r>
      <w:r>
        <w:t>.</w:t>
      </w:r>
    </w:p>
    <w:p>
      <w:pPr>
        <w:pStyle w:val="ListBullet"/>
      </w:pPr>
      <w:r>
        <w:t xml:space="preserve">Comentario de Zuo: </w:t>
      </w:r>
      <w:r>
        <w:rPr>
          <w:b/>
        </w:rPr>
        <w:t>3.2</w:t>
      </w:r>
      <w:r>
        <w:t xml:space="preserve">, </w:t>
      </w:r>
      <w:r>
        <w:rPr>
          <w:b/>
        </w:rPr>
        <w:t>F.3</w:t>
      </w:r>
      <w:r>
        <w:t>.</w:t>
      </w:r>
    </w:p>
    <w:p>
      <w:pPr>
        <w:pStyle w:val="ListBullet"/>
      </w:pPr>
      <w:r>
        <w:t xml:space="preserve">Concilio de Nicea, cánones: </w:t>
      </w:r>
      <w:r>
        <w:rPr>
          <w:b/>
        </w:rPr>
        <w:t>3.3</w:t>
      </w:r>
      <w:r>
        <w:t>.</w:t>
      </w:r>
    </w:p>
    <w:p>
      <w:pPr>
        <w:pStyle w:val="ListBullet"/>
      </w:pPr>
      <w:r>
        <w:t xml:space="preserve">Confucio, Analectas: </w:t>
      </w:r>
      <w:r>
        <w:rPr>
          <w:b/>
        </w:rPr>
        <w:t>0.5</w:t>
      </w:r>
      <w:r>
        <w:t xml:space="preserve">, </w:t>
      </w:r>
      <w:r>
        <w:rPr>
          <w:b/>
        </w:rPr>
        <w:t>1.5</w:t>
      </w:r>
      <w:r>
        <w:t xml:space="preserve">, </w:t>
      </w:r>
      <w:r>
        <w:rPr>
          <w:b/>
        </w:rPr>
        <w:t>2.3</w:t>
      </w:r>
      <w:r>
        <w:t xml:space="preserve">, </w:t>
      </w:r>
      <w:r>
        <w:rPr>
          <w:b/>
        </w:rPr>
        <w:t>2.5</w:t>
      </w:r>
      <w:r>
        <w:t xml:space="preserve">, </w:t>
      </w:r>
      <w:r>
        <w:rPr>
          <w:b/>
        </w:rPr>
        <w:t>3.2</w:t>
      </w:r>
      <w:r>
        <w:t xml:space="preserve">, </w:t>
      </w:r>
      <w:r>
        <w:rPr>
          <w:b/>
        </w:rPr>
        <w:t>7.5</w:t>
      </w:r>
      <w:r>
        <w:t xml:space="preserve">, </w:t>
      </w:r>
      <w:r>
        <w:rPr>
          <w:b/>
        </w:rPr>
        <w:t>11.3</w:t>
      </w:r>
      <w:r>
        <w:t xml:space="preserve">, </w:t>
      </w:r>
      <w:r>
        <w:rPr>
          <w:b/>
        </w:rPr>
        <w:t>F.3</w:t>
      </w:r>
      <w:r>
        <w:t xml:space="preserve">, </w:t>
      </w:r>
      <w:r>
        <w:rPr>
          <w:b/>
        </w:rPr>
        <w:t>I.3</w:t>
      </w:r>
      <w:r>
        <w:t xml:space="preserve">, </w:t>
      </w:r>
      <w:r>
        <w:rPr>
          <w:b/>
        </w:rPr>
        <w:t>J.3</w:t>
      </w:r>
      <w:r>
        <w:t>.</w:t>
      </w:r>
    </w:p>
    <w:p>
      <w:pPr>
        <w:pStyle w:val="ListBullet"/>
      </w:pPr>
      <w:r>
        <w:t xml:space="preserve">Daodejing: </w:t>
      </w:r>
      <w:r>
        <w:rPr>
          <w:b/>
        </w:rPr>
        <w:t>1.9</w:t>
      </w:r>
      <w:r>
        <w:t xml:space="preserve">, </w:t>
      </w:r>
      <w:r>
        <w:rPr>
          <w:b/>
        </w:rPr>
        <w:t>2.3</w:t>
      </w:r>
      <w:r>
        <w:t xml:space="preserve">, </w:t>
      </w:r>
      <w:r>
        <w:rPr>
          <w:b/>
        </w:rPr>
        <w:t>3.2</w:t>
      </w:r>
      <w:r>
        <w:t xml:space="preserve">, </w:t>
      </w:r>
      <w:r>
        <w:rPr>
          <w:b/>
        </w:rPr>
        <w:t>3.6</w:t>
      </w:r>
      <w:r>
        <w:t xml:space="preserve">, </w:t>
      </w:r>
      <w:r>
        <w:rPr>
          <w:b/>
        </w:rPr>
        <w:t>10.3</w:t>
      </w:r>
      <w:r>
        <w:t xml:space="preserve">, </w:t>
      </w:r>
      <w:r>
        <w:rPr>
          <w:b/>
        </w:rPr>
        <w:t>F.3</w:t>
      </w:r>
      <w:r>
        <w:t xml:space="preserve">, </w:t>
      </w:r>
      <w:r>
        <w:rPr>
          <w:b/>
        </w:rPr>
        <w:t>J.1</w:t>
      </w:r>
      <w:r>
        <w:t>.</w:t>
      </w:r>
    </w:p>
    <w:p>
      <w:pPr>
        <w:pStyle w:val="ListBullet"/>
      </w:pPr>
      <w:r>
        <w:t xml:space="preserve">Decretales de Gregorio IX: </w:t>
      </w:r>
      <w:r>
        <w:rPr>
          <w:b/>
        </w:rPr>
        <w:t>H.10</w:t>
      </w:r>
      <w:r>
        <w:t>.</w:t>
      </w:r>
    </w:p>
    <w:p>
      <w:pPr>
        <w:pStyle w:val="ListBullet"/>
      </w:pPr>
      <w:r>
        <w:t xml:space="preserve">Decreto de Graciano: </w:t>
      </w:r>
      <w:r>
        <w:rPr>
          <w:b/>
        </w:rPr>
        <w:t>H.10</w:t>
      </w:r>
      <w:r>
        <w:t>.</w:t>
      </w:r>
    </w:p>
    <w:p>
      <w:pPr>
        <w:pStyle w:val="ListBullet"/>
      </w:pPr>
      <w:r>
        <w:t xml:space="preserve">Dhammapada: </w:t>
      </w:r>
      <w:r>
        <w:rPr>
          <w:b/>
        </w:rPr>
        <w:t>1.4</w:t>
      </w:r>
      <w:r>
        <w:t xml:space="preserve">, </w:t>
      </w:r>
      <w:r>
        <w:rPr>
          <w:b/>
        </w:rPr>
        <w:t>2.3</w:t>
      </w:r>
      <w:r>
        <w:t xml:space="preserve">, </w:t>
      </w:r>
      <w:r>
        <w:rPr>
          <w:b/>
        </w:rPr>
        <w:t>4.2</w:t>
      </w:r>
      <w:r>
        <w:t xml:space="preserve">, </w:t>
      </w:r>
      <w:r>
        <w:rPr>
          <w:b/>
        </w:rPr>
        <w:t>4.4</w:t>
      </w:r>
      <w:r>
        <w:t xml:space="preserve">, </w:t>
      </w:r>
      <w:r>
        <w:rPr>
          <w:b/>
        </w:rPr>
        <w:t>F.5</w:t>
      </w:r>
      <w:r>
        <w:t xml:space="preserve">, </w:t>
      </w:r>
      <w:r>
        <w:rPr>
          <w:b/>
        </w:rPr>
        <w:t>I.4</w:t>
      </w:r>
      <w:r>
        <w:t>.</w:t>
      </w:r>
    </w:p>
    <w:p>
      <w:pPr>
        <w:pStyle w:val="ListBullet"/>
      </w:pPr>
      <w:r>
        <w:t xml:space="preserve">Dictatus Papae: </w:t>
      </w:r>
      <w:r>
        <w:rPr>
          <w:b/>
        </w:rPr>
        <w:t>6.2</w:t>
      </w:r>
      <w:r>
        <w:t>.</w:t>
      </w:r>
    </w:p>
    <w:p>
      <w:pPr>
        <w:pStyle w:val="ListBullet"/>
      </w:pPr>
      <w:r>
        <w:t xml:space="preserve">Digesto de Justiniano: </w:t>
      </w:r>
      <w:r>
        <w:rPr>
          <w:b/>
        </w:rPr>
        <w:t>1.5</w:t>
      </w:r>
      <w:r>
        <w:t xml:space="preserve">, </w:t>
      </w:r>
      <w:r>
        <w:rPr>
          <w:b/>
        </w:rPr>
        <w:t>8.5</w:t>
      </w:r>
      <w:r>
        <w:t xml:space="preserve">, </w:t>
      </w:r>
      <w:r>
        <w:rPr>
          <w:b/>
        </w:rPr>
        <w:t>G.6</w:t>
      </w:r>
      <w:r>
        <w:t xml:space="preserve">, </w:t>
      </w:r>
      <w:r>
        <w:rPr>
          <w:b/>
        </w:rPr>
        <w:t>H.10</w:t>
      </w:r>
      <w:r>
        <w:t>.</w:t>
      </w:r>
    </w:p>
    <w:p>
      <w:pPr>
        <w:pStyle w:val="ListBullet"/>
      </w:pPr>
      <w:r>
        <w:t xml:space="preserve">Digha Nikaya: </w:t>
      </w:r>
      <w:r>
        <w:rPr>
          <w:b/>
        </w:rPr>
        <w:t>1.3</w:t>
      </w:r>
      <w:r>
        <w:t xml:space="preserve">, </w:t>
      </w:r>
      <w:r>
        <w:rPr>
          <w:b/>
        </w:rPr>
        <w:t>F.5</w:t>
      </w:r>
      <w:r>
        <w:t>.</w:t>
      </w:r>
    </w:p>
    <w:p>
      <w:pPr>
        <w:pStyle w:val="ListBullet"/>
      </w:pPr>
      <w:r>
        <w:t xml:space="preserve">Edictos de Ashoka: </w:t>
      </w:r>
      <w:r>
        <w:rPr>
          <w:b/>
        </w:rPr>
        <w:t>6.2</w:t>
      </w:r>
      <w:r>
        <w:t xml:space="preserve">, </w:t>
      </w:r>
      <w:r>
        <w:rPr>
          <w:b/>
        </w:rPr>
        <w:t>F.5</w:t>
      </w:r>
      <w:r>
        <w:t>.</w:t>
      </w:r>
    </w:p>
    <w:p>
      <w:pPr>
        <w:pStyle w:val="ListBullet"/>
      </w:pPr>
      <w:r>
        <w:t xml:space="preserve">El Avesta: </w:t>
      </w:r>
      <w:r>
        <w:rPr>
          <w:b/>
        </w:rPr>
        <w:t>1.9</w:t>
      </w:r>
      <w:r>
        <w:t xml:space="preserve">, </w:t>
      </w:r>
      <w:r>
        <w:rPr>
          <w:b/>
        </w:rPr>
        <w:t>3.2</w:t>
      </w:r>
      <w:r>
        <w:t xml:space="preserve">, </w:t>
      </w:r>
      <w:r>
        <w:rPr>
          <w:b/>
        </w:rPr>
        <w:t>4.2</w:t>
      </w:r>
      <w:r>
        <w:t xml:space="preserve">, </w:t>
      </w:r>
      <w:r>
        <w:rPr>
          <w:b/>
        </w:rPr>
        <w:t>4.4</w:t>
      </w:r>
      <w:r>
        <w:t xml:space="preserve">, </w:t>
      </w:r>
      <w:r>
        <w:rPr>
          <w:b/>
        </w:rPr>
        <w:t>F.2</w:t>
      </w:r>
      <w:r>
        <w:t xml:space="preserve">, </w:t>
      </w:r>
      <w:r>
        <w:rPr>
          <w:b/>
        </w:rPr>
        <w:t>J.3</w:t>
      </w:r>
      <w:r>
        <w:t>.</w:t>
      </w:r>
    </w:p>
    <w:p>
      <w:pPr>
        <w:pStyle w:val="ListBullet"/>
      </w:pPr>
      <w:r>
        <w:t xml:space="preserve">El campesino elocuente: </w:t>
      </w:r>
      <w:r>
        <w:rPr>
          <w:b/>
        </w:rPr>
        <w:t>F.4</w:t>
      </w:r>
      <w:r>
        <w:t>.</w:t>
      </w:r>
    </w:p>
    <w:p>
      <w:pPr>
        <w:pStyle w:val="ListBullet"/>
      </w:pPr>
      <w:r>
        <w:t xml:space="preserve">El Corán, traducción de Julio Cortés: </w:t>
      </w:r>
      <w:r>
        <w:rPr>
          <w:b/>
        </w:rPr>
        <w:t>0.5</w:t>
      </w:r>
      <w:r>
        <w:t xml:space="preserve">, </w:t>
      </w:r>
      <w:r>
        <w:rPr>
          <w:b/>
        </w:rPr>
        <w:t>1.4</w:t>
      </w:r>
      <w:r>
        <w:t xml:space="preserve">, </w:t>
      </w:r>
      <w:r>
        <w:rPr>
          <w:b/>
        </w:rPr>
        <w:t>2.3</w:t>
      </w:r>
      <w:r>
        <w:t xml:space="preserve">, </w:t>
      </w:r>
      <w:r>
        <w:rPr>
          <w:b/>
        </w:rPr>
        <w:t>2.4</w:t>
      </w:r>
      <w:r>
        <w:t xml:space="preserve">, </w:t>
      </w:r>
      <w:r>
        <w:rPr>
          <w:b/>
        </w:rPr>
        <w:t>3.2</w:t>
      </w:r>
      <w:r>
        <w:t xml:space="preserve">, </w:t>
      </w:r>
      <w:r>
        <w:rPr>
          <w:b/>
        </w:rPr>
        <w:t>3.3</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6.2</w:t>
      </w:r>
      <w:r>
        <w:t xml:space="preserve">, </w:t>
      </w:r>
      <w:r>
        <w:rPr>
          <w:b/>
        </w:rPr>
        <w:t>10.1</w:t>
      </w:r>
      <w:r>
        <w:t xml:space="preserve">, </w:t>
      </w:r>
      <w:r>
        <w:rPr>
          <w:b/>
        </w:rPr>
        <w:t>11.3</w:t>
      </w:r>
      <w:r>
        <w:t xml:space="preserve">, </w:t>
      </w:r>
      <w:r>
        <w:rPr>
          <w:b/>
        </w:rPr>
        <w:t>F.2</w:t>
      </w:r>
      <w:r>
        <w:t xml:space="preserve">, </w:t>
      </w:r>
      <w:r>
        <w:rPr>
          <w:b/>
        </w:rPr>
        <w:t>I.2</w:t>
      </w:r>
      <w:r>
        <w:t xml:space="preserve">, </w:t>
      </w:r>
      <w:r>
        <w:rPr>
          <w:b/>
        </w:rPr>
        <w:t>J.3</w:t>
      </w:r>
      <w:r>
        <w:t>.</w:t>
      </w:r>
    </w:p>
    <w:p>
      <w:pPr>
        <w:pStyle w:val="ListBullet"/>
      </w:pPr>
      <w:r>
        <w:t xml:space="preserve">El Talmud: </w:t>
      </w:r>
      <w:r>
        <w:rPr>
          <w:b/>
        </w:rPr>
        <w:t>0.5</w:t>
      </w:r>
      <w:r>
        <w:t xml:space="preserve">, </w:t>
      </w:r>
      <w:r>
        <w:rPr>
          <w:b/>
        </w:rPr>
        <w:t>2.3</w:t>
      </w:r>
      <w:r>
        <w:t xml:space="preserve">, </w:t>
      </w:r>
      <w:r>
        <w:rPr>
          <w:b/>
        </w:rPr>
        <w:t>3.2</w:t>
      </w:r>
      <w:r>
        <w:t xml:space="preserve">, </w:t>
      </w:r>
      <w:r>
        <w:rPr>
          <w:b/>
        </w:rPr>
        <w:t>F.2</w:t>
      </w:r>
      <w:r>
        <w:t>.</w:t>
      </w:r>
    </w:p>
    <w:p>
      <w:pPr>
        <w:pStyle w:val="ListBullet"/>
      </w:pPr>
      <w:r>
        <w:t xml:space="preserve">Enseñanza para Merikare: </w:t>
      </w:r>
      <w:r>
        <w:rPr>
          <w:b/>
        </w:rPr>
        <w:t>F.4</w:t>
      </w:r>
      <w:r>
        <w:t>.</w:t>
      </w:r>
    </w:p>
    <w:p>
      <w:pPr>
        <w:pStyle w:val="ListBullet"/>
      </w:pPr>
      <w:r>
        <w:t xml:space="preserve">Enuma Elish: </w:t>
      </w:r>
      <w:r>
        <w:rPr>
          <w:b/>
        </w:rPr>
        <w:t>1.9</w:t>
      </w:r>
      <w:r>
        <w:t xml:space="preserve">, </w:t>
      </w:r>
      <w:r>
        <w:rPr>
          <w:b/>
        </w:rPr>
        <w:t>2.3</w:t>
      </w:r>
      <w:r>
        <w:t xml:space="preserve">, </w:t>
      </w:r>
      <w:r>
        <w:rPr>
          <w:b/>
        </w:rPr>
        <w:t>4.2</w:t>
      </w:r>
      <w:r>
        <w:t>.</w:t>
      </w:r>
    </w:p>
    <w:p>
      <w:pPr>
        <w:pStyle w:val="ListBullet"/>
      </w:pPr>
      <w:r>
        <w:t xml:space="preserve">Estrategias de los Reinos Combatientes: </w:t>
      </w:r>
      <w:r>
        <w:rPr>
          <w:b/>
        </w:rPr>
        <w:t>F.3</w:t>
      </w:r>
      <w:r>
        <w:t>.</w:t>
      </w:r>
    </w:p>
    <w:p>
      <w:pPr>
        <w:pStyle w:val="ListBullet"/>
      </w:pPr>
      <w:r>
        <w:t xml:space="preserve">Gran Ley de la Paz (haudenosaunee): </w:t>
      </w:r>
      <w:r>
        <w:rPr>
          <w:b/>
        </w:rPr>
        <w:t>3.2</w:t>
      </w:r>
      <w:r>
        <w:t xml:space="preserve">, </w:t>
      </w:r>
      <w:r>
        <w:rPr>
          <w:b/>
        </w:rPr>
        <w:t>F.6</w:t>
      </w:r>
      <w:r>
        <w:t xml:space="preserve">, </w:t>
      </w:r>
      <w:r>
        <w:rPr>
          <w:b/>
        </w:rPr>
        <w:t>F.7</w:t>
      </w:r>
      <w:r>
        <w:t>.</w:t>
      </w:r>
    </w:p>
    <w:p>
      <w:pPr>
        <w:pStyle w:val="ListBullet"/>
      </w:pPr>
      <w:r>
        <w:t xml:space="preserve">Guru Granth Sahib: </w:t>
      </w:r>
      <w:r>
        <w:rPr>
          <w:b/>
        </w:rPr>
        <w:t>F.5</w:t>
      </w:r>
      <w:r>
        <w:t>.</w:t>
      </w:r>
    </w:p>
    <w:p>
      <w:pPr>
        <w:pStyle w:val="ListBullet"/>
      </w:pPr>
      <w:r>
        <w:t xml:space="preserve">Han Feizi: </w:t>
      </w:r>
      <w:r>
        <w:rPr>
          <w:b/>
        </w:rPr>
        <w:t>F.3</w:t>
      </w:r>
      <w:r>
        <w:t>.</w:t>
      </w:r>
    </w:p>
    <w:p>
      <w:pPr>
        <w:pStyle w:val="ListBullet"/>
      </w:pPr>
      <w:r>
        <w:t xml:space="preserve">Instituciones de Justiniano: </w:t>
      </w:r>
      <w:r>
        <w:rPr>
          <w:b/>
        </w:rPr>
        <w:t>H.10</w:t>
      </w:r>
      <w:r>
        <w:t>.</w:t>
      </w:r>
    </w:p>
    <w:p>
      <w:pPr>
        <w:pStyle w:val="ListBullet"/>
      </w:pPr>
      <w:r>
        <w:t xml:space="preserve">Instrucciones de Shuruppak: </w:t>
      </w:r>
      <w:r>
        <w:rPr>
          <w:b/>
        </w:rPr>
        <w:t>F.4</w:t>
      </w:r>
      <w:r>
        <w:t>.</w:t>
      </w:r>
    </w:p>
    <w:p>
      <w:pPr>
        <w:pStyle w:val="ListBullet"/>
      </w:pPr>
      <w:r>
        <w:t xml:space="preserve">Jataka: </w:t>
      </w:r>
      <w:r>
        <w:rPr>
          <w:b/>
        </w:rPr>
        <w:t>F.5</w:t>
      </w:r>
      <w:r>
        <w:t>.</w:t>
      </w:r>
    </w:p>
    <w:p>
      <w:pPr>
        <w:pStyle w:val="ListBullet"/>
      </w:pPr>
      <w:r>
        <w:t xml:space="preserve">Katha Upanishad: </w:t>
      </w:r>
      <w:r>
        <w:rPr>
          <w:b/>
        </w:rPr>
        <w:t>4.2</w:t>
      </w:r>
      <w:r>
        <w:t>.</w:t>
      </w:r>
    </w:p>
    <w:p>
      <w:pPr>
        <w:pStyle w:val="ListBullet"/>
      </w:pPr>
      <w:r>
        <w:t xml:space="preserve">Kebra Nagast: </w:t>
      </w:r>
      <w:r>
        <w:rPr>
          <w:b/>
        </w:rPr>
        <w:t>3.3</w:t>
      </w:r>
      <w:r>
        <w:t xml:space="preserve">, </w:t>
      </w:r>
      <w:r>
        <w:rPr>
          <w:b/>
        </w:rPr>
        <w:t>F.6</w:t>
      </w:r>
      <w:r>
        <w:t>.</w:t>
      </w:r>
    </w:p>
    <w:p>
      <w:pPr>
        <w:pStyle w:val="ListBullet"/>
      </w:pPr>
      <w:r>
        <w:t xml:space="preserve">La Biblia: </w:t>
      </w:r>
      <w:r>
        <w:rPr>
          <w:b/>
        </w:rPr>
        <w:t>0.3</w:t>
      </w:r>
      <w:r>
        <w:t xml:space="preserve">, </w:t>
      </w:r>
      <w:r>
        <w:rPr>
          <w:b/>
        </w:rPr>
        <w:t>0.5</w:t>
      </w:r>
      <w:r>
        <w:t xml:space="preserve">, </w:t>
      </w:r>
      <w:r>
        <w:rPr>
          <w:b/>
        </w:rPr>
        <w:t>1.1</w:t>
      </w:r>
      <w:r>
        <w:t xml:space="preserve">, </w:t>
      </w:r>
      <w:r>
        <w:rPr>
          <w:b/>
        </w:rPr>
        <w:t>1.2</w:t>
      </w:r>
      <w:r>
        <w:t xml:space="preserve">, </w:t>
      </w:r>
      <w:r>
        <w:rPr>
          <w:b/>
        </w:rPr>
        <w:t>1.3</w:t>
      </w:r>
      <w:r>
        <w:t xml:space="preserve">, </w:t>
      </w:r>
      <w:r>
        <w:rPr>
          <w:b/>
        </w:rPr>
        <w:t>1.9</w:t>
      </w:r>
      <w:r>
        <w:t xml:space="preserve">, </w:t>
      </w:r>
      <w:r>
        <w:rPr>
          <w:b/>
        </w:rPr>
        <w:t>2.3</w:t>
      </w:r>
      <w:r>
        <w:t xml:space="preserve">, </w:t>
      </w:r>
      <w:r>
        <w:rPr>
          <w:b/>
        </w:rPr>
        <w:t>2.4</w:t>
      </w:r>
      <w:r>
        <w:t xml:space="preserve">, </w:t>
      </w:r>
      <w:r>
        <w:rPr>
          <w:b/>
        </w:rPr>
        <w:t>2.5</w:t>
      </w:r>
      <w:r>
        <w:t xml:space="preserve">, </w:t>
      </w:r>
      <w:r>
        <w:rPr>
          <w:b/>
        </w:rPr>
        <w:t>3.0</w:t>
      </w:r>
      <w:r>
        <w:t xml:space="preserve">, </w:t>
      </w:r>
      <w:r>
        <w:rPr>
          <w:b/>
        </w:rPr>
        <w:t>3.1</w:t>
      </w:r>
      <w:r>
        <w:t xml:space="preserve">, </w:t>
      </w:r>
      <w:r>
        <w:rPr>
          <w:b/>
        </w:rPr>
        <w:t>3.2</w:t>
      </w:r>
      <w:r>
        <w:t xml:space="preserve">, </w:t>
      </w:r>
      <w:r>
        <w:rPr>
          <w:b/>
        </w:rPr>
        <w:t>3.3</w:t>
      </w:r>
      <w:r>
        <w:t xml:space="preserve">, </w:t>
      </w:r>
      <w:r>
        <w:rPr>
          <w:b/>
        </w:rPr>
        <w:t>3.4</w:t>
      </w:r>
      <w:r>
        <w:t xml:space="preserve">, </w:t>
      </w:r>
      <w:r>
        <w:rPr>
          <w:b/>
        </w:rPr>
        <w:t>3.5</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5.2</w:t>
      </w:r>
      <w:r>
        <w:t xml:space="preserve">, </w:t>
      </w:r>
      <w:r>
        <w:rPr>
          <w:b/>
        </w:rPr>
        <w:t>5.4</w:t>
      </w:r>
      <w:r>
        <w:t xml:space="preserve">, </w:t>
      </w:r>
      <w:r>
        <w:rPr>
          <w:b/>
        </w:rPr>
        <w:t>6.2</w:t>
      </w:r>
      <w:r>
        <w:t xml:space="preserve">, </w:t>
      </w:r>
      <w:r>
        <w:rPr>
          <w:b/>
        </w:rPr>
        <w:t>7.5</w:t>
      </w:r>
      <w:r>
        <w:t xml:space="preserve">, </w:t>
      </w:r>
      <w:r>
        <w:rPr>
          <w:b/>
        </w:rPr>
        <w:t>8.11</w:t>
      </w:r>
      <w:r>
        <w:t xml:space="preserve">, </w:t>
      </w:r>
      <w:r>
        <w:rPr>
          <w:b/>
        </w:rPr>
        <w:t>9.1</w:t>
      </w:r>
      <w:r>
        <w:t xml:space="preserve">, </w:t>
      </w:r>
      <w:r>
        <w:rPr>
          <w:b/>
        </w:rPr>
        <w:t>10.1</w:t>
      </w:r>
      <w:r>
        <w:t xml:space="preserve">, </w:t>
      </w:r>
      <w:r>
        <w:rPr>
          <w:b/>
        </w:rPr>
        <w:t>10.3</w:t>
      </w:r>
      <w:r>
        <w:t xml:space="preserve">, </w:t>
      </w:r>
      <w:r>
        <w:rPr>
          <w:b/>
        </w:rPr>
        <w:t>10.7</w:t>
      </w:r>
      <w:r>
        <w:t xml:space="preserve">, </w:t>
      </w:r>
      <w:r>
        <w:rPr>
          <w:b/>
        </w:rPr>
        <w:t>11.1</w:t>
      </w:r>
      <w:r>
        <w:t xml:space="preserve">, </w:t>
      </w:r>
      <w:r>
        <w:rPr>
          <w:b/>
        </w:rPr>
        <w:t>11.3</w:t>
      </w:r>
      <w:r>
        <w:t xml:space="preserve">, </w:t>
      </w:r>
      <w:r>
        <w:rPr>
          <w:b/>
        </w:rPr>
        <w:t>11.6</w:t>
      </w:r>
      <w:r>
        <w:t xml:space="preserve">, </w:t>
      </w:r>
      <w:r>
        <w:rPr>
          <w:b/>
        </w:rPr>
        <w:t>F.1</w:t>
      </w:r>
      <w:r>
        <w:t xml:space="preserve">, </w:t>
      </w:r>
      <w:r>
        <w:rPr>
          <w:b/>
        </w:rPr>
        <w:t>G.7</w:t>
      </w:r>
      <w:r>
        <w:t xml:space="preserve">, </w:t>
      </w:r>
      <w:r>
        <w:rPr>
          <w:b/>
        </w:rPr>
        <w:t>H.5</w:t>
      </w:r>
      <w:r>
        <w:t xml:space="preserve">, </w:t>
      </w:r>
      <w:r>
        <w:rPr>
          <w:b/>
        </w:rPr>
        <w:t>I.1</w:t>
      </w:r>
      <w:r>
        <w:t xml:space="preserve">, </w:t>
      </w:r>
      <w:r>
        <w:rPr>
          <w:b/>
        </w:rPr>
        <w:t>J.1</w:t>
      </w:r>
      <w:r>
        <w:t xml:space="preserve">, </w:t>
      </w:r>
      <w:r>
        <w:rPr>
          <w:b/>
        </w:rPr>
        <w:t>J.3</w:t>
      </w:r>
      <w:r>
        <w:t>.</w:t>
      </w:r>
    </w:p>
    <w:p>
      <w:pPr>
        <w:pStyle w:val="ListBullet"/>
      </w:pPr>
      <w:r>
        <w:t xml:space="preserve">La Mishná: </w:t>
      </w:r>
      <w:r>
        <w:rPr>
          <w:b/>
        </w:rPr>
        <w:t>0.5</w:t>
      </w:r>
      <w:r>
        <w:t xml:space="preserve">, </w:t>
      </w:r>
      <w:r>
        <w:rPr>
          <w:b/>
        </w:rPr>
        <w:t>3.1</w:t>
      </w:r>
      <w:r>
        <w:t xml:space="preserve">, </w:t>
      </w:r>
      <w:r>
        <w:rPr>
          <w:b/>
        </w:rPr>
        <w:t>3.2</w:t>
      </w:r>
      <w:r>
        <w:t xml:space="preserve">, </w:t>
      </w:r>
      <w:r>
        <w:rPr>
          <w:b/>
        </w:rPr>
        <w:t>F.2</w:t>
      </w:r>
      <w:r>
        <w:t>.</w:t>
      </w:r>
    </w:p>
    <w:p>
      <w:pPr>
        <w:pStyle w:val="ListBullet"/>
      </w:pPr>
      <w:r>
        <w:t xml:space="preserve">Lamento de Jajeperreseneb: </w:t>
      </w:r>
      <w:r>
        <w:rPr>
          <w:b/>
        </w:rPr>
        <w:t>7.5</w:t>
      </w:r>
      <w:r>
        <w:t>.</w:t>
      </w:r>
    </w:p>
    <w:p>
      <w:pPr>
        <w:pStyle w:val="ListBullet"/>
      </w:pPr>
      <w:r>
        <w:t xml:space="preserve">Leyes de Manu: </w:t>
      </w:r>
      <w:r>
        <w:rPr>
          <w:b/>
        </w:rPr>
        <w:t>1.5</w:t>
      </w:r>
      <w:r>
        <w:t xml:space="preserve">, </w:t>
      </w:r>
      <w:r>
        <w:rPr>
          <w:b/>
        </w:rPr>
        <w:t>2.3</w:t>
      </w:r>
      <w:r>
        <w:t xml:space="preserve">, </w:t>
      </w:r>
      <w:r>
        <w:rPr>
          <w:b/>
        </w:rPr>
        <w:t>3.2</w:t>
      </w:r>
      <w:r>
        <w:t xml:space="preserve">, </w:t>
      </w:r>
      <w:r>
        <w:rPr>
          <w:b/>
        </w:rPr>
        <w:t>3.3</w:t>
      </w:r>
      <w:r>
        <w:t xml:space="preserve">, </w:t>
      </w:r>
      <w:r>
        <w:rPr>
          <w:b/>
        </w:rPr>
        <w:t>3.4</w:t>
      </w:r>
      <w:r>
        <w:t xml:space="preserve">, </w:t>
      </w:r>
      <w:r>
        <w:rPr>
          <w:b/>
        </w:rPr>
        <w:t>F.5</w:t>
      </w:r>
      <w:r>
        <w:t>.</w:t>
      </w:r>
    </w:p>
    <w:p>
      <w:pPr>
        <w:pStyle w:val="ListBullet"/>
      </w:pPr>
      <w:r>
        <w:t xml:space="preserve">Liber Sextus de Bonifacio VIII: </w:t>
      </w:r>
      <w:r>
        <w:rPr>
          <w:b/>
        </w:rPr>
        <w:t>H.10</w:t>
      </w:r>
      <w:r>
        <w:t>.</w:t>
      </w:r>
    </w:p>
    <w:p>
      <w:pPr>
        <w:pStyle w:val="ListBullet"/>
      </w:pPr>
      <w:r>
        <w:t xml:space="preserve">Libro de los Jubileos: </w:t>
      </w:r>
      <w:r>
        <w:rPr>
          <w:b/>
        </w:rPr>
        <w:t>2.3</w:t>
      </w:r>
      <w:r>
        <w:t xml:space="preserve">, </w:t>
      </w:r>
      <w:r>
        <w:rPr>
          <w:b/>
        </w:rPr>
        <w:t>4.3</w:t>
      </w:r>
      <w:r>
        <w:t>.</w:t>
      </w:r>
    </w:p>
    <w:p>
      <w:pPr>
        <w:pStyle w:val="ListBullet"/>
      </w:pPr>
      <w:r>
        <w:t xml:space="preserve">Los manuscritos del mar Muerto (Regla de la Comunidad, 1QS): </w:t>
      </w:r>
      <w:r>
        <w:rPr>
          <w:b/>
        </w:rPr>
        <w:t>0.1</w:t>
      </w:r>
      <w:r>
        <w:t xml:space="preserve">, </w:t>
      </w:r>
      <w:r>
        <w:rPr>
          <w:b/>
        </w:rPr>
        <w:t>7.5</w:t>
      </w:r>
      <w:r>
        <w:t>.</w:t>
      </w:r>
    </w:p>
    <w:p>
      <w:pPr>
        <w:pStyle w:val="ListBullet"/>
      </w:pPr>
      <w:r>
        <w:t xml:space="preserve">Mahabharata: </w:t>
      </w:r>
      <w:r>
        <w:rPr>
          <w:b/>
        </w:rPr>
        <w:t>0.5</w:t>
      </w:r>
      <w:r>
        <w:t xml:space="preserve">, </w:t>
      </w:r>
      <w:r>
        <w:rPr>
          <w:b/>
        </w:rPr>
        <w:t>3.2</w:t>
      </w:r>
      <w:r>
        <w:t xml:space="preserve">, </w:t>
      </w:r>
      <w:r>
        <w:rPr>
          <w:b/>
        </w:rPr>
        <w:t>3.5</w:t>
      </w:r>
      <w:r>
        <w:t xml:space="preserve">, </w:t>
      </w:r>
      <w:r>
        <w:rPr>
          <w:b/>
        </w:rPr>
        <w:t>F.5</w:t>
      </w:r>
      <w:r>
        <w:t>.</w:t>
      </w:r>
    </w:p>
    <w:p>
      <w:pPr>
        <w:pStyle w:val="ListBullet"/>
      </w:pPr>
      <w:r>
        <w:t xml:space="preserve">Majjhima Nikaya: </w:t>
      </w:r>
      <w:r>
        <w:rPr>
          <w:b/>
        </w:rPr>
        <w:t>F.5</w:t>
      </w:r>
      <w:r>
        <w:t>.</w:t>
      </w:r>
    </w:p>
    <w:p>
      <w:pPr>
        <w:pStyle w:val="ListBullet"/>
      </w:pPr>
      <w:r>
        <w:t xml:space="preserve">Máximas de Ptahhotep: </w:t>
      </w:r>
      <w:r>
        <w:rPr>
          <w:b/>
        </w:rPr>
        <w:t>1.9</w:t>
      </w:r>
      <w:r>
        <w:t xml:space="preserve">, </w:t>
      </w:r>
      <w:r>
        <w:rPr>
          <w:b/>
        </w:rPr>
        <w:t>2.3</w:t>
      </w:r>
      <w:r>
        <w:t xml:space="preserve">, </w:t>
      </w:r>
      <w:r>
        <w:rPr>
          <w:b/>
        </w:rPr>
        <w:t>3.2</w:t>
      </w:r>
      <w:r>
        <w:t xml:space="preserve">, </w:t>
      </w:r>
      <w:r>
        <w:rPr>
          <w:b/>
        </w:rPr>
        <w:t>F.4</w:t>
      </w:r>
      <w:r>
        <w:t>.</w:t>
      </w:r>
    </w:p>
    <w:p>
      <w:pPr>
        <w:pStyle w:val="ListBullet"/>
      </w:pPr>
      <w:r>
        <w:t xml:space="preserve">Mencio: </w:t>
      </w:r>
      <w:r>
        <w:rPr>
          <w:b/>
        </w:rPr>
        <w:t>1.4</w:t>
      </w:r>
      <w:r>
        <w:t xml:space="preserve">, </w:t>
      </w:r>
      <w:r>
        <w:rPr>
          <w:b/>
        </w:rPr>
        <w:t>1.9</w:t>
      </w:r>
      <w:r>
        <w:t xml:space="preserve">, </w:t>
      </w:r>
      <w:r>
        <w:rPr>
          <w:b/>
        </w:rPr>
        <w:t>2.3</w:t>
      </w:r>
      <w:r>
        <w:t xml:space="preserve">, </w:t>
      </w:r>
      <w:r>
        <w:rPr>
          <w:b/>
        </w:rPr>
        <w:t>3.2</w:t>
      </w:r>
      <w:r>
        <w:t xml:space="preserve">, </w:t>
      </w:r>
      <w:r>
        <w:rPr>
          <w:b/>
        </w:rPr>
        <w:t>10.3</w:t>
      </w:r>
      <w:r>
        <w:t xml:space="preserve">, </w:t>
      </w:r>
      <w:r>
        <w:rPr>
          <w:b/>
        </w:rPr>
        <w:t>F.3</w:t>
      </w:r>
      <w:r>
        <w:t xml:space="preserve">, </w:t>
      </w:r>
      <w:r>
        <w:rPr>
          <w:b/>
        </w:rPr>
        <w:t>J.3</w:t>
      </w:r>
      <w:r>
        <w:t>.</w:t>
      </w:r>
    </w:p>
    <w:p>
      <w:pPr>
        <w:pStyle w:val="ListBullet"/>
      </w:pPr>
      <w:r>
        <w:t xml:space="preserve">Mozi: </w:t>
      </w:r>
      <w:r>
        <w:rPr>
          <w:b/>
        </w:rPr>
        <w:t>F.3</w:t>
      </w:r>
      <w:r>
        <w:t>.</w:t>
      </w:r>
    </w:p>
    <w:p>
      <w:pPr>
        <w:pStyle w:val="ListBullet"/>
      </w:pPr>
      <w:r>
        <w:t xml:space="preserve">Mundaka Upanishad: </w:t>
      </w:r>
      <w:r>
        <w:rPr>
          <w:b/>
        </w:rPr>
        <w:t>4.4</w:t>
      </w:r>
      <w:r>
        <w:t>.</w:t>
      </w:r>
    </w:p>
    <w:p>
      <w:pPr>
        <w:pStyle w:val="ListBullet"/>
      </w:pPr>
      <w:r>
        <w:t xml:space="preserve">Nidanakatha: </w:t>
      </w:r>
      <w:r>
        <w:rPr>
          <w:b/>
        </w:rPr>
        <w:t>6.2</w:t>
      </w:r>
      <w:r>
        <w:t>.</w:t>
      </w:r>
    </w:p>
    <w:p>
      <w:pPr>
        <w:pStyle w:val="ListBullet"/>
      </w:pPr>
      <w:r>
        <w:t xml:space="preserve">Reformas de Urukagina: </w:t>
      </w:r>
      <w:r>
        <w:rPr>
          <w:b/>
        </w:rPr>
        <w:t>3.3</w:t>
      </w:r>
      <w:r>
        <w:t>.</w:t>
      </w:r>
    </w:p>
    <w:p>
      <w:pPr>
        <w:pStyle w:val="ListBullet"/>
      </w:pPr>
      <w:r>
        <w:t xml:space="preserve">Res Gestae divi Augusti: </w:t>
      </w:r>
      <w:r>
        <w:rPr>
          <w:b/>
        </w:rPr>
        <w:t>6.2</w:t>
      </w:r>
      <w:r>
        <w:t>.</w:t>
      </w:r>
    </w:p>
    <w:p>
      <w:pPr>
        <w:pStyle w:val="ListBullet"/>
      </w:pPr>
      <w:r>
        <w:t xml:space="preserve">Rig Veda: </w:t>
      </w:r>
      <w:r>
        <w:rPr>
          <w:b/>
        </w:rPr>
        <w:t>2.3</w:t>
      </w:r>
      <w:r>
        <w:t xml:space="preserve">, </w:t>
      </w:r>
      <w:r>
        <w:rPr>
          <w:b/>
        </w:rPr>
        <w:t>4.2</w:t>
      </w:r>
      <w:r>
        <w:t>.</w:t>
      </w:r>
    </w:p>
    <w:p>
      <w:pPr>
        <w:pStyle w:val="ListBullet"/>
      </w:pPr>
      <w:r>
        <w:t xml:space="preserve">Sahih al-Bujari: </w:t>
      </w:r>
      <w:r>
        <w:rPr>
          <w:b/>
        </w:rPr>
        <w:t>0.5</w:t>
      </w:r>
      <w:r>
        <w:t xml:space="preserve">, </w:t>
      </w:r>
      <w:r>
        <w:rPr>
          <w:b/>
        </w:rPr>
        <w:t>1.9</w:t>
      </w:r>
      <w:r>
        <w:t xml:space="preserve">, </w:t>
      </w:r>
      <w:r>
        <w:rPr>
          <w:b/>
        </w:rPr>
        <w:t>2.3</w:t>
      </w:r>
      <w:r>
        <w:t xml:space="preserve">, </w:t>
      </w:r>
      <w:r>
        <w:rPr>
          <w:b/>
        </w:rPr>
        <w:t>3.1</w:t>
      </w:r>
      <w:r>
        <w:t xml:space="preserve">, </w:t>
      </w:r>
      <w:r>
        <w:rPr>
          <w:b/>
        </w:rPr>
        <w:t>F.2</w:t>
      </w:r>
      <w:r>
        <w:t>.</w:t>
      </w:r>
    </w:p>
    <w:p>
      <w:pPr>
        <w:pStyle w:val="ListBullet"/>
      </w:pPr>
      <w:r>
        <w:t xml:space="preserve">Sahih Muslim: </w:t>
      </w:r>
      <w:r>
        <w:rPr>
          <w:b/>
        </w:rPr>
        <w:t>F.2</w:t>
      </w:r>
      <w:r>
        <w:t>.</w:t>
      </w:r>
    </w:p>
    <w:p>
      <w:pPr>
        <w:pStyle w:val="ListBullet"/>
      </w:pPr>
      <w:r>
        <w:t xml:space="preserve">Samyutta Nikaya: </w:t>
      </w:r>
      <w:r>
        <w:rPr>
          <w:b/>
        </w:rPr>
        <w:t>3.1</w:t>
      </w:r>
      <w:r>
        <w:t>.</w:t>
      </w:r>
    </w:p>
    <w:p>
      <w:pPr>
        <w:pStyle w:val="ListBullet"/>
      </w:pPr>
      <w:r>
        <w:t xml:space="preserve">Saṃyutta Nikāya: </w:t>
      </w:r>
      <w:r>
        <w:rPr>
          <w:b/>
        </w:rPr>
        <w:t>J.3</w:t>
      </w:r>
      <w:r>
        <w:t>.</w:t>
      </w:r>
    </w:p>
    <w:p>
      <w:pPr>
        <w:pStyle w:val="ListBullet"/>
      </w:pPr>
      <w:r>
        <w:t xml:space="preserve">Shû King (Libro de los Documentos): </w:t>
      </w:r>
      <w:r>
        <w:rPr>
          <w:b/>
        </w:rPr>
        <w:t>1.9</w:t>
      </w:r>
      <w:r>
        <w:t>.</w:t>
      </w:r>
    </w:p>
    <w:p>
      <w:pPr>
        <w:pStyle w:val="ListBullet"/>
      </w:pPr>
      <w:r>
        <w:t xml:space="preserve">Sima Qian, Shiji: </w:t>
      </w:r>
      <w:r>
        <w:rPr>
          <w:b/>
        </w:rPr>
        <w:t>3.4</w:t>
      </w:r>
      <w:r>
        <w:t xml:space="preserve">, </w:t>
      </w:r>
      <w:r>
        <w:rPr>
          <w:b/>
        </w:rPr>
        <w:t>3.5</w:t>
      </w:r>
      <w:r>
        <w:t xml:space="preserve">, </w:t>
      </w:r>
      <w:r>
        <w:rPr>
          <w:b/>
        </w:rPr>
        <w:t>F.3</w:t>
      </w:r>
      <w:r>
        <w:t>.</w:t>
      </w:r>
    </w:p>
    <w:p>
      <w:pPr>
        <w:pStyle w:val="ListBullet"/>
      </w:pPr>
      <w:r>
        <w:t xml:space="preserve">Sutta Nipata: </w:t>
      </w:r>
      <w:r>
        <w:rPr>
          <w:b/>
        </w:rPr>
        <w:t>4.1</w:t>
      </w:r>
      <w:r>
        <w:t xml:space="preserve">, </w:t>
      </w:r>
      <w:r>
        <w:rPr>
          <w:b/>
        </w:rPr>
        <w:t>4.3</w:t>
      </w:r>
      <w:r>
        <w:t xml:space="preserve">, </w:t>
      </w:r>
      <w:r>
        <w:rPr>
          <w:b/>
        </w:rPr>
        <w:t>F.5</w:t>
      </w:r>
      <w:r>
        <w:t>.</w:t>
      </w:r>
    </w:p>
    <w:p>
      <w:pPr>
        <w:pStyle w:val="ListBullet"/>
      </w:pPr>
      <w:r>
        <w:t xml:space="preserve">Tabla Esmeralda: </w:t>
      </w:r>
      <w:r>
        <w:rPr>
          <w:b/>
        </w:rPr>
        <w:t>I.7</w:t>
      </w:r>
      <w:r>
        <w:t>.</w:t>
      </w:r>
    </w:p>
    <w:p>
      <w:pPr>
        <w:pStyle w:val="ListBullet"/>
      </w:pPr>
      <w:r>
        <w:t xml:space="preserve">Tattvartha Sutra: </w:t>
      </w:r>
      <w:r>
        <w:rPr>
          <w:b/>
        </w:rPr>
        <w:t>F.5</w:t>
      </w:r>
      <w:r>
        <w:t>.</w:t>
      </w:r>
    </w:p>
    <w:p>
      <w:pPr>
        <w:pStyle w:val="ListBullet"/>
      </w:pPr>
      <w:r>
        <w:t xml:space="preserve">Textos de las Pirámides: </w:t>
      </w:r>
      <w:r>
        <w:rPr>
          <w:b/>
        </w:rPr>
        <w:t>2.3</w:t>
      </w:r>
      <w:r>
        <w:t xml:space="preserve">, </w:t>
      </w:r>
      <w:r>
        <w:rPr>
          <w:b/>
        </w:rPr>
        <w:t>4.2</w:t>
      </w:r>
      <w:r>
        <w:t>.</w:t>
      </w:r>
    </w:p>
    <w:p>
      <w:pPr>
        <w:pStyle w:val="ListBullet"/>
      </w:pPr>
      <w:r>
        <w:t xml:space="preserve">Vasishtha Dharmasutra: </w:t>
      </w:r>
      <w:r>
        <w:rPr>
          <w:b/>
        </w:rPr>
        <w:t>3.3</w:t>
      </w:r>
      <w:r>
        <w:t xml:space="preserve">, </w:t>
      </w:r>
      <w:r>
        <w:rPr>
          <w:b/>
        </w:rPr>
        <w:t>F.5</w:t>
      </w:r>
      <w:r>
        <w:t>.</w:t>
      </w:r>
    </w:p>
    <w:p>
      <w:pPr>
        <w:pStyle w:val="ListBullet"/>
      </w:pPr>
      <w:r>
        <w:t xml:space="preserve">Vinaya: </w:t>
      </w:r>
      <w:r>
        <w:rPr>
          <w:b/>
        </w:rPr>
        <w:t>3.6</w:t>
      </w:r>
      <w:r>
        <w:t xml:space="preserve">, </w:t>
      </w:r>
      <w:r>
        <w:rPr>
          <w:b/>
        </w:rPr>
        <w:t>F.7</w:t>
      </w:r>
      <w:r>
        <w:t>.</w:t>
      </w:r>
    </w:p>
    <w:p>
      <w:pPr>
        <w:pStyle w:val="ListBullet"/>
      </w:pPr>
      <w:r>
        <w:t xml:space="preserve">Völuspá (Codex Regius): </w:t>
      </w:r>
      <w:r>
        <w:rPr>
          <w:b/>
        </w:rPr>
        <w:t>4.2</w:t>
      </w:r>
      <w:r>
        <w:t>.</w:t>
      </w:r>
    </w:p>
    <w:p>
      <w:pPr>
        <w:pStyle w:val="ListBullet"/>
      </w:pPr>
      <w:r>
        <w:t xml:space="preserve">Xunzi: </w:t>
      </w:r>
      <w:r>
        <w:rPr>
          <w:b/>
        </w:rPr>
        <w:t>2.5</w:t>
      </w:r>
      <w:r>
        <w:t xml:space="preserve">, </w:t>
      </w:r>
      <w:r>
        <w:rPr>
          <w:b/>
        </w:rPr>
        <w:t>3.2</w:t>
      </w:r>
      <w:r>
        <w:t xml:space="preserve">, </w:t>
      </w:r>
      <w:r>
        <w:rPr>
          <w:b/>
        </w:rPr>
        <w:t>F.3</w:t>
      </w:r>
      <w:r>
        <w:t>.</w:t>
      </w:r>
    </w:p>
    <w:p>
      <w:pPr>
        <w:pStyle w:val="ListBullet"/>
      </w:pPr>
      <w:r>
        <w:t xml:space="preserve">Zhongyong (La Doctrina del Medio): </w:t>
      </w:r>
      <w:r>
        <w:rPr>
          <w:b/>
        </w:rPr>
        <w:t>J.3</w:t>
      </w:r>
      <w:r>
        <w:t>.</w:t>
      </w:r>
    </w:p>
    <w:p>
      <w:pPr>
        <w:pStyle w:val="ListBullet"/>
      </w:pPr>
      <w:r>
        <w:t xml:space="preserve">Zhuangzi: </w:t>
      </w:r>
      <w:r>
        <w:rPr>
          <w:b/>
        </w:rPr>
        <w:t>F.3</w:t>
      </w:r>
      <w:r>
        <w:t>.</w:t>
      </w:r>
    </w:p>
    <w:p>
      <w:r>
        <w:rPr>
          <w:b/>
        </w:rPr>
        <w:t>Los autores</w:t>
      </w:r>
      <w:r>
        <w:t xml:space="preserve"> (123 fuentes)</w:t>
      </w:r>
    </w:p>
    <w:p>
      <w:pPr>
        <w:pStyle w:val="ListBullet"/>
      </w:pPr>
      <w:r>
        <w:t xml:space="preserve">Adolf Deissmann, Light from the Ancient East (Luz del antiguo Oriente), 1910: </w:t>
      </w:r>
      <w:r>
        <w:rPr>
          <w:b/>
        </w:rPr>
        <w:t>8.11</w:t>
      </w:r>
      <w:r>
        <w:t>.</w:t>
      </w:r>
    </w:p>
    <w:p>
      <w:pPr>
        <w:pStyle w:val="ListBullet"/>
      </w:pPr>
      <w:r>
        <w:t xml:space="preserve">Agustín de Hipona: </w:t>
      </w:r>
      <w:r>
        <w:rPr>
          <w:b/>
        </w:rPr>
        <w:t>2.3</w:t>
      </w:r>
      <w:r>
        <w:t xml:space="preserve">, </w:t>
      </w:r>
      <w:r>
        <w:rPr>
          <w:b/>
        </w:rPr>
        <w:t>11.2</w:t>
      </w:r>
      <w:r>
        <w:t>.</w:t>
      </w:r>
    </w:p>
    <w:p>
      <w:pPr>
        <w:pStyle w:val="ListBullet"/>
      </w:pPr>
      <w:r>
        <w:t xml:space="preserve">Alonso de Zorita, Breve y sumaria relación: </w:t>
      </w:r>
      <w:r>
        <w:rPr>
          <w:b/>
        </w:rPr>
        <w:t>F.7</w:t>
      </w:r>
      <w:r>
        <w:t>.</w:t>
      </w:r>
    </w:p>
    <w:p>
      <w:pPr>
        <w:pStyle w:val="ListBullet"/>
      </w:pPr>
      <w:r>
        <w:t xml:space="preserve">Alva Ixtlilxóchitl: </w:t>
      </w:r>
      <w:r>
        <w:rPr>
          <w:b/>
        </w:rPr>
        <w:t>F.7</w:t>
      </w:r>
      <w:r>
        <w:t>.</w:t>
      </w:r>
    </w:p>
    <w:p>
      <w:pPr>
        <w:pStyle w:val="ListBullet"/>
      </w:pPr>
      <w:r>
        <w:t xml:space="preserve">Ari Þorgilsson, Íslendingabók: </w:t>
      </w:r>
      <w:r>
        <w:rPr>
          <w:b/>
        </w:rPr>
        <w:t>F.7</w:t>
      </w:r>
      <w:r>
        <w:t>.</w:t>
      </w:r>
    </w:p>
    <w:p>
      <w:pPr>
        <w:pStyle w:val="ListBullet"/>
      </w:pPr>
      <w:r>
        <w:t xml:space="preserve">Aristóteles: </w:t>
      </w:r>
      <w:r>
        <w:rPr>
          <w:b/>
        </w:rPr>
        <w:t>0.5</w:t>
      </w:r>
      <w:r>
        <w:t xml:space="preserve">, </w:t>
      </w:r>
      <w:r>
        <w:rPr>
          <w:b/>
        </w:rPr>
        <w:t>1.4</w:t>
      </w:r>
      <w:r>
        <w:t xml:space="preserve">, </w:t>
      </w:r>
      <w:r>
        <w:rPr>
          <w:b/>
        </w:rPr>
        <w:t>2.3</w:t>
      </w:r>
      <w:r>
        <w:t xml:space="preserve">, </w:t>
      </w:r>
      <w:r>
        <w:rPr>
          <w:b/>
        </w:rPr>
        <w:t>3.2</w:t>
      </w:r>
      <w:r>
        <w:t xml:space="preserve">, </w:t>
      </w:r>
      <w:r>
        <w:rPr>
          <w:b/>
        </w:rPr>
        <w:t>3.3</w:t>
      </w:r>
      <w:r>
        <w:t xml:space="preserve">, </w:t>
      </w:r>
      <w:r>
        <w:rPr>
          <w:b/>
        </w:rPr>
        <w:t>4.3</w:t>
      </w:r>
      <w:r>
        <w:t xml:space="preserve">, </w:t>
      </w:r>
      <w:r>
        <w:rPr>
          <w:b/>
        </w:rPr>
        <w:t>4.4</w:t>
      </w:r>
      <w:r>
        <w:t xml:space="preserve">, </w:t>
      </w:r>
      <w:r>
        <w:rPr>
          <w:b/>
        </w:rPr>
        <w:t>5.5</w:t>
      </w:r>
      <w:r>
        <w:t xml:space="preserve">, </w:t>
      </w:r>
      <w:r>
        <w:rPr>
          <w:b/>
        </w:rPr>
        <w:t>7.5</w:t>
      </w:r>
      <w:r>
        <w:t xml:space="preserve">, </w:t>
      </w:r>
      <w:r>
        <w:rPr>
          <w:b/>
        </w:rPr>
        <w:t>F.4</w:t>
      </w:r>
      <w:r>
        <w:t>.</w:t>
      </w:r>
    </w:p>
    <w:p>
      <w:pPr>
        <w:pStyle w:val="ListBullet"/>
      </w:pPr>
      <w:r>
        <w:t xml:space="preserve">Bel y Costas: </w:t>
      </w:r>
      <w:r>
        <w:rPr>
          <w:b/>
        </w:rPr>
        <w:t>8.7</w:t>
      </w:r>
      <w:r>
        <w:t>.</w:t>
      </w:r>
    </w:p>
    <w:p>
      <w:pPr>
        <w:pStyle w:val="ListBullet"/>
      </w:pPr>
      <w:r>
        <w:t xml:space="preserve">Beneš y Kumhof (FMI): </w:t>
      </w:r>
      <w:r>
        <w:rPr>
          <w:b/>
        </w:rPr>
        <w:t>8.1</w:t>
      </w:r>
      <w:r>
        <w:t>.</w:t>
      </w:r>
    </w:p>
    <w:p>
      <w:pPr>
        <w:pStyle w:val="ListBullet"/>
      </w:pPr>
      <w:r>
        <w:t xml:space="preserve">Bentham: </w:t>
      </w:r>
      <w:r>
        <w:rPr>
          <w:b/>
        </w:rPr>
        <w:t>G.6</w:t>
      </w:r>
      <w:r>
        <w:t>.</w:t>
      </w:r>
    </w:p>
    <w:p>
      <w:pPr>
        <w:pStyle w:val="ListBullet"/>
      </w:pPr>
      <w:r>
        <w:t xml:space="preserve">Bernanke: </w:t>
      </w:r>
      <w:r>
        <w:rPr>
          <w:b/>
        </w:rPr>
        <w:t>8.1</w:t>
      </w:r>
      <w:r>
        <w:t>.</w:t>
      </w:r>
    </w:p>
    <w:p>
      <w:pPr>
        <w:pStyle w:val="ListBullet"/>
      </w:pPr>
      <w:r>
        <w:t xml:space="preserve">Bodino: </w:t>
      </w:r>
      <w:r>
        <w:rPr>
          <w:b/>
        </w:rPr>
        <w:t>6.3</w:t>
      </w:r>
      <w:r>
        <w:t>.</w:t>
      </w:r>
    </w:p>
    <w:p>
      <w:pPr>
        <w:pStyle w:val="ListBullet"/>
      </w:pPr>
      <w:r>
        <w:t xml:space="preserve">Breasted (historia y documentos del antiguo Egipto): </w:t>
      </w:r>
      <w:r>
        <w:rPr>
          <w:b/>
        </w:rPr>
        <w:t>4.2</w:t>
      </w:r>
      <w:r>
        <w:t xml:space="preserve">, </w:t>
      </w:r>
      <w:r>
        <w:rPr>
          <w:b/>
        </w:rPr>
        <w:t>6.2</w:t>
      </w:r>
      <w:r>
        <w:t>.</w:t>
      </w:r>
    </w:p>
    <w:p>
      <w:pPr>
        <w:pStyle w:val="ListBullet"/>
      </w:pPr>
      <w:r>
        <w:t xml:space="preserve">Bryant, Liberty, Order and Law under Native Irish Rule: </w:t>
      </w:r>
      <w:r>
        <w:rPr>
          <w:b/>
        </w:rPr>
        <w:t>F.7</w:t>
      </w:r>
      <w:r>
        <w:t>.</w:t>
      </w:r>
    </w:p>
    <w:p>
      <w:pPr>
        <w:pStyle w:val="ListBullet"/>
      </w:pPr>
      <w:r>
        <w:t xml:space="preserve">Buric y otros, Frontiers in Immunology 8 (2017): </w:t>
      </w:r>
      <w:r>
        <w:rPr>
          <w:b/>
        </w:rPr>
        <w:t>4.2</w:t>
      </w:r>
      <w:r>
        <w:t>.</w:t>
      </w:r>
    </w:p>
    <w:p>
      <w:pPr>
        <w:pStyle w:val="ListBullet"/>
      </w:pPr>
      <w:r>
        <w:t xml:space="preserve">Casalis, Los basutos: </w:t>
      </w:r>
      <w:r>
        <w:rPr>
          <w:b/>
        </w:rPr>
        <w:t>F.6</w:t>
      </w:r>
      <w:r>
        <w:t>.</w:t>
      </w:r>
    </w:p>
    <w:p>
      <w:pPr>
        <w:pStyle w:val="ListBullet"/>
      </w:pPr>
      <w:r>
        <w:t xml:space="preserve">Cicerón: </w:t>
      </w:r>
      <w:r>
        <w:rPr>
          <w:b/>
        </w:rPr>
        <w:t>1.5</w:t>
      </w:r>
      <w:r>
        <w:t xml:space="preserve">, </w:t>
      </w:r>
      <w:r>
        <w:rPr>
          <w:b/>
        </w:rPr>
        <w:t>3.1</w:t>
      </w:r>
      <w:r>
        <w:t xml:space="preserve">, </w:t>
      </w:r>
      <w:r>
        <w:rPr>
          <w:b/>
        </w:rPr>
        <w:t>3.2</w:t>
      </w:r>
      <w:r>
        <w:t xml:space="preserve">, </w:t>
      </w:r>
      <w:r>
        <w:rPr>
          <w:b/>
        </w:rPr>
        <w:t>F.4</w:t>
      </w:r>
      <w:r>
        <w:t xml:space="preserve">, </w:t>
      </w:r>
      <w:r>
        <w:rPr>
          <w:b/>
        </w:rPr>
        <w:t>G.6</w:t>
      </w:r>
      <w:r>
        <w:t xml:space="preserve">, </w:t>
      </w:r>
      <w:r>
        <w:rPr>
          <w:b/>
        </w:rPr>
        <w:t>H.10</w:t>
      </w:r>
      <w:r>
        <w:t>.</w:t>
      </w:r>
    </w:p>
    <w:p>
      <w:pPr>
        <w:pStyle w:val="ListBullet"/>
      </w:pPr>
      <w:r>
        <w:t xml:space="preserve">Claridge, A History of the Gold Coast and Ashanti: </w:t>
      </w:r>
      <w:r>
        <w:rPr>
          <w:b/>
        </w:rPr>
        <w:t>7.5</w:t>
      </w:r>
      <w:r>
        <w:t>.</w:t>
      </w:r>
    </w:p>
    <w:p>
      <w:pPr>
        <w:pStyle w:val="ListBullet"/>
      </w:pPr>
      <w:r>
        <w:t xml:space="preserve">Clavijero, Historia antigua de México: </w:t>
      </w:r>
      <w:r>
        <w:rPr>
          <w:b/>
        </w:rPr>
        <w:t>F.7</w:t>
      </w:r>
      <w:r>
        <w:t>.</w:t>
      </w:r>
    </w:p>
    <w:p>
      <w:pPr>
        <w:pStyle w:val="ListBullet"/>
      </w:pPr>
      <w:r>
        <w:t xml:space="preserve">Cohen y otros, Psychosomatic Medicine 78 (2016), resumen: </w:t>
      </w:r>
      <w:r>
        <w:rPr>
          <w:b/>
        </w:rPr>
        <w:t>4.2</w:t>
      </w:r>
      <w:r>
        <w:t>.</w:t>
      </w:r>
    </w:p>
    <w:p>
      <w:pPr>
        <w:pStyle w:val="ListBullet"/>
      </w:pPr>
      <w:r>
        <w:t xml:space="preserve">Comín: </w:t>
      </w:r>
      <w:r>
        <w:rPr>
          <w:b/>
        </w:rPr>
        <w:t>9.1</w:t>
      </w:r>
      <w:r>
        <w:t>.</w:t>
      </w:r>
    </w:p>
    <w:p>
      <w:pPr>
        <w:pStyle w:val="ListBullet"/>
      </w:pPr>
      <w:r>
        <w:t xml:space="preserve">Condorcet: </w:t>
      </w:r>
      <w:r>
        <w:rPr>
          <w:b/>
        </w:rPr>
        <w:t>6.1</w:t>
      </w:r>
      <w:r>
        <w:t>.</w:t>
      </w:r>
    </w:p>
    <w:p>
      <w:pPr>
        <w:pStyle w:val="ListBullet"/>
      </w:pPr>
      <w:r>
        <w:t xml:space="preserve">Copérnico: </w:t>
      </w:r>
      <w:r>
        <w:rPr>
          <w:b/>
        </w:rPr>
        <w:t>8.2</w:t>
      </w:r>
      <w:r>
        <w:t>.</w:t>
      </w:r>
    </w:p>
    <w:p>
      <w:pPr>
        <w:pStyle w:val="ListBullet"/>
      </w:pPr>
      <w:r>
        <w:t xml:space="preserve">Cordero Quinzacara y Aldunate Lizana: </w:t>
      </w:r>
      <w:r>
        <w:rPr>
          <w:b/>
        </w:rPr>
        <w:t>6.3</w:t>
      </w:r>
      <w:r>
        <w:t>.</w:t>
      </w:r>
    </w:p>
    <w:p>
      <w:pPr>
        <w:pStyle w:val="ListBullet"/>
      </w:pPr>
      <w:r>
        <w:t xml:space="preserve">Diógenes Laercio: </w:t>
      </w:r>
      <w:r>
        <w:rPr>
          <w:b/>
        </w:rPr>
        <w:t>H.10</w:t>
      </w:r>
      <w:r>
        <w:t>.</w:t>
      </w:r>
    </w:p>
    <w:p>
      <w:pPr>
        <w:pStyle w:val="ListBullet"/>
      </w:pPr>
      <w:r>
        <w:t xml:space="preserve">El Federalista: </w:t>
      </w:r>
      <w:r>
        <w:rPr>
          <w:b/>
        </w:rPr>
        <w:t>6.5</w:t>
      </w:r>
      <w:r>
        <w:t>.</w:t>
      </w:r>
    </w:p>
    <w:p>
      <w:pPr>
        <w:pStyle w:val="ListBullet"/>
      </w:pPr>
      <w:r>
        <w:t xml:space="preserve">Erman, Die Literatur der Aegypter: </w:t>
      </w:r>
      <w:r>
        <w:rPr>
          <w:b/>
        </w:rPr>
        <w:t>7.5</w:t>
      </w:r>
      <w:r>
        <w:t>.</w:t>
      </w:r>
    </w:p>
    <w:p>
      <w:pPr>
        <w:pStyle w:val="ListBullet"/>
      </w:pPr>
      <w:r>
        <w:t xml:space="preserve">Espinosa: </w:t>
      </w:r>
      <w:r>
        <w:rPr>
          <w:b/>
        </w:rPr>
        <w:t>11.3</w:t>
      </w:r>
      <w:r>
        <w:t>.</w:t>
      </w:r>
    </w:p>
    <w:p>
      <w:pPr>
        <w:pStyle w:val="ListBullet"/>
      </w:pPr>
      <w:r>
        <w:t xml:space="preserve">Estudios sobre corresponsabilidad fiscal autonómica: </w:t>
      </w:r>
      <w:r>
        <w:rPr>
          <w:b/>
        </w:rPr>
        <w:t>A.9</w:t>
      </w:r>
      <w:r>
        <w:t>.</w:t>
      </w:r>
    </w:p>
    <w:p>
      <w:pPr>
        <w:pStyle w:val="ListBullet"/>
      </w:pPr>
      <w:r>
        <w:t xml:space="preserve">Fedro: </w:t>
      </w:r>
      <w:r>
        <w:rPr>
          <w:b/>
        </w:rPr>
        <w:t>2.5</w:t>
      </w:r>
      <w:r>
        <w:t>.</w:t>
      </w:r>
    </w:p>
    <w:p>
      <w:pPr>
        <w:pStyle w:val="ListBullet"/>
      </w:pPr>
      <w:r>
        <w:t xml:space="preserve">Forrester y May (eds.), The Fall of Soeharto: </w:t>
      </w:r>
      <w:r>
        <w:rPr>
          <w:b/>
        </w:rPr>
        <w:t>9.2</w:t>
      </w:r>
      <w:r>
        <w:t>.</w:t>
      </w:r>
    </w:p>
    <w:p>
      <w:pPr>
        <w:pStyle w:val="ListBullet"/>
      </w:pPr>
      <w:r>
        <w:t xml:space="preserve">Francis Bacon: </w:t>
      </w:r>
      <w:r>
        <w:rPr>
          <w:b/>
        </w:rPr>
        <w:t>H.10</w:t>
      </w:r>
      <w:r>
        <w:t>.</w:t>
      </w:r>
    </w:p>
    <w:p>
      <w:pPr>
        <w:pStyle w:val="ListBullet"/>
      </w:pPr>
      <w:r>
        <w:t xml:space="preserve">Francisco de Vitoria: </w:t>
      </w:r>
      <w:r>
        <w:rPr>
          <w:b/>
        </w:rPr>
        <w:t>1.4</w:t>
      </w:r>
      <w:r>
        <w:t>.</w:t>
      </w:r>
    </w:p>
    <w:p>
      <w:pPr>
        <w:pStyle w:val="ListBullet"/>
      </w:pPr>
      <w:r>
        <w:t xml:space="preserve">Franz Boas: </w:t>
      </w:r>
      <w:r>
        <w:rPr>
          <w:b/>
        </w:rPr>
        <w:t>F.7</w:t>
      </w:r>
      <w:r>
        <w:t>.</w:t>
      </w:r>
    </w:p>
    <w:p>
      <w:pPr>
        <w:pStyle w:val="ListBullet"/>
      </w:pPr>
      <w:r>
        <w:t xml:space="preserve">Franz Oppenheimer: </w:t>
      </w:r>
      <w:r>
        <w:rPr>
          <w:b/>
        </w:rPr>
        <w:t>6.4</w:t>
      </w:r>
      <w:r>
        <w:t>.</w:t>
      </w:r>
    </w:p>
    <w:p>
      <w:pPr>
        <w:pStyle w:val="ListBullet"/>
      </w:pPr>
      <w:r>
        <w:t xml:space="preserve">Gaceta Sanitaria (2016): </w:t>
      </w:r>
      <w:r>
        <w:rPr>
          <w:b/>
        </w:rPr>
        <w:t>A.9</w:t>
      </w:r>
      <w:r>
        <w:t>.</w:t>
      </w:r>
    </w:p>
    <w:p>
      <w:pPr>
        <w:pStyle w:val="ListBullet"/>
      </w:pPr>
      <w:r>
        <w:t xml:space="preserve">Gaetano Mosca: </w:t>
      </w:r>
      <w:r>
        <w:rPr>
          <w:b/>
        </w:rPr>
        <w:t>6.4</w:t>
      </w:r>
      <w:r>
        <w:t>.</w:t>
      </w:r>
    </w:p>
    <w:p>
      <w:pPr>
        <w:pStyle w:val="ListBullet"/>
      </w:pPr>
      <w:r>
        <w:t xml:space="preserve">Garcilaso de la Vega, Comentarios reales: </w:t>
      </w:r>
      <w:r>
        <w:rPr>
          <w:b/>
        </w:rPr>
        <w:t>2.3</w:t>
      </w:r>
      <w:r>
        <w:t xml:space="preserve">, </w:t>
      </w:r>
      <w:r>
        <w:rPr>
          <w:b/>
        </w:rPr>
        <w:t>3.2</w:t>
      </w:r>
      <w:r>
        <w:t xml:space="preserve">, </w:t>
      </w:r>
      <w:r>
        <w:rPr>
          <w:b/>
        </w:rPr>
        <w:t>7.5</w:t>
      </w:r>
      <w:r>
        <w:t xml:space="preserve">, </w:t>
      </w:r>
      <w:r>
        <w:rPr>
          <w:b/>
        </w:rPr>
        <w:t>F.6</w:t>
      </w:r>
      <w:r>
        <w:t xml:space="preserve">, </w:t>
      </w:r>
      <w:r>
        <w:rPr>
          <w:b/>
        </w:rPr>
        <w:t>F.7</w:t>
      </w:r>
      <w:r>
        <w:t>.</w:t>
      </w:r>
    </w:p>
    <w:p>
      <w:pPr>
        <w:pStyle w:val="ListBullet"/>
      </w:pPr>
      <w:r>
        <w:t xml:space="preserve">Gjerset, History of Iceland: </w:t>
      </w:r>
      <w:r>
        <w:rPr>
          <w:b/>
        </w:rPr>
        <w:t>F.7</w:t>
      </w:r>
      <w:r>
        <w:t>.</w:t>
      </w:r>
    </w:p>
    <w:p>
      <w:pPr>
        <w:pStyle w:val="ListBullet"/>
      </w:pPr>
      <w:r>
        <w:t xml:space="preserve">Gómez Garrido: </w:t>
      </w:r>
      <w:r>
        <w:rPr>
          <w:b/>
        </w:rPr>
        <w:t>7.3</w:t>
      </w:r>
      <w:r>
        <w:t>.</w:t>
      </w:r>
    </w:p>
    <w:p>
      <w:pPr>
        <w:pStyle w:val="ListBullet"/>
      </w:pPr>
      <w:r>
        <w:t xml:space="preserve">Greenspan: </w:t>
      </w:r>
      <w:r>
        <w:rPr>
          <w:b/>
        </w:rPr>
        <w:t>8.2</w:t>
      </w:r>
      <w:r>
        <w:t>.</w:t>
      </w:r>
    </w:p>
    <w:p>
      <w:pPr>
        <w:pStyle w:val="ListBullet"/>
      </w:pPr>
      <w:r>
        <w:t xml:space="preserve">Gundel, The predicament of the Oday: </w:t>
      </w:r>
      <w:r>
        <w:rPr>
          <w:b/>
        </w:rPr>
        <w:t>F.7</w:t>
      </w:r>
      <w:r>
        <w:t>.</w:t>
      </w:r>
    </w:p>
    <w:p>
      <w:pPr>
        <w:pStyle w:val="ListBullet"/>
      </w:pPr>
      <w:r>
        <w:t xml:space="preserve">H. L. A. Hart: </w:t>
      </w:r>
      <w:r>
        <w:rPr>
          <w:b/>
        </w:rPr>
        <w:t>11.2</w:t>
      </w:r>
      <w:r>
        <w:t>.</w:t>
      </w:r>
    </w:p>
    <w:p>
      <w:pPr>
        <w:pStyle w:val="ListBullet"/>
      </w:pPr>
      <w:r>
        <w:t xml:space="preserve">Heráclito: </w:t>
      </w:r>
      <w:r>
        <w:rPr>
          <w:b/>
        </w:rPr>
        <w:t>1.4</w:t>
      </w:r>
      <w:r>
        <w:t>.</w:t>
      </w:r>
    </w:p>
    <w:p>
      <w:pPr>
        <w:pStyle w:val="ListBullet"/>
      </w:pPr>
      <w:r>
        <w:t xml:space="preserve">Hernán Cortés, Segunda carta de relación: </w:t>
      </w:r>
      <w:r>
        <w:rPr>
          <w:b/>
        </w:rPr>
        <w:t>F.6</w:t>
      </w:r>
      <w:r>
        <w:t>.</w:t>
      </w:r>
    </w:p>
    <w:p>
      <w:pPr>
        <w:pStyle w:val="ListBullet"/>
      </w:pPr>
      <w:r>
        <w:t xml:space="preserve">Hesíodo, Trabajos y días: </w:t>
      </w:r>
      <w:r>
        <w:rPr>
          <w:b/>
        </w:rPr>
        <w:t>2.3</w:t>
      </w:r>
      <w:r>
        <w:t xml:space="preserve">, </w:t>
      </w:r>
      <w:r>
        <w:rPr>
          <w:b/>
        </w:rPr>
        <w:t>3.1</w:t>
      </w:r>
      <w:r>
        <w:t xml:space="preserve">, </w:t>
      </w:r>
      <w:r>
        <w:rPr>
          <w:b/>
        </w:rPr>
        <w:t>F.4</w:t>
      </w:r>
      <w:r>
        <w:t>.</w:t>
      </w:r>
    </w:p>
    <w:p>
      <w:pPr>
        <w:pStyle w:val="ListBullet"/>
      </w:pPr>
      <w:r>
        <w:t xml:space="preserve">Higgins, Songlines and Land Claims: </w:t>
      </w:r>
      <w:r>
        <w:rPr>
          <w:b/>
        </w:rPr>
        <w:t>F.7</w:t>
      </w:r>
      <w:r>
        <w:t>.</w:t>
      </w:r>
    </w:p>
    <w:p>
      <w:pPr>
        <w:pStyle w:val="ListBullet"/>
      </w:pPr>
      <w:r>
        <w:t xml:space="preserve">Hipólito de Roma, Sobre Cristo y el Anticristo: </w:t>
      </w:r>
      <w:r>
        <w:rPr>
          <w:b/>
        </w:rPr>
        <w:t>8.11</w:t>
      </w:r>
      <w:r>
        <w:t>.</w:t>
      </w:r>
    </w:p>
    <w:p>
      <w:pPr>
        <w:pStyle w:val="ListBullet"/>
      </w:pPr>
      <w:r>
        <w:t xml:space="preserve">Hobbes: </w:t>
      </w:r>
      <w:r>
        <w:rPr>
          <w:b/>
        </w:rPr>
        <w:t>1.7</w:t>
      </w:r>
      <w:r>
        <w:t xml:space="preserve">, </w:t>
      </w:r>
      <w:r>
        <w:rPr>
          <w:b/>
        </w:rPr>
        <w:t>6.1</w:t>
      </w:r>
      <w:r>
        <w:t xml:space="preserve">, </w:t>
      </w:r>
      <w:r>
        <w:rPr>
          <w:b/>
        </w:rPr>
        <w:t>9.1</w:t>
      </w:r>
      <w:r>
        <w:t>.</w:t>
      </w:r>
    </w:p>
    <w:p>
      <w:pPr>
        <w:pStyle w:val="ListBullet"/>
      </w:pPr>
      <w:r>
        <w:t xml:space="preserve">Horacio: </w:t>
      </w:r>
      <w:r>
        <w:rPr>
          <w:b/>
        </w:rPr>
        <w:t>J.3</w:t>
      </w:r>
      <w:r>
        <w:t>.</w:t>
      </w:r>
    </w:p>
    <w:p>
      <w:pPr>
        <w:pStyle w:val="ListBullet"/>
      </w:pPr>
      <w:r>
        <w:t xml:space="preserve">Hume: </w:t>
      </w:r>
      <w:r>
        <w:rPr>
          <w:b/>
        </w:rPr>
        <w:t>6.1</w:t>
      </w:r>
      <w:r>
        <w:t>.</w:t>
      </w:r>
    </w:p>
    <w:p>
      <w:pPr>
        <w:pStyle w:val="ListBullet"/>
      </w:pPr>
      <w:r>
        <w:t xml:space="preserve">Ibn Jaldún: </w:t>
      </w:r>
      <w:r>
        <w:rPr>
          <w:b/>
        </w:rPr>
        <w:t>6.4</w:t>
      </w:r>
      <w:r>
        <w:t>.</w:t>
      </w:r>
    </w:p>
    <w:p>
      <w:pPr>
        <w:pStyle w:val="ListBullet"/>
      </w:pPr>
      <w:r>
        <w:t xml:space="preserve">Ireneo de Lyon, Contra las herejías: </w:t>
      </w:r>
      <w:r>
        <w:rPr>
          <w:b/>
        </w:rPr>
        <w:t>1.9</w:t>
      </w:r>
      <w:r>
        <w:t xml:space="preserve">, </w:t>
      </w:r>
      <w:r>
        <w:rPr>
          <w:b/>
        </w:rPr>
        <w:t>2.3</w:t>
      </w:r>
      <w:r>
        <w:t>.</w:t>
      </w:r>
    </w:p>
    <w:p>
      <w:pPr>
        <w:pStyle w:val="ListBullet"/>
      </w:pPr>
      <w:r>
        <w:t xml:space="preserve">Isaiah Berlin: </w:t>
      </w:r>
      <w:r>
        <w:rPr>
          <w:b/>
        </w:rPr>
        <w:t>6.1</w:t>
      </w:r>
      <w:r>
        <w:t>.</w:t>
      </w:r>
    </w:p>
    <w:p>
      <w:pPr>
        <w:pStyle w:val="ListBullet"/>
      </w:pPr>
      <w:r>
        <w:t xml:space="preserve">Isidoro de Sevilla, Etimologías: </w:t>
      </w:r>
      <w:r>
        <w:rPr>
          <w:b/>
        </w:rPr>
        <w:t>1.5</w:t>
      </w:r>
      <w:r>
        <w:t xml:space="preserve">, </w:t>
      </w:r>
      <w:r>
        <w:rPr>
          <w:b/>
        </w:rPr>
        <w:t>1.7</w:t>
      </w:r>
      <w:r>
        <w:t>.</w:t>
      </w:r>
    </w:p>
    <w:p>
      <w:pPr>
        <w:pStyle w:val="ListBullet"/>
      </w:pPr>
      <w:r>
        <w:t xml:space="preserve">Jacobo VI de Escocia: </w:t>
      </w:r>
      <w:r>
        <w:rPr>
          <w:b/>
        </w:rPr>
        <w:t>6.2</w:t>
      </w:r>
      <w:r>
        <w:t>.</w:t>
      </w:r>
    </w:p>
    <w:p>
      <w:pPr>
        <w:pStyle w:val="ListBullet"/>
      </w:pPr>
      <w:r>
        <w:t xml:space="preserve">John Searle: </w:t>
      </w:r>
      <w:r>
        <w:rPr>
          <w:b/>
        </w:rPr>
        <w:t>5.3</w:t>
      </w:r>
      <w:r>
        <w:t>.</w:t>
      </w:r>
    </w:p>
    <w:p>
      <w:pPr>
        <w:pStyle w:val="ListBullet"/>
      </w:pPr>
      <w:r>
        <w:t xml:space="preserve">John Stuart Mill: </w:t>
      </w:r>
      <w:r>
        <w:rPr>
          <w:b/>
        </w:rPr>
        <w:t>2.3</w:t>
      </w:r>
      <w:r>
        <w:t xml:space="preserve">, </w:t>
      </w:r>
      <w:r>
        <w:rPr>
          <w:b/>
        </w:rPr>
        <w:t>11.2</w:t>
      </w:r>
      <w:r>
        <w:t>.</w:t>
      </w:r>
    </w:p>
    <w:p>
      <w:pPr>
        <w:pStyle w:val="ListBullet"/>
      </w:pPr>
      <w:r>
        <w:t xml:space="preserve">Johnson, Historia de los yorubas: </w:t>
      </w:r>
      <w:r>
        <w:rPr>
          <w:b/>
        </w:rPr>
        <w:t>F.6</w:t>
      </w:r>
      <w:r>
        <w:t>.</w:t>
      </w:r>
    </w:p>
    <w:p>
      <w:pPr>
        <w:pStyle w:val="ListBullet"/>
      </w:pPr>
      <w:r>
        <w:t xml:space="preserve">Juan de Mariana: </w:t>
      </w:r>
      <w:r>
        <w:rPr>
          <w:b/>
        </w:rPr>
        <w:t>8.2</w:t>
      </w:r>
      <w:r>
        <w:t>.</w:t>
      </w:r>
    </w:p>
    <w:p>
      <w:pPr>
        <w:pStyle w:val="ListBullet"/>
      </w:pPr>
      <w:r>
        <w:t xml:space="preserve">Julio César: </w:t>
      </w:r>
      <w:r>
        <w:rPr>
          <w:b/>
        </w:rPr>
        <w:t>1.5</w:t>
      </w:r>
      <w:r>
        <w:t xml:space="preserve">, </w:t>
      </w:r>
      <w:r>
        <w:rPr>
          <w:b/>
        </w:rPr>
        <w:t>3.5</w:t>
      </w:r>
      <w:r>
        <w:t>.</w:t>
      </w:r>
    </w:p>
    <w:p>
      <w:pPr>
        <w:pStyle w:val="ListBullet"/>
      </w:pPr>
      <w:r>
        <w:t xml:space="preserve">Julio Ponce: </w:t>
      </w:r>
      <w:r>
        <w:rPr>
          <w:b/>
        </w:rPr>
        <w:t>A.9</w:t>
      </w:r>
      <w:r>
        <w:t>.</w:t>
      </w:r>
    </w:p>
    <w:p>
      <w:pPr>
        <w:pStyle w:val="ListBullet"/>
      </w:pPr>
      <w:r>
        <w:t xml:space="preserve">Juvaini: </w:t>
      </w:r>
      <w:r>
        <w:rPr>
          <w:b/>
        </w:rPr>
        <w:t>F.7</w:t>
      </w:r>
      <w:r>
        <w:t>.</w:t>
      </w:r>
    </w:p>
    <w:p>
      <w:pPr>
        <w:pStyle w:val="ListBullet"/>
      </w:pPr>
      <w:r>
        <w:t xml:space="preserve">Kaliman y otros, Psychoneuroendocrinology 40 (2014): </w:t>
      </w:r>
      <w:r>
        <w:rPr>
          <w:b/>
        </w:rPr>
        <w:t>4.2</w:t>
      </w:r>
      <w:r>
        <w:t>.</w:t>
      </w:r>
    </w:p>
    <w:p>
      <w:pPr>
        <w:pStyle w:val="ListBullet"/>
      </w:pPr>
      <w:r>
        <w:t xml:space="preserve">Kant: </w:t>
      </w:r>
      <w:r>
        <w:rPr>
          <w:b/>
        </w:rPr>
        <w:t>2.4</w:t>
      </w:r>
      <w:r>
        <w:t xml:space="preserve">, </w:t>
      </w:r>
      <w:r>
        <w:rPr>
          <w:b/>
        </w:rPr>
        <w:t>6.1</w:t>
      </w:r>
      <w:r>
        <w:t>.</w:t>
      </w:r>
    </w:p>
    <w:p>
      <w:pPr>
        <w:pStyle w:val="ListBullet"/>
      </w:pPr>
      <w:r>
        <w:t xml:space="preserve">Keynes: </w:t>
      </w:r>
      <w:r>
        <w:rPr>
          <w:b/>
        </w:rPr>
        <w:t>8.2</w:t>
      </w:r>
      <w:r>
        <w:t>.</w:t>
      </w:r>
    </w:p>
    <w:p>
      <w:pPr>
        <w:pStyle w:val="ListBullet"/>
      </w:pPr>
      <w:r>
        <w:t xml:space="preserve">Kimball, la obshchina rusa: </w:t>
      </w:r>
      <w:r>
        <w:rPr>
          <w:b/>
        </w:rPr>
        <w:t>F.7</w:t>
      </w:r>
      <w:r>
        <w:t>.</w:t>
      </w:r>
    </w:p>
    <w:p>
      <w:pPr>
        <w:pStyle w:val="ListBullet"/>
      </w:pPr>
      <w:r>
        <w:t xml:space="preserve">La Boétie: </w:t>
      </w:r>
      <w:r>
        <w:rPr>
          <w:b/>
        </w:rPr>
        <w:t>4.1</w:t>
      </w:r>
      <w:r>
        <w:t xml:space="preserve">, </w:t>
      </w:r>
      <w:r>
        <w:rPr>
          <w:b/>
        </w:rPr>
        <w:t>5.4</w:t>
      </w:r>
      <w:r>
        <w:t>.</w:t>
      </w:r>
    </w:p>
    <w:p>
      <w:pPr>
        <w:pStyle w:val="ListBullet"/>
      </w:pPr>
      <w:r>
        <w:t xml:space="preserve">Lafuente Balle: </w:t>
      </w:r>
      <w:r>
        <w:rPr>
          <w:b/>
        </w:rPr>
        <w:t>A.9</w:t>
      </w:r>
      <w:r>
        <w:t>.</w:t>
      </w:r>
    </w:p>
    <w:p>
      <w:pPr>
        <w:pStyle w:val="ListBullet"/>
      </w:pPr>
      <w:r>
        <w:t xml:space="preserve">Locke: </w:t>
      </w:r>
      <w:r>
        <w:rPr>
          <w:b/>
        </w:rPr>
        <w:t>6.1</w:t>
      </w:r>
      <w:r>
        <w:t xml:space="preserve">, </w:t>
      </w:r>
      <w:r>
        <w:rPr>
          <w:b/>
        </w:rPr>
        <w:t>6.3</w:t>
      </w:r>
      <w:r>
        <w:t xml:space="preserve">, </w:t>
      </w:r>
      <w:r>
        <w:rPr>
          <w:b/>
        </w:rPr>
        <w:t>6.5</w:t>
      </w:r>
      <w:r>
        <w:t xml:space="preserve">, </w:t>
      </w:r>
      <w:r>
        <w:rPr>
          <w:b/>
        </w:rPr>
        <w:t>8.2</w:t>
      </w:r>
      <w:r>
        <w:t>.</w:t>
      </w:r>
    </w:p>
    <w:p>
      <w:pPr>
        <w:pStyle w:val="ListBullet"/>
      </w:pPr>
      <w:r>
        <w:t xml:space="preserve">López Austin: </w:t>
      </w:r>
      <w:r>
        <w:t>capítulo 9</w:t>
      </w:r>
      <w:r>
        <w:t>.</w:t>
      </w:r>
    </w:p>
    <w:p>
      <w:pPr>
        <w:pStyle w:val="ListBullet"/>
      </w:pPr>
      <w:r>
        <w:t xml:space="preserve">Lord Acton: </w:t>
      </w:r>
      <w:r>
        <w:rPr>
          <w:b/>
        </w:rPr>
        <w:t>8.9</w:t>
      </w:r>
      <w:r>
        <w:t>.</w:t>
      </w:r>
    </w:p>
    <w:p>
      <w:pPr>
        <w:pStyle w:val="ListBullet"/>
      </w:pPr>
      <w:r>
        <w:t xml:space="preserve">Lucrecio: </w:t>
      </w:r>
      <w:r>
        <w:rPr>
          <w:b/>
        </w:rPr>
        <w:t>H.10</w:t>
      </w:r>
      <w:r>
        <w:t>.</w:t>
      </w:r>
    </w:p>
    <w:p>
      <w:pPr>
        <w:pStyle w:val="ListBullet"/>
      </w:pPr>
      <w:r>
        <w:t xml:space="preserve">Luther Standing Bear: </w:t>
      </w:r>
      <w:r>
        <w:rPr>
          <w:b/>
        </w:rPr>
        <w:t>F.7</w:t>
      </w:r>
      <w:r>
        <w:t>.</w:t>
      </w:r>
    </w:p>
    <w:p>
      <w:pPr>
        <w:pStyle w:val="ListBullet"/>
      </w:pPr>
      <w:r>
        <w:t xml:space="preserve">Malebranche: </w:t>
      </w:r>
      <w:r>
        <w:rPr>
          <w:b/>
        </w:rPr>
        <w:t>6.1</w:t>
      </w:r>
      <w:r>
        <w:t>.</w:t>
      </w:r>
    </w:p>
    <w:p>
      <w:pPr>
        <w:pStyle w:val="ListBullet"/>
      </w:pPr>
      <w:r>
        <w:t xml:space="preserve">Malo, Antigüedades hawaianas: </w:t>
      </w:r>
      <w:r>
        <w:rPr>
          <w:b/>
        </w:rPr>
        <w:t>2.3</w:t>
      </w:r>
      <w:r>
        <w:t xml:space="preserve">, </w:t>
      </w:r>
      <w:r>
        <w:rPr>
          <w:b/>
        </w:rPr>
        <w:t>3.2</w:t>
      </w:r>
      <w:r>
        <w:t xml:space="preserve">, </w:t>
      </w:r>
      <w:r>
        <w:rPr>
          <w:b/>
        </w:rPr>
        <w:t>F.6</w:t>
      </w:r>
      <w:r>
        <w:t>.</w:t>
      </w:r>
    </w:p>
    <w:p>
      <w:pPr>
        <w:pStyle w:val="ListBullet"/>
      </w:pPr>
      <w:r>
        <w:t xml:space="preserve">Marco Aurelio: </w:t>
      </w:r>
      <w:r>
        <w:rPr>
          <w:b/>
        </w:rPr>
        <w:t>6.2</w:t>
      </w:r>
      <w:r>
        <w:t>.</w:t>
      </w:r>
    </w:p>
    <w:p>
      <w:pPr>
        <w:pStyle w:val="ListBullet"/>
      </w:pPr>
      <w:r>
        <w:t xml:space="preserve">Marín Arce: </w:t>
      </w:r>
      <w:r>
        <w:rPr>
          <w:b/>
        </w:rPr>
        <w:t>8.7</w:t>
      </w:r>
      <w:r>
        <w:t>.</w:t>
      </w:r>
    </w:p>
    <w:p>
      <w:pPr>
        <w:pStyle w:val="ListBullet"/>
      </w:pPr>
      <w:r>
        <w:t xml:space="preserve">Martín de Azpilcueta: </w:t>
      </w:r>
      <w:r>
        <w:rPr>
          <w:b/>
        </w:rPr>
        <w:t>8.2</w:t>
      </w:r>
      <w:r>
        <w:t>.</w:t>
      </w:r>
    </w:p>
    <w:p>
      <w:pPr>
        <w:pStyle w:val="ListBullet"/>
      </w:pPr>
      <w:r>
        <w:t xml:space="preserve">Martín-Retortillo Baquer: </w:t>
      </w:r>
      <w:r>
        <w:rPr>
          <w:b/>
        </w:rPr>
        <w:t>A.9</w:t>
      </w:r>
      <w:r>
        <w:t>.</w:t>
      </w:r>
    </w:p>
    <w:p>
      <w:pPr>
        <w:pStyle w:val="ListBullet"/>
      </w:pPr>
      <w:r>
        <w:t xml:space="preserve">Mastroianni y Gilbert: </w:t>
      </w:r>
      <w:r>
        <w:rPr>
          <w:b/>
        </w:rPr>
        <w:t>8.9</w:t>
      </w:r>
      <w:r>
        <w:t>.</w:t>
      </w:r>
    </w:p>
    <w:p>
      <w:pPr>
        <w:pStyle w:val="ListBullet"/>
      </w:pPr>
      <w:r>
        <w:t xml:space="preserve">Max Weber: </w:t>
      </w:r>
      <w:r>
        <w:rPr>
          <w:b/>
        </w:rPr>
        <w:t>6.3</w:t>
      </w:r>
      <w:r>
        <w:t xml:space="preserve">, </w:t>
      </w:r>
      <w:r>
        <w:rPr>
          <w:b/>
        </w:rPr>
        <w:t>6.4</w:t>
      </w:r>
      <w:r>
        <w:t>.</w:t>
      </w:r>
    </w:p>
    <w:p>
      <w:pPr>
        <w:pStyle w:val="ListBullet"/>
      </w:pPr>
      <w:r>
        <w:t xml:space="preserve">Meister Eckhart: </w:t>
      </w:r>
      <w:r>
        <w:rPr>
          <w:b/>
        </w:rPr>
        <w:t>I.1</w:t>
      </w:r>
      <w:r>
        <w:t>.</w:t>
      </w:r>
    </w:p>
    <w:p>
      <w:pPr>
        <w:pStyle w:val="ListBullet"/>
      </w:pPr>
      <w:r>
        <w:t xml:space="preserve">Mikel Buesa, «ETA: medio siglo de terrorismo. Un recuento estadístico» (2022): </w:t>
      </w:r>
      <w:r>
        <w:rPr>
          <w:b/>
        </w:rPr>
        <w:t>6.1</w:t>
      </w:r>
      <w:r>
        <w:t>.</w:t>
      </w:r>
    </w:p>
    <w:p>
      <w:pPr>
        <w:pStyle w:val="ListBullet"/>
      </w:pPr>
      <w:r>
        <w:t xml:space="preserve">Montaigne: </w:t>
      </w:r>
      <w:r>
        <w:rPr>
          <w:b/>
        </w:rPr>
        <w:t>5.3</w:t>
      </w:r>
      <w:r>
        <w:t>.</w:t>
      </w:r>
    </w:p>
    <w:p>
      <w:pPr>
        <w:pStyle w:val="ListBullet"/>
      </w:pPr>
      <w:r>
        <w:t xml:space="preserve">Montesquieu: </w:t>
      </w:r>
      <w:r>
        <w:rPr>
          <w:b/>
        </w:rPr>
        <w:t>6.1</w:t>
      </w:r>
      <w:r>
        <w:t xml:space="preserve">, </w:t>
      </w:r>
      <w:r>
        <w:rPr>
          <w:b/>
        </w:rPr>
        <w:t>6.5</w:t>
      </w:r>
      <w:r>
        <w:t>.</w:t>
      </w:r>
    </w:p>
    <w:p>
      <w:pPr>
        <w:pStyle w:val="ListBullet"/>
      </w:pPr>
      <w:r>
        <w:t xml:space="preserve">Murphy, «Measuring open access orders»: </w:t>
      </w:r>
      <w:r>
        <w:rPr>
          <w:b/>
        </w:rPr>
        <w:t>6.4</w:t>
      </w:r>
      <w:r>
        <w:t>.</w:t>
      </w:r>
    </w:p>
    <w:p>
      <w:pPr>
        <w:pStyle w:val="ListBullet"/>
      </w:pPr>
      <w:r>
        <w:t xml:space="preserve">Murra, Reciprocity and Redistribution in Andean Civilizations: </w:t>
      </w:r>
      <w:r>
        <w:rPr>
          <w:b/>
        </w:rPr>
        <w:t>F.7</w:t>
      </w:r>
      <w:r>
        <w:t>.</w:t>
      </w:r>
    </w:p>
    <w:p>
      <w:pPr>
        <w:pStyle w:val="ListBullet"/>
      </w:pPr>
      <w:r>
        <w:t xml:space="preserve">Musonio Rufo: </w:t>
      </w:r>
      <w:r>
        <w:rPr>
          <w:b/>
        </w:rPr>
        <w:t>F.4</w:t>
      </w:r>
      <w:r>
        <w:t>.</w:t>
      </w:r>
    </w:p>
    <w:p>
      <w:pPr>
        <w:pStyle w:val="ListBullet"/>
      </w:pPr>
      <w:r>
        <w:t xml:space="preserve">Nicolás Oresme: </w:t>
      </w:r>
      <w:r>
        <w:rPr>
          <w:b/>
        </w:rPr>
        <w:t>8.2</w:t>
      </w:r>
      <w:r>
        <w:t>.</w:t>
      </w:r>
    </w:p>
    <w:p>
      <w:pPr>
        <w:pStyle w:val="ListBullet"/>
      </w:pPr>
      <w:r>
        <w:t xml:space="preserve">Norris (y Harney), songlines: </w:t>
      </w:r>
      <w:r>
        <w:rPr>
          <w:b/>
        </w:rPr>
        <w:t>F.7</w:t>
      </w:r>
      <w:r>
        <w:t>.</w:t>
      </w:r>
    </w:p>
    <w:p>
      <w:pPr>
        <w:pStyle w:val="ListBullet"/>
      </w:pPr>
      <w:r>
        <w:t xml:space="preserve">North, Wallis y Weingast: </w:t>
      </w:r>
      <w:r>
        <w:rPr>
          <w:b/>
        </w:rPr>
        <w:t>6.4</w:t>
      </w:r>
      <w:r>
        <w:t>.</w:t>
      </w:r>
    </w:p>
    <w:p>
      <w:pPr>
        <w:pStyle w:val="ListBullet"/>
      </w:pPr>
      <w:r>
        <w:t xml:space="preserve">Oliver Araújo: </w:t>
      </w:r>
      <w:r>
        <w:rPr>
          <w:b/>
        </w:rPr>
        <w:t>11.3</w:t>
      </w:r>
      <w:r>
        <w:t>.</w:t>
      </w:r>
    </w:p>
    <w:p>
      <w:pPr>
        <w:pStyle w:val="ListBullet"/>
      </w:pPr>
      <w:r>
        <w:t xml:space="preserve">Oosten y otros, Inuit Laws: </w:t>
      </w:r>
      <w:r>
        <w:rPr>
          <w:b/>
        </w:rPr>
        <w:t>F.7</w:t>
      </w:r>
      <w:r>
        <w:t>.</w:t>
      </w:r>
    </w:p>
    <w:p>
      <w:pPr>
        <w:pStyle w:val="ListBullet"/>
      </w:pPr>
      <w:r>
        <w:t xml:space="preserve">Pascal: </w:t>
      </w:r>
      <w:r>
        <w:rPr>
          <w:b/>
        </w:rPr>
        <w:t>5.3</w:t>
      </w:r>
      <w:r>
        <w:t>.</w:t>
      </w:r>
    </w:p>
    <w:p>
      <w:pPr>
        <w:pStyle w:val="ListBullet"/>
      </w:pPr>
      <w:r>
        <w:t xml:space="preserve">Pita Broncano: </w:t>
      </w:r>
      <w:r>
        <w:rPr>
          <w:b/>
        </w:rPr>
        <w:t>6.1</w:t>
      </w:r>
      <w:r>
        <w:t>.</w:t>
      </w:r>
    </w:p>
    <w:p>
      <w:pPr>
        <w:pStyle w:val="ListBullet"/>
      </w:pPr>
      <w:r>
        <w:t xml:space="preserve">Platón: </w:t>
      </w:r>
      <w:r>
        <w:rPr>
          <w:b/>
        </w:rPr>
        <w:t>1.4</w:t>
      </w:r>
      <w:r>
        <w:t xml:space="preserve">, </w:t>
      </w:r>
      <w:r>
        <w:rPr>
          <w:b/>
        </w:rPr>
        <w:t>1.9</w:t>
      </w:r>
      <w:r>
        <w:t xml:space="preserve">, </w:t>
      </w:r>
      <w:r>
        <w:rPr>
          <w:b/>
        </w:rPr>
        <w:t>2.3</w:t>
      </w:r>
      <w:r>
        <w:t xml:space="preserve">, </w:t>
      </w:r>
      <w:r>
        <w:rPr>
          <w:b/>
        </w:rPr>
        <w:t>2.5</w:t>
      </w:r>
      <w:r>
        <w:t xml:space="preserve">, </w:t>
      </w:r>
      <w:r>
        <w:rPr>
          <w:b/>
        </w:rPr>
        <w:t>3.2</w:t>
      </w:r>
      <w:r>
        <w:t xml:space="preserve">, </w:t>
      </w:r>
      <w:r>
        <w:rPr>
          <w:b/>
        </w:rPr>
        <w:t>10.3</w:t>
      </w:r>
      <w:r>
        <w:t xml:space="preserve">, </w:t>
      </w:r>
      <w:r>
        <w:rPr>
          <w:b/>
        </w:rPr>
        <w:t>11.6</w:t>
      </w:r>
      <w:r>
        <w:t xml:space="preserve">, </w:t>
      </w:r>
      <w:r>
        <w:rPr>
          <w:b/>
        </w:rPr>
        <w:t>F.4</w:t>
      </w:r>
      <w:r>
        <w:t xml:space="preserve">, </w:t>
      </w:r>
      <w:r>
        <w:rPr>
          <w:b/>
        </w:rPr>
        <w:t>J.3</w:t>
      </w:r>
      <w:r>
        <w:t>.</w:t>
      </w:r>
    </w:p>
    <w:p>
      <w:pPr>
        <w:pStyle w:val="ListBullet"/>
      </w:pPr>
      <w:r>
        <w:t xml:space="preserve">Rattray, Ashanti Law and Constitution: </w:t>
      </w:r>
      <w:r>
        <w:rPr>
          <w:b/>
        </w:rPr>
        <w:t>3.2</w:t>
      </w:r>
      <w:r>
        <w:t xml:space="preserve">, </w:t>
      </w:r>
      <w:r>
        <w:rPr>
          <w:b/>
        </w:rPr>
        <w:t>3.3</w:t>
      </w:r>
      <w:r>
        <w:t xml:space="preserve">, </w:t>
      </w:r>
      <w:r>
        <w:rPr>
          <w:b/>
        </w:rPr>
        <w:t>7.5</w:t>
      </w:r>
      <w:r>
        <w:t xml:space="preserve">, </w:t>
      </w:r>
      <w:r>
        <w:rPr>
          <w:b/>
        </w:rPr>
        <w:t>F.6</w:t>
      </w:r>
      <w:r>
        <w:t>.</w:t>
      </w:r>
    </w:p>
    <w:p>
      <w:pPr>
        <w:pStyle w:val="ListBullet"/>
      </w:pPr>
      <w:r>
        <w:t xml:space="preserve">Revista de Derecho Político (UNED): </w:t>
      </w:r>
      <w:r>
        <w:rPr>
          <w:b/>
        </w:rPr>
        <w:t>A.3</w:t>
      </w:r>
      <w:r>
        <w:t xml:space="preserve">, </w:t>
      </w:r>
      <w:r>
        <w:rPr>
          <w:b/>
        </w:rPr>
        <w:t>A.6</w:t>
      </w:r>
      <w:r>
        <w:t xml:space="preserve">, </w:t>
      </w:r>
      <w:r>
        <w:rPr>
          <w:b/>
        </w:rPr>
        <w:t>A.11</w:t>
      </w:r>
      <w:r>
        <w:t>.</w:t>
      </w:r>
    </w:p>
    <w:p>
      <w:pPr>
        <w:pStyle w:val="ListBullet"/>
      </w:pPr>
      <w:r>
        <w:t xml:space="preserve">Robert D. Putnam: </w:t>
      </w:r>
      <w:r>
        <w:rPr>
          <w:b/>
        </w:rPr>
        <w:t>5.3</w:t>
      </w:r>
      <w:r>
        <w:t>.</w:t>
      </w:r>
    </w:p>
    <w:p>
      <w:pPr>
        <w:pStyle w:val="ListBullet"/>
      </w:pPr>
      <w:r>
        <w:t xml:space="preserve">Robert Michels: </w:t>
      </w:r>
      <w:r>
        <w:rPr>
          <w:b/>
        </w:rPr>
        <w:t>6.4</w:t>
      </w:r>
      <w:r>
        <w:t>.</w:t>
      </w:r>
    </w:p>
    <w:p>
      <w:pPr>
        <w:pStyle w:val="ListBullet"/>
      </w:pPr>
      <w:r>
        <w:t xml:space="preserve">Robespierre: </w:t>
      </w:r>
      <w:r>
        <w:rPr>
          <w:b/>
        </w:rPr>
        <w:t>6.1</w:t>
      </w:r>
      <w:r>
        <w:t>.</w:t>
      </w:r>
    </w:p>
    <w:p>
      <w:pPr>
        <w:pStyle w:val="ListBullet"/>
      </w:pPr>
      <w:r>
        <w:t xml:space="preserve">Rousseau: </w:t>
      </w:r>
      <w:r>
        <w:rPr>
          <w:b/>
        </w:rPr>
        <w:t>5.4</w:t>
      </w:r>
      <w:r>
        <w:t xml:space="preserve">, </w:t>
      </w:r>
      <w:r>
        <w:rPr>
          <w:b/>
        </w:rPr>
        <w:t>6.1</w:t>
      </w:r>
      <w:r>
        <w:t xml:space="preserve">, </w:t>
      </w:r>
      <w:r>
        <w:rPr>
          <w:b/>
        </w:rPr>
        <w:t>8.5</w:t>
      </w:r>
      <w:r>
        <w:t>.</w:t>
      </w:r>
    </w:p>
    <w:p>
      <w:pPr>
        <w:pStyle w:val="ListBullet"/>
      </w:pPr>
      <w:r>
        <w:t xml:space="preserve">Sahagún, Historia general de las cosas de Nueva España: </w:t>
      </w:r>
      <w:r>
        <w:rPr>
          <w:b/>
        </w:rPr>
        <w:t>2.3</w:t>
      </w:r>
      <w:r>
        <w:t xml:space="preserve">, </w:t>
      </w:r>
      <w:r>
        <w:rPr>
          <w:b/>
        </w:rPr>
        <w:t>F.6</w:t>
      </w:r>
      <w:r>
        <w:t>.</w:t>
      </w:r>
    </w:p>
    <w:p>
      <w:pPr>
        <w:pStyle w:val="ListBullet"/>
      </w:pPr>
      <w:r>
        <w:t xml:space="preserve">Saint-Just: </w:t>
      </w:r>
      <w:r>
        <w:rPr>
          <w:b/>
        </w:rPr>
        <w:t>6.1</w:t>
      </w:r>
      <w:r>
        <w:t>.</w:t>
      </w:r>
    </w:p>
    <w:p>
      <w:pPr>
        <w:pStyle w:val="ListBullet"/>
      </w:pPr>
      <w:r>
        <w:t xml:space="preserve">San Juan de la Cruz: </w:t>
      </w:r>
      <w:r>
        <w:rPr>
          <w:b/>
        </w:rPr>
        <w:t>I.1</w:t>
      </w:r>
      <w:r>
        <w:t>.</w:t>
      </w:r>
    </w:p>
    <w:p>
      <w:pPr>
        <w:pStyle w:val="ListBullet"/>
      </w:pPr>
      <w:r>
        <w:t xml:space="preserve">Scheppele: </w:t>
      </w:r>
      <w:r>
        <w:rPr>
          <w:b/>
        </w:rPr>
        <w:t>7.2</w:t>
      </w:r>
      <w:r>
        <w:t>.</w:t>
      </w:r>
    </w:p>
    <w:p>
      <w:pPr>
        <w:pStyle w:val="ListBullet"/>
      </w:pPr>
      <w:r>
        <w:t xml:space="preserve">Séneca: </w:t>
      </w:r>
      <w:r>
        <w:rPr>
          <w:b/>
        </w:rPr>
        <w:t>3.2</w:t>
      </w:r>
      <w:r>
        <w:t xml:space="preserve">, </w:t>
      </w:r>
      <w:r>
        <w:rPr>
          <w:b/>
        </w:rPr>
        <w:t>7.5</w:t>
      </w:r>
      <w:r>
        <w:t xml:space="preserve">, </w:t>
      </w:r>
      <w:r>
        <w:rPr>
          <w:b/>
        </w:rPr>
        <w:t>F.4</w:t>
      </w:r>
      <w:r>
        <w:t xml:space="preserve">, </w:t>
      </w:r>
      <w:r>
        <w:rPr>
          <w:b/>
        </w:rPr>
        <w:t>H.10</w:t>
      </w:r>
      <w:r>
        <w:t>.</w:t>
      </w:r>
    </w:p>
    <w:p>
      <w:pPr>
        <w:pStyle w:val="ListBullet"/>
      </w:pPr>
      <w:r>
        <w:t xml:space="preserve">Sherif y otros, The Robbers Cave Experiment: </w:t>
      </w:r>
      <w:r>
        <w:rPr>
          <w:b/>
        </w:rPr>
        <w:t>4.1</w:t>
      </w:r>
      <w:r>
        <w:t>.</w:t>
      </w:r>
    </w:p>
    <w:p>
      <w:pPr>
        <w:pStyle w:val="ListBullet"/>
      </w:pPr>
      <w:r>
        <w:t xml:space="preserve">Smith, Smith y Stocks: </w:t>
      </w:r>
      <w:r>
        <w:rPr>
          <w:b/>
        </w:rPr>
        <w:t>8.9</w:t>
      </w:r>
      <w:r>
        <w:t>.</w:t>
      </w:r>
    </w:p>
    <w:p>
      <w:pPr>
        <w:pStyle w:val="ListBullet"/>
      </w:pPr>
      <w:r>
        <w:t xml:space="preserve">Sófocles: </w:t>
      </w:r>
      <w:r>
        <w:rPr>
          <w:b/>
        </w:rPr>
        <w:t>1.4</w:t>
      </w:r>
      <w:r>
        <w:t xml:space="preserve">, </w:t>
      </w:r>
      <w:r>
        <w:rPr>
          <w:b/>
        </w:rPr>
        <w:t>6.2</w:t>
      </w:r>
      <w:r>
        <w:t>.</w:t>
      </w:r>
    </w:p>
    <w:p>
      <w:pPr>
        <w:pStyle w:val="ListBullet"/>
      </w:pPr>
      <w:r>
        <w:t xml:space="preserve">Stigler: </w:t>
      </w:r>
      <w:r>
        <w:rPr>
          <w:b/>
        </w:rPr>
        <w:t>11.2</w:t>
      </w:r>
      <w:r>
        <w:t>.</w:t>
      </w:r>
    </w:p>
    <w:p>
      <w:pPr>
        <w:pStyle w:val="ListBullet"/>
      </w:pPr>
      <w:r>
        <w:t xml:space="preserve">Straehle: </w:t>
      </w:r>
      <w:r>
        <w:rPr>
          <w:b/>
        </w:rPr>
        <w:t>6.1</w:t>
      </w:r>
      <w:r>
        <w:t>.</w:t>
      </w:r>
    </w:p>
    <w:p>
      <w:pPr>
        <w:pStyle w:val="ListBullet"/>
      </w:pPr>
      <w:r>
        <w:t xml:space="preserve">Suetonio, Vidas de los Césares: </w:t>
      </w:r>
      <w:r>
        <w:rPr>
          <w:b/>
        </w:rPr>
        <w:t>3.5</w:t>
      </w:r>
      <w:r>
        <w:t xml:space="preserve">, </w:t>
      </w:r>
      <w:r>
        <w:rPr>
          <w:b/>
        </w:rPr>
        <w:t>6.2</w:t>
      </w:r>
      <w:r>
        <w:t>.</w:t>
      </w:r>
    </w:p>
    <w:p>
      <w:pPr>
        <w:pStyle w:val="ListBullet"/>
      </w:pPr>
      <w:r>
        <w:t xml:space="preserve">Tácito, Anales: </w:t>
      </w:r>
      <w:r>
        <w:rPr>
          <w:b/>
        </w:rPr>
        <w:t>3.2</w:t>
      </w:r>
      <w:r>
        <w:t xml:space="preserve">, </w:t>
      </w:r>
      <w:r>
        <w:rPr>
          <w:b/>
        </w:rPr>
        <w:t>3.4</w:t>
      </w:r>
      <w:r>
        <w:t xml:space="preserve">, </w:t>
      </w:r>
      <w:r>
        <w:rPr>
          <w:b/>
        </w:rPr>
        <w:t>F.4</w:t>
      </w:r>
      <w:r>
        <w:t>.</w:t>
      </w:r>
    </w:p>
    <w:p>
      <w:pPr>
        <w:pStyle w:val="ListBullet"/>
      </w:pPr>
      <w:r>
        <w:t xml:space="preserve">Tomás de Aquino, Suma teológica: </w:t>
      </w:r>
      <w:r>
        <w:rPr>
          <w:b/>
        </w:rPr>
        <w:t>0.4</w:t>
      </w:r>
      <w:r>
        <w:t xml:space="preserve">, </w:t>
      </w:r>
      <w:r>
        <w:rPr>
          <w:b/>
        </w:rPr>
        <w:t>1.1</w:t>
      </w:r>
      <w:r>
        <w:t xml:space="preserve">, </w:t>
      </w:r>
      <w:r>
        <w:rPr>
          <w:b/>
        </w:rPr>
        <w:t>1.2</w:t>
      </w:r>
      <w:r>
        <w:t xml:space="preserve">, </w:t>
      </w:r>
      <w:r>
        <w:rPr>
          <w:b/>
        </w:rPr>
        <w:t>1.4</w:t>
      </w:r>
      <w:r>
        <w:t xml:space="preserve">, </w:t>
      </w:r>
      <w:r>
        <w:rPr>
          <w:b/>
        </w:rPr>
        <w:t>1.5</w:t>
      </w:r>
      <w:r>
        <w:t xml:space="preserve">, </w:t>
      </w:r>
      <w:r>
        <w:rPr>
          <w:b/>
        </w:rPr>
        <w:t>1.6</w:t>
      </w:r>
      <w:r>
        <w:t xml:space="preserve">, </w:t>
      </w:r>
      <w:r>
        <w:rPr>
          <w:b/>
        </w:rPr>
        <w:t>2.1</w:t>
      </w:r>
      <w:r>
        <w:t xml:space="preserve">, </w:t>
      </w:r>
      <w:r>
        <w:rPr>
          <w:b/>
        </w:rPr>
        <w:t>11.2</w:t>
      </w:r>
      <w:r>
        <w:t>.</w:t>
      </w:r>
    </w:p>
    <w:p>
      <w:pPr>
        <w:pStyle w:val="ListBullet"/>
      </w:pPr>
      <w:r>
        <w:t xml:space="preserve">Tomás de Mercado: </w:t>
      </w:r>
      <w:r>
        <w:rPr>
          <w:b/>
        </w:rPr>
        <w:t>3.3</w:t>
      </w:r>
      <w:r>
        <w:t>.</w:t>
      </w:r>
    </w:p>
    <w:p>
      <w:pPr>
        <w:pStyle w:val="ListBullet"/>
      </w:pPr>
      <w:r>
        <w:t xml:space="preserve">Torquemada, Monarquía indiana: </w:t>
      </w:r>
      <w:r>
        <w:t>capítulo 9</w:t>
      </w:r>
      <w:r>
        <w:t>.</w:t>
      </w:r>
    </w:p>
    <w:p>
      <w:pPr>
        <w:pStyle w:val="ListBullet"/>
      </w:pPr>
      <w:r>
        <w:t xml:space="preserve">Victorino de Pettau, Comentario al Apocalipsis: </w:t>
      </w:r>
      <w:r>
        <w:rPr>
          <w:b/>
        </w:rPr>
        <w:t>8.11</w:t>
      </w:r>
      <w:r>
        <w:t>.</w:t>
      </w:r>
    </w:p>
    <w:p>
      <w:pPr>
        <w:pStyle w:val="ListBullet"/>
      </w:pPr>
      <w:r>
        <w:t xml:space="preserve">Vilfredo Pareto: </w:t>
      </w:r>
      <w:r>
        <w:rPr>
          <w:b/>
        </w:rPr>
        <w:t>6.4</w:t>
      </w:r>
      <w:r>
        <w:t>.</w:t>
      </w:r>
    </w:p>
    <w:p>
      <w:pPr>
        <w:pStyle w:val="ListBullet"/>
      </w:pPr>
      <w:r>
        <w:t xml:space="preserve">Vírgala: </w:t>
      </w:r>
      <w:r>
        <w:rPr>
          <w:b/>
        </w:rPr>
        <w:t>A.2</w:t>
      </w:r>
      <w:r>
        <w:t>.</w:t>
      </w:r>
    </w:p>
    <w:p>
      <w:pPr>
        <w:pStyle w:val="ListBullet"/>
      </w:pPr>
      <w:r>
        <w:t xml:space="preserve">Weidmann: </w:t>
      </w:r>
      <w:r>
        <w:rPr>
          <w:b/>
        </w:rPr>
        <w:t>8.2</w:t>
      </w:r>
      <w:r>
        <w:t>.</w:t>
      </w:r>
    </w:p>
    <w:p>
      <w:pPr>
        <w:pStyle w:val="ListBullet"/>
      </w:pPr>
      <w:r>
        <w:t xml:space="preserve">Werner: </w:t>
      </w:r>
      <w:r>
        <w:rPr>
          <w:b/>
        </w:rPr>
        <w:t>8.1</w:t>
      </w:r>
      <w:r>
        <w:t>.</w:t>
      </w:r>
    </w:p>
    <w:p>
      <w:pPr>
        <w:pStyle w:val="ListBullet"/>
      </w:pPr>
      <w:r>
        <w:t xml:space="preserve">White y Schuler: </w:t>
      </w:r>
      <w:r>
        <w:rPr>
          <w:b/>
        </w:rPr>
        <w:t>8.2</w:t>
      </w:r>
      <w:r>
        <w:t>.</w:t>
      </w:r>
    </w:p>
    <w:p>
      <w:r>
        <w:rPr>
          <w:b/>
        </w:rPr>
        <w:t>Los diccionarios y las obras de consulta</w:t>
      </w:r>
      <w:r>
        <w:t xml:space="preserve"> (15 fuentes)</w:t>
      </w:r>
    </w:p>
    <w:p>
      <w:pPr>
        <w:pStyle w:val="ListBullet"/>
      </w:pPr>
      <w:r>
        <w:t xml:space="preserve">Black's Law Dictionary: </w:t>
      </w:r>
      <w:r>
        <w:rPr>
          <w:b/>
        </w:rPr>
        <w:t>H.10</w:t>
      </w:r>
      <w:r>
        <w:t>.</w:t>
      </w:r>
    </w:p>
    <w:p>
      <w:pPr>
        <w:pStyle w:val="ListBullet"/>
      </w:pPr>
      <w:r>
        <w:t xml:space="preserve">Cotterell, A collection of Latin maxims and phrases (1913): </w:t>
      </w:r>
      <w:r>
        <w:rPr>
          <w:b/>
        </w:rPr>
        <w:t>H.10</w:t>
      </w:r>
      <w:r>
        <w:t>.</w:t>
      </w:r>
    </w:p>
    <w:p>
      <w:pPr>
        <w:pStyle w:val="ListBullet"/>
      </w:pPr>
      <w:r>
        <w:t xml:space="preserve">dalailama.com: </w:t>
      </w:r>
      <w:r>
        <w:rPr>
          <w:b/>
        </w:rPr>
        <w:t>6.2</w:t>
      </w:r>
      <w:r>
        <w:t>.</w:t>
      </w:r>
    </w:p>
    <w:p>
      <w:pPr>
        <w:pStyle w:val="ListBullet"/>
      </w:pPr>
      <w:r>
        <w:t xml:space="preserve">Electronic Dictionary of the Irish Language: </w:t>
      </w:r>
      <w:r>
        <w:rPr>
          <w:b/>
        </w:rPr>
        <w:t>F.7</w:t>
      </w:r>
      <w:r>
        <w:t>.</w:t>
      </w:r>
    </w:p>
    <w:p>
      <w:pPr>
        <w:pStyle w:val="ListBullet"/>
      </w:pPr>
      <w:r>
        <w:t xml:space="preserve">Encyclopaedia Britannica: </w:t>
      </w:r>
      <w:r>
        <w:rPr>
          <w:b/>
        </w:rPr>
        <w:t>3.2</w:t>
      </w:r>
      <w:r>
        <w:t xml:space="preserve">, </w:t>
      </w:r>
      <w:r>
        <w:rPr>
          <w:b/>
        </w:rPr>
        <w:t>7.5</w:t>
      </w:r>
      <w:r>
        <w:t xml:space="preserve">, </w:t>
      </w:r>
      <w:r>
        <w:rPr>
          <w:b/>
        </w:rPr>
        <w:t>9.2</w:t>
      </w:r>
      <w:r>
        <w:t xml:space="preserve">, </w:t>
      </w:r>
      <w:r>
        <w:rPr>
          <w:b/>
        </w:rPr>
        <w:t>H.10</w:t>
      </w:r>
      <w:r>
        <w:t>.</w:t>
      </w:r>
    </w:p>
    <w:p>
      <w:pPr>
        <w:pStyle w:val="ListBullet"/>
      </w:pPr>
      <w:r>
        <w:t xml:space="preserve">Ethiopian Heritage Fund: </w:t>
      </w:r>
      <w:r>
        <w:rPr>
          <w:b/>
        </w:rPr>
        <w:t>0.1</w:t>
      </w:r>
      <w:r>
        <w:t>.</w:t>
      </w:r>
    </w:p>
    <w:p>
      <w:pPr>
        <w:pStyle w:val="ListBullet"/>
      </w:pPr>
      <w:r>
        <w:t xml:space="preserve">Halkerston, A collection of Latin maxims &amp; rules (1823): </w:t>
      </w:r>
      <w:r>
        <w:rPr>
          <w:b/>
        </w:rPr>
        <w:t>H.10</w:t>
      </w:r>
      <w:r>
        <w:t>.</w:t>
      </w:r>
    </w:p>
    <w:p>
      <w:pPr>
        <w:pStyle w:val="ListBullet"/>
      </w:pPr>
      <w:r>
        <w:t xml:space="preserve">Lewis y Short, A Latin Dictionary: </w:t>
      </w:r>
      <w:r>
        <w:rPr>
          <w:b/>
        </w:rPr>
        <w:t>5.3</w:t>
      </w:r>
      <w:r>
        <w:t xml:space="preserve">, </w:t>
      </w:r>
      <w:r>
        <w:rPr>
          <w:b/>
        </w:rPr>
        <w:t>6.2</w:t>
      </w:r>
      <w:r>
        <w:t>.</w:t>
      </w:r>
    </w:p>
    <w:p>
      <w:pPr>
        <w:pStyle w:val="ListBullet"/>
      </w:pPr>
      <w:r>
        <w:t xml:space="preserve">Liddell y Scott, Greek-English Lexicon: </w:t>
      </w:r>
      <w:r>
        <w:rPr>
          <w:b/>
        </w:rPr>
        <w:t>3.2</w:t>
      </w:r>
      <w:r>
        <w:t>.</w:t>
      </w:r>
    </w:p>
    <w:p>
      <w:pPr>
        <w:pStyle w:val="ListBullet"/>
      </w:pPr>
      <w:r>
        <w:t xml:space="preserve">Monier-Williams, A Sanskrit-English Dictionary: </w:t>
      </w:r>
      <w:r>
        <w:t>anexo F</w:t>
      </w:r>
      <w:r>
        <w:t xml:space="preserve">, </w:t>
      </w:r>
      <w:r>
        <w:rPr>
          <w:b/>
        </w:rPr>
        <w:t>F.8</w:t>
      </w:r>
      <w:r>
        <w:t>.</w:t>
      </w:r>
    </w:p>
    <w:p>
      <w:pPr>
        <w:pStyle w:val="ListBullet"/>
      </w:pPr>
      <w:r>
        <w:t xml:space="preserve">Nebrija, Vocabulario español-latino: </w:t>
      </w:r>
      <w:r>
        <w:rPr>
          <w:b/>
        </w:rPr>
        <w:t>D.13</w:t>
      </w:r>
      <w:r>
        <w:t>.</w:t>
      </w:r>
    </w:p>
    <w:p>
      <w:pPr>
        <w:pStyle w:val="ListBullet"/>
      </w:pPr>
      <w:r>
        <w:t xml:space="preserve">Real Academia Española, Diccionario de la lengua española (y ediciones antiguas): </w:t>
      </w:r>
      <w:r>
        <w:rPr>
          <w:b/>
        </w:rPr>
        <w:t>0.2</w:t>
      </w:r>
      <w:r>
        <w:t xml:space="preserve">, </w:t>
      </w:r>
      <w:r>
        <w:rPr>
          <w:b/>
        </w:rPr>
        <w:t>5.1</w:t>
      </w:r>
      <w:r>
        <w:t xml:space="preserve">, </w:t>
      </w:r>
      <w:r>
        <w:rPr>
          <w:b/>
        </w:rPr>
        <w:t>6.1</w:t>
      </w:r>
      <w:r>
        <w:t xml:space="preserve">, </w:t>
      </w:r>
      <w:r>
        <w:rPr>
          <w:b/>
        </w:rPr>
        <w:t>8.1</w:t>
      </w:r>
      <w:r>
        <w:t xml:space="preserve">, </w:t>
      </w:r>
      <w:r>
        <w:rPr>
          <w:b/>
        </w:rPr>
        <w:t>8.3</w:t>
      </w:r>
      <w:r>
        <w:t xml:space="preserve">, </w:t>
      </w:r>
      <w:r>
        <w:rPr>
          <w:b/>
        </w:rPr>
        <w:t>D.13</w:t>
      </w:r>
      <w:r>
        <w:t>.</w:t>
      </w:r>
    </w:p>
    <w:p>
      <w:pPr>
        <w:pStyle w:val="ListBullet"/>
      </w:pPr>
      <w:r>
        <w:t xml:space="preserve">Real Academia Española, Diccionario panhispánico del español jurídico: </w:t>
      </w:r>
      <w:r>
        <w:rPr>
          <w:b/>
        </w:rPr>
        <w:t>6.3</w:t>
      </w:r>
      <w:r>
        <w:t xml:space="preserve">, </w:t>
      </w:r>
      <w:r>
        <w:rPr>
          <w:b/>
        </w:rPr>
        <w:t>8.5</w:t>
      </w:r>
      <w:r>
        <w:t xml:space="preserve">, </w:t>
      </w:r>
      <w:r>
        <w:rPr>
          <w:b/>
        </w:rPr>
        <w:t>D.9</w:t>
      </w:r>
      <w:r>
        <w:t xml:space="preserve">, </w:t>
      </w:r>
      <w:r>
        <w:rPr>
          <w:b/>
        </w:rPr>
        <w:t>D.13</w:t>
      </w:r>
      <w:r>
        <w:t xml:space="preserve">, </w:t>
      </w:r>
      <w:r>
        <w:rPr>
          <w:b/>
        </w:rPr>
        <w:t>H.10</w:t>
      </w:r>
      <w:r>
        <w:t>.</w:t>
      </w:r>
    </w:p>
    <w:p>
      <w:pPr>
        <w:pStyle w:val="ListBullet"/>
      </w:pPr>
      <w:r>
        <w:t xml:space="preserve">South African History Online: </w:t>
      </w:r>
      <w:r>
        <w:rPr>
          <w:b/>
        </w:rPr>
        <w:t>9.2</w:t>
      </w:r>
      <w:r>
        <w:t>.</w:t>
      </w:r>
    </w:p>
    <w:p>
      <w:pPr>
        <w:pStyle w:val="ListBullet"/>
      </w:pPr>
      <w:r>
        <w:t xml:space="preserve">Webster's Revised Unabridged Dictionary (1913): </w:t>
      </w:r>
      <w:r>
        <w:rPr>
          <w:b/>
        </w:rPr>
        <w:t>5.1</w:t>
      </w:r>
      <w:r>
        <w:t xml:space="preserve">, </w:t>
      </w:r>
      <w:r>
        <w:rPr>
          <w:b/>
        </w:rPr>
        <w:t>8.3</w:t>
      </w:r>
      <w:r>
        <w:t>.</w:t>
      </w:r>
    </w:p>
    <w:p>
      <w:r>
        <w:rPr>
          <w:b/>
        </w:rPr>
        <w:t>La prensa, los estudios privados y otras fuentes</w:t>
      </w:r>
      <w:r>
        <w:t xml:space="preserve"> (38 fuentes)</w:t>
      </w:r>
    </w:p>
    <w:p>
      <w:pPr>
        <w:pStyle w:val="ListBullet"/>
      </w:pPr>
      <w:r>
        <w:t xml:space="preserve">ABC: </w:t>
      </w:r>
      <w:r>
        <w:rPr>
          <w:b/>
        </w:rPr>
        <w:t>7.7</w:t>
      </w:r>
      <w:r>
        <w:t xml:space="preserve">, </w:t>
      </w:r>
      <w:r>
        <w:rPr>
          <w:b/>
        </w:rPr>
        <w:t>A.2</w:t>
      </w:r>
      <w:r>
        <w:t>.</w:t>
      </w:r>
    </w:p>
    <w:p>
      <w:pPr>
        <w:pStyle w:val="ListBullet"/>
      </w:pPr>
      <w:r>
        <w:t xml:space="preserve">AEDAF: </w:t>
      </w:r>
      <w:r>
        <w:rPr>
          <w:b/>
        </w:rPr>
        <w:t>A.8</w:t>
      </w:r>
      <w:r>
        <w:t xml:space="preserve">, </w:t>
      </w:r>
      <w:r>
        <w:rPr>
          <w:b/>
        </w:rPr>
        <w:t>A.9</w:t>
      </w:r>
      <w:r>
        <w:t>.</w:t>
      </w:r>
    </w:p>
    <w:p>
      <w:pPr>
        <w:pStyle w:val="ListBullet"/>
      </w:pPr>
      <w:r>
        <w:t xml:space="preserve">Artículo14: </w:t>
      </w:r>
      <w:r>
        <w:rPr>
          <w:b/>
        </w:rPr>
        <w:t>A.4</w:t>
      </w:r>
      <w:r>
        <w:t>.</w:t>
      </w:r>
    </w:p>
    <w:p>
      <w:pPr>
        <w:pStyle w:val="ListBullet"/>
      </w:pPr>
      <w:r>
        <w:t xml:space="preserve">Asociación de Letrados por un Turno de Oficio Digno (ALTODO): </w:t>
      </w:r>
      <w:r>
        <w:rPr>
          <w:b/>
        </w:rPr>
        <w:t>A.7</w:t>
      </w:r>
      <w:r>
        <w:t>.</w:t>
      </w:r>
    </w:p>
    <w:p>
      <w:pPr>
        <w:pStyle w:val="ListBullet"/>
      </w:pPr>
      <w:r>
        <w:t xml:space="preserve">Asociación Estatal de Directoras y Gerentes de Servicios Sociales: </w:t>
      </w:r>
      <w:r>
        <w:rPr>
          <w:b/>
        </w:rPr>
        <w:t>8.5</w:t>
      </w:r>
      <w:r>
        <w:t xml:space="preserve">, </w:t>
      </w:r>
      <w:r>
        <w:rPr>
          <w:b/>
        </w:rPr>
        <w:t>11.6</w:t>
      </w:r>
      <w:r>
        <w:t>.</w:t>
      </w:r>
    </w:p>
    <w:p>
      <w:pPr>
        <w:pStyle w:val="ListBullet"/>
      </w:pPr>
      <w:r>
        <w:t xml:space="preserve">ASUFIN: </w:t>
      </w:r>
      <w:r>
        <w:rPr>
          <w:b/>
        </w:rPr>
        <w:t>B.5</w:t>
      </w:r>
      <w:r>
        <w:t>.</w:t>
      </w:r>
    </w:p>
    <w:p>
      <w:pPr>
        <w:pStyle w:val="ListBullet"/>
      </w:pPr>
      <w:r>
        <w:t xml:space="preserve">ATA, asociación de trabajadores autónomos: </w:t>
      </w:r>
      <w:r>
        <w:rPr>
          <w:b/>
        </w:rPr>
        <w:t>8.4</w:t>
      </w:r>
      <w:r>
        <w:t>.</w:t>
      </w:r>
    </w:p>
    <w:p>
      <w:pPr>
        <w:pStyle w:val="ListBullet"/>
      </w:pPr>
      <w:r>
        <w:t xml:space="preserve">Banco Santander: </w:t>
      </w:r>
      <w:r>
        <w:rPr>
          <w:b/>
        </w:rPr>
        <w:t>B.5</w:t>
      </w:r>
      <w:r>
        <w:t>.</w:t>
      </w:r>
    </w:p>
    <w:p>
      <w:pPr>
        <w:pStyle w:val="ListBullet"/>
      </w:pPr>
      <w:r>
        <w:t xml:space="preserve">CEOE: </w:t>
      </w:r>
      <w:r>
        <w:rPr>
          <w:b/>
        </w:rPr>
        <w:t>11.3</w:t>
      </w:r>
      <w:r>
        <w:t>.</w:t>
      </w:r>
    </w:p>
    <w:p>
      <w:pPr>
        <w:pStyle w:val="ListBullet"/>
      </w:pPr>
      <w:r>
        <w:t xml:space="preserve">CEPES: </w:t>
      </w:r>
      <w:r>
        <w:rPr>
          <w:b/>
        </w:rPr>
        <w:t>A.8</w:t>
      </w:r>
      <w:r>
        <w:t>.</w:t>
      </w:r>
    </w:p>
    <w:p>
      <w:pPr>
        <w:pStyle w:val="ListBullet"/>
      </w:pPr>
      <w:r>
        <w:t xml:space="preserve">Citizen Lab: </w:t>
      </w:r>
      <w:r>
        <w:rPr>
          <w:b/>
        </w:rPr>
        <w:t>A.2</w:t>
      </w:r>
      <w:r>
        <w:t>.</w:t>
      </w:r>
    </w:p>
    <w:p>
      <w:pPr>
        <w:pStyle w:val="ListBullet"/>
      </w:pPr>
      <w:r>
        <w:t xml:space="preserve">Columbia Magazine: </w:t>
      </w:r>
      <w:r>
        <w:rPr>
          <w:b/>
        </w:rPr>
        <w:t>9.2</w:t>
      </w:r>
      <w:r>
        <w:t>.</w:t>
      </w:r>
    </w:p>
    <w:p>
      <w:pPr>
        <w:pStyle w:val="ListBullet"/>
      </w:pPr>
      <w:r>
        <w:t xml:space="preserve">Ecologistas en Acción: </w:t>
      </w:r>
      <w:r>
        <w:rPr>
          <w:b/>
        </w:rPr>
        <w:t>8.7</w:t>
      </w:r>
      <w:r>
        <w:t>.</w:t>
      </w:r>
    </w:p>
    <w:p>
      <w:pPr>
        <w:pStyle w:val="ListBullet"/>
      </w:pPr>
      <w:r>
        <w:t xml:space="preserve">El Derecho: </w:t>
      </w:r>
      <w:r>
        <w:rPr>
          <w:b/>
        </w:rPr>
        <w:t>A.1</w:t>
      </w:r>
      <w:r>
        <w:t>.</w:t>
      </w:r>
    </w:p>
    <w:p>
      <w:pPr>
        <w:pStyle w:val="ListBullet"/>
      </w:pPr>
      <w:r>
        <w:t xml:space="preserve">EsadeEcPol: </w:t>
      </w:r>
      <w:r>
        <w:rPr>
          <w:b/>
        </w:rPr>
        <w:t>8.9</w:t>
      </w:r>
      <w:r>
        <w:t>.</w:t>
      </w:r>
    </w:p>
    <w:p>
      <w:pPr>
        <w:pStyle w:val="ListBullet"/>
      </w:pPr>
      <w:r>
        <w:t xml:space="preserve">Fedea: </w:t>
      </w:r>
      <w:r>
        <w:rPr>
          <w:b/>
        </w:rPr>
        <w:t>B.4</w:t>
      </w:r>
      <w:r>
        <w:t>.</w:t>
      </w:r>
    </w:p>
    <w:p>
      <w:pPr>
        <w:pStyle w:val="ListBullet"/>
      </w:pPr>
      <w:r>
        <w:t xml:space="preserve">Fundación CIVIO: </w:t>
      </w:r>
      <w:r>
        <w:rPr>
          <w:b/>
        </w:rPr>
        <w:t>A.3</w:t>
      </w:r>
      <w:r>
        <w:t>.</w:t>
      </w:r>
    </w:p>
    <w:p>
      <w:pPr>
        <w:pStyle w:val="ListBullet"/>
      </w:pPr>
      <w:r>
        <w:t xml:space="preserve">Fundación Civismo: </w:t>
      </w:r>
      <w:r>
        <w:rPr>
          <w:b/>
        </w:rPr>
        <w:t>8.4</w:t>
      </w:r>
      <w:r>
        <w:t>.</w:t>
      </w:r>
    </w:p>
    <w:p>
      <w:pPr>
        <w:pStyle w:val="ListBullet"/>
      </w:pPr>
      <w:r>
        <w:t xml:space="preserve">Fundación Cotec: </w:t>
      </w:r>
      <w:r>
        <w:rPr>
          <w:b/>
        </w:rPr>
        <w:t>A.2</w:t>
      </w:r>
      <w:r>
        <w:t>.</w:t>
      </w:r>
    </w:p>
    <w:p>
      <w:pPr>
        <w:pStyle w:val="ListBullet"/>
      </w:pPr>
      <w:r>
        <w:t xml:space="preserve">Fundación «la Caixa», Observatorio Social: </w:t>
      </w:r>
      <w:r>
        <w:rPr>
          <w:b/>
        </w:rPr>
        <w:t>A.8</w:t>
      </w:r>
      <w:r>
        <w:t>.</w:t>
      </w:r>
    </w:p>
    <w:p>
      <w:pPr>
        <w:pStyle w:val="ListBullet"/>
      </w:pPr>
      <w:r>
        <w:t xml:space="preserve">Gestha: </w:t>
      </w:r>
      <w:r>
        <w:rPr>
          <w:b/>
        </w:rPr>
        <w:t>A.9</w:t>
      </w:r>
      <w:r>
        <w:t>.</w:t>
      </w:r>
    </w:p>
    <w:p>
      <w:pPr>
        <w:pStyle w:val="ListBullet"/>
      </w:pPr>
      <w:r>
        <w:t xml:space="preserve">Graphic Online: </w:t>
      </w:r>
      <w:r>
        <w:rPr>
          <w:b/>
        </w:rPr>
        <w:t>7.5</w:t>
      </w:r>
      <w:r>
        <w:t>.</w:t>
      </w:r>
    </w:p>
    <w:p>
      <w:pPr>
        <w:pStyle w:val="ListBullet"/>
      </w:pPr>
      <w:r>
        <w:t xml:space="preserve">HayDerecho: </w:t>
      </w:r>
      <w:r>
        <w:rPr>
          <w:b/>
        </w:rPr>
        <w:t>A.4</w:t>
      </w:r>
      <w:r>
        <w:t xml:space="preserve">, </w:t>
      </w:r>
      <w:r>
        <w:rPr>
          <w:b/>
        </w:rPr>
        <w:t>A.8</w:t>
      </w:r>
      <w:r>
        <w:t>.</w:t>
      </w:r>
    </w:p>
    <w:p>
      <w:pPr>
        <w:pStyle w:val="ListBullet"/>
      </w:pPr>
      <w:r>
        <w:t xml:space="preserve">Idealista: </w:t>
      </w:r>
      <w:r>
        <w:rPr>
          <w:b/>
        </w:rPr>
        <w:t>7.7</w:t>
      </w:r>
      <w:r>
        <w:t xml:space="preserve">, </w:t>
      </w:r>
      <w:r>
        <w:rPr>
          <w:b/>
        </w:rPr>
        <w:t>10.7</w:t>
      </w:r>
      <w:r>
        <w:t>.</w:t>
      </w:r>
    </w:p>
    <w:p>
      <w:pPr>
        <w:pStyle w:val="ListBullet"/>
      </w:pPr>
      <w:r>
        <w:t xml:space="preserve">Instituto de Estudios Económicos (IEE): </w:t>
      </w:r>
      <w:r>
        <w:rPr>
          <w:b/>
        </w:rPr>
        <w:t>9.1</w:t>
      </w:r>
      <w:r>
        <w:t xml:space="preserve">, </w:t>
      </w:r>
      <w:r>
        <w:rPr>
          <w:b/>
        </w:rPr>
        <w:t>A.8</w:t>
      </w:r>
      <w:r>
        <w:t>.</w:t>
      </w:r>
    </w:p>
    <w:p>
      <w:pPr>
        <w:pStyle w:val="ListBullet"/>
      </w:pPr>
      <w:r>
        <w:t xml:space="preserve">Instituto Juan de Mariana: </w:t>
      </w:r>
      <w:r>
        <w:rPr>
          <w:b/>
        </w:rPr>
        <w:t>8.4</w:t>
      </w:r>
      <w:r>
        <w:t xml:space="preserve">, </w:t>
      </w:r>
      <w:r>
        <w:rPr>
          <w:b/>
        </w:rPr>
        <w:t>B.4</w:t>
      </w:r>
      <w:r>
        <w:t>.</w:t>
      </w:r>
    </w:p>
    <w:p>
      <w:pPr>
        <w:pStyle w:val="ListBullet"/>
      </w:pPr>
      <w:r>
        <w:t xml:space="preserve">Jueces para la Democracia (1991): </w:t>
      </w:r>
      <w:r>
        <w:rPr>
          <w:b/>
        </w:rPr>
        <w:t>A.7</w:t>
      </w:r>
      <w:r>
        <w:t>.</w:t>
      </w:r>
    </w:p>
    <w:p>
      <w:pPr>
        <w:pStyle w:val="ListBullet"/>
      </w:pPr>
      <w:r>
        <w:t xml:space="preserve">Maldita: </w:t>
      </w:r>
      <w:r>
        <w:rPr>
          <w:b/>
        </w:rPr>
        <w:t>A.6</w:t>
      </w:r>
      <w:r>
        <w:t>.</w:t>
      </w:r>
    </w:p>
    <w:p>
      <w:pPr>
        <w:pStyle w:val="ListBullet"/>
      </w:pPr>
      <w:r>
        <w:t xml:space="preserve">MyJoyOnline: </w:t>
      </w:r>
      <w:r>
        <w:rPr>
          <w:b/>
        </w:rPr>
        <w:t>7.5</w:t>
      </w:r>
      <w:r>
        <w:t>.</w:t>
      </w:r>
    </w:p>
    <w:p>
      <w:pPr>
        <w:pStyle w:val="ListBullet"/>
      </w:pPr>
      <w:r>
        <w:t xml:space="preserve">Noticias Jurídicas, TheObjective y El Derecho: </w:t>
      </w:r>
      <w:r>
        <w:rPr>
          <w:b/>
        </w:rPr>
        <w:t>A.9</w:t>
      </w:r>
      <w:r>
        <w:t>.</w:t>
      </w:r>
    </w:p>
    <w:p>
      <w:pPr>
        <w:pStyle w:val="ListBullet"/>
      </w:pPr>
      <w:r>
        <w:t xml:space="preserve">Political Watch: </w:t>
      </w:r>
      <w:r>
        <w:rPr>
          <w:b/>
        </w:rPr>
        <w:t>A.4</w:t>
      </w:r>
      <w:r>
        <w:t>.</w:t>
      </w:r>
    </w:p>
    <w:p>
      <w:pPr>
        <w:pStyle w:val="ListBullet"/>
      </w:pPr>
      <w:r>
        <w:t xml:space="preserve">Revista de Estudios de la Administración Local y Autonómica (REALA): </w:t>
      </w:r>
      <w:r>
        <w:rPr>
          <w:b/>
        </w:rPr>
        <w:t>A.9</w:t>
      </w:r>
      <w:r>
        <w:t>.</w:t>
      </w:r>
    </w:p>
    <w:p>
      <w:pPr>
        <w:pStyle w:val="ListBullet"/>
      </w:pPr>
      <w:r>
        <w:t xml:space="preserve">Statista: </w:t>
      </w:r>
      <w:r>
        <w:rPr>
          <w:b/>
        </w:rPr>
        <w:t>A.6</w:t>
      </w:r>
      <w:r>
        <w:t>.</w:t>
      </w:r>
    </w:p>
    <w:p>
      <w:pPr>
        <w:pStyle w:val="ListBullet"/>
      </w:pPr>
      <w:r>
        <w:t xml:space="preserve">Transparencia Internacional España: </w:t>
      </w:r>
      <w:r>
        <w:rPr>
          <w:b/>
        </w:rPr>
        <w:t>6.4</w:t>
      </w:r>
      <w:r>
        <w:t>.</w:t>
      </w:r>
    </w:p>
    <w:p>
      <w:pPr>
        <w:pStyle w:val="ListBullet"/>
      </w:pPr>
      <w:r>
        <w:t xml:space="preserve">Transparent Replications: </w:t>
      </w:r>
      <w:r>
        <w:rPr>
          <w:b/>
        </w:rPr>
        <w:t>8.9</w:t>
      </w:r>
      <w:r>
        <w:t>.</w:t>
      </w:r>
    </w:p>
    <w:p>
      <w:pPr>
        <w:pStyle w:val="ListBullet"/>
      </w:pPr>
      <w:r>
        <w:t xml:space="preserve">UGT: </w:t>
      </w:r>
      <w:r>
        <w:rPr>
          <w:b/>
        </w:rPr>
        <w:t>8.8</w:t>
      </w:r>
      <w:r>
        <w:t>.</w:t>
      </w:r>
    </w:p>
    <w:p>
      <w:pPr>
        <w:pStyle w:val="ListBullet"/>
      </w:pPr>
      <w:r>
        <w:t xml:space="preserve">Un magistrado del Tribunal Supremo, con datos del Ministerio de Justicia: </w:t>
      </w:r>
      <w:r>
        <w:rPr>
          <w:b/>
        </w:rPr>
        <w:t>A.5</w:t>
      </w:r>
      <w:r>
        <w:t>.</w:t>
      </w:r>
    </w:p>
    <w:p>
      <w:pPr>
        <w:pStyle w:val="ListBullet"/>
      </w:pPr>
      <w:r>
        <w:t xml:space="preserve">WEF: </w:t>
      </w:r>
      <w:r>
        <w:rPr>
          <w:b/>
        </w:rPr>
        <w:t>A.2</w:t>
      </w:r>
      <w:r>
        <w:t>.</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r>
        <w:br w:type="page"/>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cada persona, si quiere, se la aplica a sí misma.</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y vale tanto como su unión con la primera. Las dos hacen falta: sin la segunda no hay comunidad que se gobierne; sin la primera, la segunda no tiene de dónde recibir su título.</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p>
      <w:r>
        <w:t>La tabla con las cuatro partes de cada árbol, y cómo se comprueba cada una, se ve en el nivel completo.</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t xml:space="preserve"> (Mt 7:15-16)</w:t>
      </w:r>
      <w:r>
        <w:t>; «todo buen árbol lleva buenos frutos; mas el árbol maleado lleva malos frutos»</w:t>
      </w:r>
      <w:r>
        <w:t xml:space="preserve"> (Mt 7:17)</w:t>
      </w:r>
      <w:r>
        <w:t>. El Daodejing dice lo mismo del hombre grande: «se queda con el fruto y no con la flor»</w:t>
      </w:r>
      <w:r>
        <w:t xml:space="preserve"> (Daodejing 38, en la traducción de James Legge, Sacred Books of the East, vol. 39)</w:t>
      </w:r>
      <w:r>
        <w:t>. Por eso los frutos se miden con datos (</w:t>
      </w:r>
      <w:r>
        <w:t>8</w:t>
      </w:r>
      <w:r>
        <w:t xml:space="preserve">) y el follaje, lo que se siente al vivir en un árbol, se pregunta y no se afirma: es la brújula, que se explica al cerrar el </w:t>
      </w:r>
      <w:r>
        <w:t>capítulo 10</w:t>
      </w:r>
      <w:r>
        <w:t>.</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t xml:space="preserve"> (Gn 3:5)</w:t>
      </w:r>
      <w:r>
        <w:t>, «Todo esto te daré»</w:t>
      </w:r>
      <w:r>
        <w:t xml:space="preserve"> (Mt 4:9)</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cada uno con sus patas y su pata coja.</w:t>
      </w:r>
    </w:p>
    <w:p>
      <w:r>
        <w:rPr>
          <w:b/>
        </w:rPr>
        <w:t>Cómo se escribe.</w:t>
      </w:r>
      <w:r>
        <w:t xml:space="preserve"> Antes de medir, no después. Es la regla de la vara: «la vara va antes de los datos» (</w:t>
      </w:r>
      <w:r>
        <w:t>0.5</w:t>
      </w:r>
      <w:r>
        <w:t>).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lo que afecta al ciudadano en su vida diaria frente a lo que organiza al poder.</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lo que mueve el dial es lo que se repite.</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t xml:space="preserve"> (Prov 30:8)</w:t>
      </w:r>
      <w:r>
        <w:t>, porque en la abundancia podría negar a Dios y en la pobreza, robar</w:t>
      </w:r>
      <w:r>
        <w:t xml:space="preserve"> (Prov 30:9)</w:t>
      </w:r>
      <w:r>
        <w:t>.</w:t>
      </w:r>
    </w:p>
    <w:p>
      <w:pPr>
        <w:pStyle w:val="ListBullet"/>
      </w:pPr>
      <w:r>
        <w:rPr>
          <w:b/>
        </w:rPr>
        <w:t>El islam.</w:t>
      </w:r>
      <w:r>
        <w:t xml:space="preserve"> Los fieles «cuando gastan, no lo hacen con prodigalidad ni con tacañería, -el término medio es lo justo-»</w:t>
      </w:r>
      <w:r>
        <w:t xml:space="preserve"> (Corán 25:67, traducción de Julio Cortés; fuente secundaria)</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t xml:space="preserve"> (Bhagavad Gita 6:16-17)</w:t>
      </w:r>
      <w:r>
        <w:t>.</w:t>
      </w:r>
    </w:p>
    <w:p>
      <w:pPr>
        <w:pStyle w:val="ListBullet"/>
      </w:pPr>
      <w:r>
        <w:rPr>
          <w:b/>
        </w:rPr>
        <w:t>China.</w:t>
      </w:r>
      <w:r>
        <w:t xml:space="preserve"> El sabio Shun «tomó los dos extremos de ellas [las opiniones], determinó el Medio y lo empleó en su gobierno del pueblo»</w:t>
      </w:r>
      <w:r>
        <w:t xml:space="preserve"> (Zhongyong 6)</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t xml:space="preserve"> (Saṃyutta Nikāya 56.11)</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t xml:space="preserve"> (Platón, República X, 619 a-b)</w:t>
      </w:r>
      <w:r>
        <w:t>.</w:t>
      </w:r>
    </w:p>
    <w:p>
      <w:r>
        <w:t>Hay más pasajes (Deuteronomio, el Zhongyong 4, las Analectas XI, el arpa de Buda y Horacio) que se ven en el nivel completo.</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t xml:space="preserve"> (Saṃyutta Nikāya 56.11)</w:t>
      </w:r>
      <w:r>
        <w:t>.</w:t>
      </w:r>
    </w:p>
    <w:p>
      <w:pPr>
        <w:pStyle w:val="ListBullet"/>
      </w:pPr>
      <w:r>
        <w:rPr>
          <w:b/>
        </w:rPr>
        <w:t>Hay un exceso de justicia.</w:t>
      </w:r>
      <w:r>
        <w:t xml:space="preserve"> «No seas demasiado justo, ni seas sabio con exceso»</w:t>
      </w:r>
      <w:r>
        <w:t xml:space="preserve"> (Ecl 7:16)</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t xml:space="preserve"> (Mencio 7A26; fuente secundaria)</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t xml:space="preserve"> (Analectas XIII, capítulo XXI de Legge; fuente secundaria)</w:t>
      </w:r>
      <w:r>
        <w:t>.</w:t>
      </w:r>
    </w:p>
    <w:p>
      <w:pPr>
        <w:pStyle w:val="ListBullet"/>
      </w:pPr>
      <w:r>
        <w:rPr>
          <w:b/>
        </w:rPr>
        <w:t>En Persia se elige un polo.</w:t>
      </w:r>
      <w:r>
        <w:t xml:space="preserve"> «Entre estos dos los sabios eligieron bien, no así los necios»</w:t>
      </w:r>
      <w:r>
        <w:t xml:space="preserve"> (Yasna 30:3; fuente secundaria)</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El número mide la posición, no si algo es bueno o malo.</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t xml:space="preserve"> (Mt 20:25-26)</w:t>
      </w:r>
      <w:r>
        <w:t>; «Como el Hijo del hombre no vino para ser servido, sino para servir»</w:t>
      </w:r>
      <w:r>
        <w:t xml:space="preserve"> (Mt 20:28)</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t xml:space="preserve"> (Ez 34:2)</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t xml:space="preserve"> (Ez 34:4)</w:t>
      </w:r>
      <w:r>
        <w:t>. Y dice el centro: «Yo buscaré la perdida, y tornaré la amontada, y ligaré la perniquebrada, y corroboraré la enferma […]. Yo las apacentaré en juicio»</w:t>
      </w:r>
      <w:r>
        <w:t xml:space="preserve"> (Ez 34:16)</w:t>
      </w:r>
      <w:r>
        <w:t>.</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p>
      <w:r>
        <w:t>La tabla de los nueve diales, con sus dos vicios y su centro, se ve en el nivel completo.</w:t>
      </w: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t xml:space="preserve"> (Pr 17:15)</w:t>
      </w:r>
      <w:r>
        <w:t>. Y el de P8 lo dice el Eclesiastés: «Porque no se ejecuta luego sentencia sobre la mala obra, el corazón de los hijos de los hombres está en ellos lleno para hacer mal»</w:t>
      </w:r>
      <w:r>
        <w:t xml:space="preserve"> (Ecl 8:11)</w:t>
      </w:r>
      <w:r>
        <w:t>. El defecto de P3 y el de P5 se buscaron en las fuentes ya leídas y no se rellenan: la pereza del perezoso</w:t>
      </w:r>
      <w:r>
        <w:t xml:space="preserve"> (Pr 6:9-11)</w:t>
      </w:r>
      <w:r>
        <w:t xml:space="preserve"> es de quien trabaja, no de quien manda, y el caso del arma que no se devuelve a quien ha perdido la razón</w:t>
      </w:r>
      <w:r>
        <w:t xml:space="preserve"> (Platón, República I, 331c)</w:t>
      </w:r>
      <w:r>
        <w:t xml:space="preserve"> es una excepción a la regla de devolver, no un vicio.</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no es una opinión sobre cómo debería ser el Estado, sino la medida de la distancia entre lo creado y el centro que ya estaba escrito.</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rPr>
          <w:b/>
        </w:rPr>
        <w:t>El diseño del piloto.</w:t>
      </w:r>
      <w:r>
        <w:t xml:space="preserve"> Las palabras que la Constitución promete en su artículo 1.1, «la libertad, la justicia, la igualdad y el pluralismo político»</w:t>
      </w:r>
      <w:r>
        <w:t xml:space="preserve"> (Constitución, art. 1.1)</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w:t>
      </w:r>
    </w:p>
    <w:p>
      <w:r>
        <w:rPr>
          <w:b/>
        </w:rPr>
        <w:t>Lo que el piloto es y lo que no.</w:t>
      </w:r>
      <w:r>
        <w:t xml:space="preserve"> Es la prueba de que el método se puede aplicar sin trampa; no es el veredicto sobre el Estado, que ya está dicho en el dictamen (</w:t>
      </w:r>
      <w:r>
        <w:t>9</w:t>
      </w:r>
      <w:r>
        <w:t>). Si una dimensión no cumple las cuatro condiciones, se queda sin número y va como lectura del autor.</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t xml:space="preserve"> (Gn 1:10)</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p>
      <w:r>
        <w:t>Los cinco diales, con su centro y sus dos vicios, y lo que sostiene cada flecha, con su remisión, se ven en el nivel completo.</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p>
    <w:p>
      <w:pPr>
        <w:pStyle w:val="ListBullet"/>
      </w:pPr>
      <w:r>
        <w:rPr>
          <w:b/>
        </w:rPr>
        <w:t>Faltan polos.</w:t>
      </w:r>
      <w:r>
        <w:t xml:space="preserve"> En dos de los nueve principios (P3 y P5), el Arca no tiene texto para uno de los dos vicios; se buscaron en lo ya leído y no se rellenan. </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p>
    <w:p>
      <w:pPr>
        <w:pStyle w:val="ListBullet"/>
      </w:pPr>
      <w:r>
        <w:rPr>
          <w:b/>
        </w:rPr>
        <w:t>Los números van solo en el piloto,</w:t>
      </w:r>
      <w:r>
        <w:t xml:space="preserve"> y el piloto va aquí como diseño: sus umbrales se escriben con el autor antes de mirar los datos, y hasta entonces no hay cifra. </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las cuestiones previas.</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la obra entera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del Sistema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