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dictó una sentencia de 736 párrafos</w:t>
      </w:r>
      <w:r>
        <w:rPr>
          <w:vertAlign w:val="superscript"/>
        </w:rPr>
        <w:t>◦</w:t>
      </w:r>
      <w:r>
        <w:t>. En ella reúne a unos litigantes que se presentan con distintos nombres («no hay una lista cerrada»)</w:t>
      </w:r>
      <w:r>
        <w:t>, y les da un nombre común, que es del juez y no de esta obra: litigantes del «argumento comercial pseudolegal organizado» (OPCA, por sus siglas en inglés)</w:t>
      </w:r>
      <w:r>
        <w:rPr>
          <w:vertAlign w:val="superscript"/>
        </w:rPr>
        <w:t>◦</w:t>
      </w:r>
      <w:r>
        <w:t>.</w:t>
      </w:r>
    </w:p>
    <w:p>
      <w:r>
        <w:t>De los papeles que le presentó el propio litigante, el juez dice: «Esto es, por supuesto, un disparate»; no tienen «fuerza ni sentido en derecho»</w:t>
      </w:r>
      <w:r>
        <w:rPr>
          <w:vertAlign w:val="superscript"/>
        </w:rPr>
        <w:t>◦</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y que CanLII la da como la decisión más citada del Tribunal del Banco de la Reina de Alberta desde 2012</w:t>
      </w:r>
      <w:r>
        <w:t>. Fuera de Canadá, el mismo estudio dice que se acepta ampliamente en la Commonwealth: Reino Unido, Australia, Jersey, Irlanda, Nueva Zelanda, Irlanda del Norte y Escocia</w:t>
      </w:r>
      <w:r>
        <w:rPr>
          <w:vertAlign w:val="superscript"/>
        </w:rPr>
        <w:t>◦</w:t>
      </w:r>
      <w:r>
        <w:t>.</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rPr>
          <w:vertAlign w:val="superscript"/>
        </w:rPr>
        <w:t>◦</w:t>
      </w:r>
      <w:r>
        <w:t>. Recoge que los tribunales canadienses ya habían rechazado que haya diferencia legal entre un nombre escrito en mayúsculas y minúsculas y un nombre todo en mayúsculas</w:t>
      </w:r>
      <w:r>
        <w:rPr>
          <w:vertAlign w:val="superscript"/>
        </w:rPr>
        <w:t>◦</w:t>
      </w:r>
      <w:r>
        <w:t>. Y concluye: «Los esquemas de la "persona doble o dividida" no tienen efecto jurídico. No tienen base en la ley. A una persona solo le corresponde una identidad legal»</w:t>
      </w:r>
      <w:r>
        <w:rPr>
          <w:vertAlign w:val="superscript"/>
        </w:rPr>
        <w:t>◦</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que calificó objeciones parecidas de «manifiestamente carentes de fundamento»</w:t>
      </w:r>
      <w:r>
        <w:t>. Y aclaró que la persona acusada es «Rodney Class, el ser humano, y no una corporación ni ninguna otra “entidad ficticia”»</w:t>
      </w:r>
      <w:r>
        <w:rPr>
          <w:vertAlign w:val="superscript"/>
        </w:rPr>
        <w:t>◦</w:t>
      </w:r>
      <w:r>
        <w:t>. Otra petición suya, que decía que su nombre de nacimiento se había convertido en un «nombre comercial registrado» en violación del Código de Comercio Uniforme, la descartó por «no respaldada e irrelevante»</w:t>
      </w:r>
      <w:r>
        <w:rPr>
          <w:vertAlign w:val="superscript"/>
        </w:rPr>
        <w:t>◦</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y si reaparece, el arrendatario vuelve a la finca y cobra los beneficios que perdió, con intereses</w:t>
      </w:r>
      <w:r>
        <w:rPr>
          <w:vertAlign w:val="superscript"/>
        </w:rPr>
        <w:t>◦</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rPr>
          <w:vertAlign w:val="superscript"/>
        </w:rPr>
        <w:t>◦</w:t>
      </w:r>
      <w:r>
        <w:t>, y pidió que lo que debía a su mujer y a sus hijos se pagara desde una cuenta bancaria secreta</w:t>
      </w:r>
      <w:r>
        <w:rPr>
          <w:vertAlign w:val="superscript"/>
        </w:rPr>
        <w:t>◦</w:t>
      </w:r>
      <w:r>
        <w:t>. El juez explica la creencia: quienes venden este esquema aseguran que, «con la combinación correcta de documentos oficiales», una persona puede acceder a su cuenta bancaria secreta y a sus fondos</w:t>
      </w:r>
      <w:r>
        <w:rPr>
          <w:vertAlign w:val="superscript"/>
        </w:rPr>
        <w:t>◦</w:t>
      </w:r>
      <w:r>
        <w:t>. Y responde que todo ese esquema ya lo habían examinado y rechazado otros tribunales: «Yo hago lo mismo»</w:t>
      </w:r>
      <w:r>
        <w:rPr>
          <w:vertAlign w:val="superscript"/>
        </w:rPr>
        <w:t>◦</w:t>
      </w:r>
      <w:r>
        <w:t>.</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y que cualquier ciudadano perjudicado puede reclamar contra ella, o incluso embargar al funcionario, para cobrarse el daño.</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Las leyes de Illinois la exigen, por ejemplo, a los tesoreros y a los recaudadores de condado</w:t>
      </w:r>
      <w:r>
        <w:rPr>
          <w:vertAlign w:val="superscript"/>
        </w:rPr>
        <w:t>◦</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rPr>
          <w:vertAlign w:val="superscript"/>
        </w:rPr>
        <w:t>◦</w:t>
      </w:r>
      <w:r>
        <w:t>, y demandaron directamente a la aseguradora que avalaba su fianza</w:t>
      </w:r>
      <w:r>
        <w:rPr>
          <w:vertAlign w:val="superscript"/>
        </w:rPr>
        <w:t>◦</w:t>
      </w:r>
      <w:r>
        <w:t>. El Tribunal Supremo de Illinois confirmó que la demanda contra la aseguradora se desestimara: «los demandantes, como ciudadanos particulares, no pueden reclamar contra la fianza de cargo público exigida por ley de que se trata»</w:t>
      </w:r>
      <w:r>
        <w:rPr>
          <w:vertAlign w:val="superscript"/>
        </w:rPr>
        <w:t>◦</w:t>
      </w:r>
      <w:r>
        <w:t>. La fianza nombraba como beneficiario al condado; el Tribunal dice que por error, porque las leyes que la exigen nombran al pueblo del Estado de Illinois</w:t>
      </w:r>
      <w:r>
        <w:rPr>
          <w:vertAlign w:val="superscript"/>
        </w:rPr>
        <w:t>◦</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rPr>
          <w:vertAlign w:val="superscript"/>
        </w:rPr>
        <w:t>◦</w:t>
      </w:r>
      <w:r>
        <w:t>) exige a ese funcionario entregar «todas y cada una de las fianzas» y pólizas de seguro que hagan falta para pagar lo que el litigante le reclame</w:t>
      </w:r>
      <w:r>
        <w:rPr>
          <w:vertAlign w:val="superscript"/>
        </w:rPr>
        <w:t>◦</w:t>
      </w:r>
      <w:r>
        <w:t>. De esos documentos, el juez dice que no tienen fuerza legal, y que por eso las amenazas que contienen son, por definición, ilícitas</w:t>
      </w:r>
      <w:r>
        <w:rPr>
          <w:vertAlign w:val="superscript"/>
        </w:rPr>
        <w:t>◦</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E. Lo que se afirma sin documento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E. Lo que se afirma sin documento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