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rPr>
          <w:vertAlign w:val="superscript"/>
        </w:rPr>
        <w:t>◦</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rPr>
          <w:vertAlign w:val="superscript"/>
        </w:rPr>
        <w:t>◦</w:t>
      </w:r>
      <w:r>
        <w:t>. Y en el mismo capítulo, la razón: la autoridad «es ministro de Dios para tu bien»</w:t>
      </w:r>
      <w:r>
        <w:rPr>
          <w:vertAlign w:val="superscript"/>
        </w:rPr>
        <w:t>◦</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rPr>
          <w:vertAlign w:val="superscript"/>
        </w:rPr>
        <w:t>◦</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rPr>
          <w:b/>
        </w:rPr>
        <w:t>Conclusión, lo que arrojan los datos:</w:t>
      </w:r>
      <w:r>
        <w:t xml:space="preserve"> los textos que mandan pagar y obedecer no lo mandan sin condición: la autoridad lo es para el bien de quien obedece, y por encima de ella está Dios.</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rPr>
          <w:vertAlign w:val="superscript"/>
        </w:rPr>
        <w:t>◦</w:t>
      </w:r>
      <w:r>
        <w:t xml:space="preserve"> (</w:t>
      </w:r>
      <w:r>
        <w:t>2.5</w:t>
      </w:r>
      <w:r>
        <w:t>). Pero quien ya sabe tiene una tarea: «El pecado, pues, está en aquel que sabe hacer lo bueno, y no lo hace»</w:t>
      </w:r>
      <w:r>
        <w:rPr>
          <w:vertAlign w:val="superscript"/>
        </w:rPr>
        <w:t>◦</w:t>
      </w:r>
      <w:r>
        <w:t>. Esa tarea no es dejar de pagar, porque la obligación vigente sigue vigente (Constitución, art. 9.1), sino dejar de consentir en silencio: pedir la motivación, saber a dónde va el dinero y dejar constancia por escrito (</w:t>
      </w:r>
      <w:r>
        <w:t>10.4</w:t>
      </w:r>
      <w:r>
        <w:t>).</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rPr>
          <w:vertAlign w:val="superscript"/>
        </w:rPr>
        <w:t>◦</w:t>
      </w:r>
      <w:r>
        <w:t>, y no puede ejecutar ninguna actuación material sin la resolución previa que le sirva de fundamento jurídico</w:t>
      </w:r>
      <w:r>
        <w:rPr>
          <w:vertAlign w:val="superscript"/>
        </w:rPr>
        <w:t>◦</w:t>
      </w:r>
      <w:r>
        <w:t xml:space="preserve">. Se desarrolla en </w:t>
      </w:r>
      <w:r>
        <w:t>10.4</w:t>
      </w:r>
      <w:r>
        <w:t>.</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rPr>
          <w:vertAlign w:val="superscript"/>
        </w:rPr>
        <w:t>◦</w:t>
      </w:r>
      <w:r>
        <w:t>; el Gobierno «dirige la política interior y exterior, la Administración civil y militar y la defensa del Estado»</w:t>
      </w:r>
      <w:r>
        <w:rPr>
          <w:vertAlign w:val="superscript"/>
        </w:rPr>
        <w:t>◦</w:t>
      </w:r>
      <w:r>
        <w:t>, y la policía está «bajo la dependencia del Gobierno»</w:t>
      </w:r>
      <w:r>
        <w:rPr>
          <w:vertAlign w:val="superscript"/>
        </w:rPr>
        <w:t>◦</w:t>
      </w:r>
      <w:r>
        <w:t>. Pero la misma ley ya pide lo que el autor pide para cada empleado: que las administraciones «establecerán sistemas que permitan la evaluación del desempeño de sus empleados»</w:t>
      </w:r>
      <w:r>
        <w:rPr>
          <w:vertAlign w:val="superscript"/>
        </w:rPr>
        <w:t>◦</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rPr>
          <w:vertAlign w:val="superscript"/>
        </w:rPr>
        <w:t>◦</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rPr>
          <w:vertAlign w:val="superscript"/>
        </w:rPr>
        <w:t>◦</w:t>
      </w:r>
      <w:r>
        <w:t>. Se cita el texto, no se valora la práctica de ningún gobierno.</w:t>
      </w:r>
    </w:p>
    <w:p>
      <w:r>
        <w:t>Lo que sigue son las propuestas del autor. Cada una separa lo que ya existe, con su fuente, de lo que se propone.</w:t>
      </w:r>
    </w:p>
    <w:p>
      <w:pPr>
        <w:pStyle w:val="Heading3"/>
      </w:pPr>
      <w:r>
        <w:t>1. La prensa, libre y auditada</w:t>
      </w:r>
    </w:p>
    <w:p>
      <w:r>
        <w:rPr>
          <w:b/>
        </w:rPr>
        <w:t>Hechos.</w:t>
      </w:r>
      <w:r>
        <w:t xml:space="preserve"> La Constitución reconoce el derecho «a comunicar o recibir libremente información veraz por cualquier medio de difusión»</w:t>
      </w:r>
      <w:r>
        <w:rPr>
          <w:vertAlign w:val="superscript"/>
        </w:rPr>
        <w:t>◦</w:t>
      </w:r>
      <w:r>
        <w:t>, y prohíbe «ningún tipo de censura previa»</w:t>
      </w:r>
      <w:r>
        <w:rPr>
          <w:vertAlign w:val="superscript"/>
        </w:rPr>
        <w:t>◦</w:t>
      </w:r>
      <w:r>
        <w:t>. El Tribunal Europeo de Derechos Humanos llama a la prensa el «perro guardián» público: si el público no tuviera derecho a recibir esas informaciones, la prensa no podría cumplir ese papel vital</w:t>
      </w:r>
      <w:r>
        <w:rPr>
          <w:vertAlign w:val="superscript"/>
        </w:rPr>
        <w:t>◦</w:t>
      </w:r>
      <w:r>
        <w:t>. Desde el 8 de agosto de 2025, el Reglamento europeo de libertad de los medios obliga a cada medio a hacer públicos sus dueños y el dinero público que recibe en publicidad estatal</w:t>
      </w:r>
      <w:r>
        <w:rPr>
          <w:vertAlign w:val="superscript"/>
        </w:rPr>
        <w:t>◦</w:t>
      </w:r>
      <w:r>
        <w:t>, y a cada administración a publicar cada año lo que gasta en publicidad en cada medio</w:t>
      </w:r>
      <w:r>
        <w:rPr>
          <w:vertAlign w:val="superscript"/>
        </w:rPr>
        <w:t>◦</w:t>
      </w:r>
      <w:r>
        <w:t>.</w:t>
      </w:r>
    </w:p>
    <w:p>
      <w:r>
        <w:rPr>
          <w:b/>
        </w:rPr>
        <w:t>Conclusión, lo que arrojan los datos:</w:t>
      </w:r>
      <w:r>
        <w:t xml:space="preserve"> la ley ya obliga a que se sepa quién es dueño de cada medio y cuánto dinero público recibe. Cualquiera puede comprobarlo.</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rPr>
          <w:vertAlign w:val="superscript"/>
        </w:rPr>
        <w:t>◦</w:t>
      </w:r>
      <w:r>
        <w:t>, incluidos «todos los contratos», con su importe y su adjudicatario</w:t>
      </w:r>
      <w:r>
        <w:rPr>
          <w:vertAlign w:val="superscript"/>
        </w:rPr>
        <w:t>◦</w:t>
      </w:r>
      <w:r>
        <w:t>. Y la pensión ya es compatible con seguir trabajando</w:t>
      </w:r>
      <w:r>
        <w:rPr>
          <w:vertAlign w:val="superscript"/>
        </w:rPr>
        <w:t>◦</w:t>
      </w:r>
      <w:r>
        <w:t>.</w:t>
      </w:r>
    </w:p>
    <w:p>
      <w:r>
        <w:rPr>
          <w:b/>
        </w:rPr>
        <w:t>Conclusión, lo que arrojan los datos:</w:t>
      </w:r>
      <w:r>
        <w:t xml:space="preserve"> la información existe y es pública, pero llega tarde y casi nadie la mira de forma organizada.</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rPr>
          <w:vertAlign w:val="superscript"/>
        </w:rPr>
        <w:t>◦</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rPr>
          <w:vertAlign w:val="superscript"/>
        </w:rPr>
        <w:t>◦</w:t>
      </w:r>
      <w:r>
        <w:t>. Y desde hace siglos se advierte que devaluar es un tributo disfrazado (</w:t>
      </w:r>
      <w:r>
        <w:t>8.2</w:t>
      </w:r>
      <w:r>
        <w:t>).</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w:t>
      </w:r>
    </w:p>
    <w:p>
      <w:r>
        <w:rPr>
          <w:b/>
        </w:rPr>
        <w:t>La objeción: «El diezmo no alcanza».</w:t>
      </w:r>
      <w:r>
        <w:t xml:space="preserve"> El gasto de todas las administraciones fue de 764.884 millones de euros en 2025</w:t>
      </w:r>
      <w:r>
        <w:rPr>
          <w:vertAlign w:val="superscript"/>
        </w:rPr>
        <w:t>◦</w:t>
      </w:r>
      <w:r>
        <w:t>, y solo las pensiones del régimen general y de Clases Pasivas suman unos 228.000 millones al año, alrededor del 30 % de ese gasto (cálculo de la obra: la nómina mensual de las dos, por catorce pagas).</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pPr>
        <w:pStyle w:val="Heading3"/>
      </w:pPr>
      <w:r>
        <w:t>4. Jurados por generaciones</w:t>
      </w:r>
    </w:p>
    <w:p>
      <w:r>
        <w:rPr>
          <w:b/>
        </w:rPr>
        <w:t>Hechos.</w:t>
      </w:r>
      <w:r>
        <w:t xml:space="preserve"> Hoy el jurado se forma por sorteo del censo electoral</w:t>
      </w:r>
      <w:r>
        <w:rPr>
          <w:vertAlign w:val="superscript"/>
        </w:rPr>
        <w:t>◦</w:t>
      </w:r>
      <w:r>
        <w:t>, sin ningún reparto por edades, y su peso es pequeño: en 2025 dictó 465 sentencias, frente a 599.492 sentencias penales, menos del 0,1 %</w:t>
      </w:r>
      <w:r>
        <w:rPr>
          <w:vertAlign w:val="superscript"/>
        </w:rPr>
        <w:t>◦</w:t>
      </w:r>
      <w:r>
        <w:t>. Irlanda formó en 2016 una Asamblea Ciudadana con una muestra representativa de 99 personas del público, elegidas al azar, «ampliamente representativas de la sociedad tal como la refleja el censo»</w:t>
      </w:r>
      <w:r>
        <w:rPr>
          <w:vertAlign w:val="superscript"/>
        </w:rPr>
        <w:t>◦</w:t>
      </w:r>
      <w:r>
        <w:t>.</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w:t>
      </w:r>
    </w:p>
    <w:p>
      <w:r>
        <w:rPr>
          <w:b/>
        </w:rPr>
        <w:t>La objeción: «El jurado por sorteo ya es imparcial».</w:t>
      </w:r>
      <w:r>
        <w:t xml:space="preserve"> El jurado actual se forma por sorteo del censo, que es la garantía de imparcialidad: repartirlo por edades no añade nada.</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rPr>
          <w:vertAlign w:val="superscript"/>
        </w:rPr>
        <w:t>◦</w:t>
      </w:r>
      <w:r>
        <w:t>. Y: «No paguéis á nadie mal por mal […] No os venguéis vosotros mismos […] No seas vencido de lo malo; mas vence con el bien el mal»</w:t>
      </w:r>
      <w:r>
        <w:rPr>
          <w:vertAlign w:val="superscript"/>
        </w:rPr>
        <w:t>◦</w:t>
      </w:r>
      <w:r>
        <w:t>. Es discernir, separar el grano de la paja (</w:t>
      </w:r>
      <w:r>
        <w:t>1.3</w:t>
      </w:r>
      <w:r>
        <w:t>), aplicado a las responsabilidades.</w:t>
      </w:r>
    </w:p>
    <w:p>
      <w:r>
        <w:rPr>
          <w:b/>
        </w:rPr>
        <w:t>La regla.</w:t>
      </w:r>
      <w:r>
        <w:t xml:space="preserve"> La responsabilidad de las personas se establece por acto y con fuente, nunca por pertenecer a un colectivo: un informe interno es fuente, no sentencia.</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w:t>
      </w:r>
    </w:p>
    <w:p>
      <w:r>
        <w:rPr>
          <w:b/>
        </w:rPr>
        <w:t>2. Que busque el bien del corregido, y no el suyo.</w:t>
      </w:r>
      <w:r>
        <w:t xml:space="preserve"> Platón lo dice del médico y lo extiende a todo el que manda: «ningún médico, en cuanto médico, considera su propio bien en lo que prescribe, sino el de su paciente»</w:t>
      </w:r>
      <w:r>
        <w:rPr>
          <w:vertAlign w:val="superscript"/>
        </w:rPr>
        <w:t>◦</w:t>
      </w:r>
      <w:r>
        <w:t>; y lo mismo el piloto y el gobernante: «nadie, en ningún gobierno, en cuanto gobierna, considera ni prescribe lo que le conviene a él, sino siempre lo que conviene a su gobernado»</w:t>
      </w:r>
      <w:r>
        <w:rPr>
          <w:vertAlign w:val="superscript"/>
        </w:rPr>
        <w: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rPr>
          <w:vertAlign w:val="superscript"/>
        </w:rPr>
        <w:t>◦</w:t>
      </w:r>
      <w:r>
        <w:t>. Y concluye: «quien lo ayuda a crecer, arranca los brotes»</w:t>
      </w:r>
      <w:r>
        <w:rPr>
          <w:vertAlign w:val="superscript"/>
        </w:rPr>
        <w:t>◦</w:t>
      </w:r>
      <w:r>
        <w:t>. El Daodejing lo dice del Estado: «Gobernar un gran Estado es como cocinar pececillos»</w:t>
      </w:r>
      <w:r>
        <w:rPr>
          <w:vertAlign w:val="superscript"/>
        </w:rPr>
        <w:t>◦</w:t>
      </w:r>
      <w:r>
        <w:t>: cuantas más vueltas se les da, más se deshacen.</w:t>
      </w:r>
    </w:p>
    <w:p>
      <w:pPr>
        <w:pStyle w:val="ListBullet"/>
      </w:pPr>
      <w:r>
        <w:rPr>
          <w:b/>
        </w:rPr>
        <w:t>La India.</w:t>
      </w:r>
      <w:r>
        <w:t xml:space="preserve"> La Gita pide al que sabe que obre «sin sembrar en esos corazones sencillos y afanosos semilla de desesperanza»</w:t>
      </w:r>
      <w:r>
        <w:rPr>
          <w:vertAlign w:val="superscript"/>
        </w:rPr>
        <w:t>◦</w:t>
      </w:r>
      <w:r>
        <w:t>, y que a los que no saben «no los hagas tropezar, tú que tienes la luz»</w:t>
      </w:r>
      <w:r>
        <w:rPr>
          <w:vertAlign w:val="superscript"/>
        </w:rPr>
        <w:t>◦</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rPr>
          <w:vertAlign w:val="superscript"/>
        </w:rPr>
        <w:t>◦</w:t>
      </w:r>
      <w:r>
        <w:t>. El orden de la corrección es ese: primero cuidar; solo después, si no hay fruto, cortar.</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rPr>
          <w:vertAlign w:val="superscript"/>
        </w:rPr>
        <w:t>◦</w:t>
      </w:r>
      <w:r>
        <w:t>; «mas si no [te] oyere, toma aún contigo uno ó dos»</w:t>
      </w:r>
      <w:r>
        <w:rPr>
          <w:vertAlign w:val="superscript"/>
        </w:rPr>
        <w:t>◦</w:t>
      </w:r>
      <w:r>
        <w:t>; «y si no oyere á ellos, dilo á la iglesia»</w:t>
      </w:r>
      <w:r>
        <w:rPr>
          <w:vertAlign w:val="superscript"/>
        </w:rPr>
        <w:t>◦</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punto 4); el aval es solo para el consejo que propone correcciones.</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La estrategia es la misma en todo: nunca el enfrentamiento directo. Se responde por escrito, en plazo y con la ley en la mano.</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rPr>
          <w:vertAlign w:val="superscript"/>
        </w:rPr>
        <w:t>◦</w:t>
      </w:r>
      <w:r>
        <w:t>; las disposiciones administrativas que vulneren la Constitución o las leyes son «nulas de pleno derecho»</w:t>
      </w:r>
      <w:r>
        <w:rPr>
          <w:vertAlign w:val="superscript"/>
        </w:rPr>
        <w:t>◦</w:t>
      </w:r>
      <w:r>
        <w:t>, y los jueces no las aplican</w:t>
      </w:r>
      <w:r>
        <w:rPr>
          <w:vertAlign w:val="superscript"/>
        </w:rPr>
        <w:t>◦</w:t>
      </w:r>
      <w:r>
        <w:t>.</w:t>
      </w:r>
    </w:p>
    <w:p>
      <w:pPr>
        <w:pStyle w:val="ListBullet"/>
      </w:pPr>
      <w:r>
        <w:t>Por el daño de un servicio público, el particular reclama a la Administración, no al funcionario</w:t>
      </w:r>
      <w:r>
        <w:rPr>
          <w:vertAlign w:val="superscript"/>
        </w:rPr>
        <w:t>◦</w:t>
      </w:r>
      <w:r>
        <w:t>; la Administración que indemniza debe exigir después la responsabilidad de quien actuó con dolo, o culpa o negligencia graves</w:t>
      </w:r>
      <w:r>
        <w:rPr>
          <w:vertAlign w:val="superscript"/>
        </w:rPr>
        <w:t>◦</w:t>
      </w:r>
      <w:r>
        <w:t>; y si hubo delito, la responsabilidad penal del empleado y la civil que nace de él se exigen por la ley penal</w:t>
      </w:r>
      <w:r>
        <w:rPr>
          <w:vertAlign w:val="superscript"/>
        </w:rPr>
        <w:t>◦</w:t>
      </w:r>
      <w:r>
        <w:t>.</w:t>
      </w:r>
    </w:p>
    <w:p>
      <w:pPr>
        <w:pStyle w:val="ListBullet"/>
      </w:pPr>
      <w:r>
        <w:t>La autoridad o funcionario que, «a sabiendas de su injusticia», dicta una resolución arbitraria comete prevaricación</w:t>
      </w:r>
      <w:r>
        <w:rPr>
          <w:vertAlign w:val="superscript"/>
        </w:rPr>
        <w:t>◦</w:t>
      </w:r>
      <w:r>
        <w:t>, y quien es responsable penalmente lo es también civilmente</w:t>
      </w:r>
      <w:r>
        <w:rPr>
          <w:vertAlign w:val="superscript"/>
        </w:rPr>
        <w:t>◦</w:t>
      </w:r>
      <w:r>
        <w:t>.</w:t>
      </w:r>
    </w:p>
    <w:p>
      <w:pPr>
        <w:pStyle w:val="ListBullet"/>
      </w:pPr>
      <w:r>
        <w:t>La ley no ampara la obediencia a lo manifiestamente ilegal</w:t>
      </w:r>
      <w:r>
        <w:rPr>
          <w:vertAlign w:val="superscript"/>
        </w:rPr>
        <w:t>◦</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rPr>
          <w:vertAlign w:val="superscript"/>
        </w:rPr>
        <w:t>◦</w:t>
      </w:r>
      <w:r>
        <w:t>.</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aquí, lo que lo sostiene.</w:t>
      </w:r>
    </w:p>
    <w:p>
      <w:r>
        <w:rPr>
          <w:b/>
        </w:rPr>
        <w:t>Lo que el escrito no hace.</w:t>
      </w:r>
      <w:r>
        <w:t xml:space="preserve"> No declara una «aceptación condicionada» ni pretende que el silencio equivalga a aceptación: el silencio tiene su régimen legal tasado</w:t>
      </w:r>
      <w:r>
        <w:rPr>
          <w:vertAlign w:val="superscript"/>
        </w:rPr>
        <w:t>◦</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Y no amenaza al funcionario que actúa dentro de su cargo. La regla de oro: todo lo que afirma se puede comprobar, y todo lo que pide se puede conceder.</w:t>
      </w:r>
    </w:p>
    <w:p>
      <w:r>
        <w:rPr>
          <w:b/>
        </w:rPr>
        <w:t>En qué derechos se apoya.</w:t>
      </w:r>
    </w:p>
    <w:p>
      <w:pPr>
        <w:pStyle w:val="ListBullet"/>
      </w:pPr>
      <w:r>
        <w:t>El derecho de petición: toda persona puede dirigir peticiones a los poderes públicos, y la Administración está obligada a acusar recibo y a contestar</w:t>
      </w:r>
      <w:r>
        <w:rPr>
          <w:vertAlign w:val="superscript"/>
        </w:rPr>
        <w:t>◦</w:t>
      </w:r>
      <w:r>
        <w:t>.</w:t>
      </w:r>
    </w:p>
    <w:p>
      <w:pPr>
        <w:pStyle w:val="ListBullet"/>
      </w:pPr>
      <w:r>
        <w:t>El deber de motivación: los actos que limiten derechos, resuelvan procedimientos o se aparten del criterio anterior deben motivarse, con sucinta referencia de hechos y fundamentos de derecho</w:t>
      </w:r>
      <w:r>
        <w:rPr>
          <w:vertAlign w:val="superscript"/>
        </w:rPr>
        <w:t>◦</w:t>
      </w:r>
      <w:r>
        <w:t>. Una motivación de plantilla no cumple ese deber.</w:t>
      </w:r>
    </w:p>
    <w:p>
      <w:pPr>
        <w:pStyle w:val="ListBullet"/>
      </w:pPr>
      <w:r>
        <w:t>El acceso a la información pública, con sus plazos y su reclamación ante el Consejo de Transparencia</w:t>
      </w:r>
      <w:r>
        <w:rPr>
          <w:vertAlign w:val="superscript"/>
        </w:rPr>
        <w:t>◦</w:t>
      </w:r>
      <w:r>
        <w:t>.</w:t>
      </w:r>
    </w:p>
    <w:p>
      <w:pPr>
        <w:pStyle w:val="ListBullet"/>
      </w:pPr>
      <w:r>
        <w:t>La buena administración, como estándar europeo de referencia: tratamiento imparcial y equitativo, en un plazo razonable, con obligación de motivar</w:t>
      </w:r>
      <w:r>
        <w:rPr>
          <w:vertAlign w:val="superscript"/>
        </w:rPr>
        <w:t>◦</w:t>
      </w:r>
      <w:r>
        <w:t>. Precisión honesta: vincula a las instituciones de la Unión, no directamente a un ayuntamiento.</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rPr>
          <w:vertAlign w:val="superscript"/>
        </w:rPr>
        <w:t>◦</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rPr>
          <w:vertAlign w:val="superscript"/>
        </w:rPr>
        <w:t>◦</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rPr>
          <w:vertAlign w:val="superscript"/>
        </w:rPr>
        <w:t>◦</w:t>
      </w:r>
      <w:r>
        <w:t>.</w:t>
      </w:r>
    </w:p>
    <w:p>
      <w:pPr>
        <w:spacing w:after="60"/>
        <w:ind w:left="510" w:hanging="397"/>
      </w:pPr>
      <w:r>
        <w:rPr>
          <w:b w:val="0"/>
        </w:rPr>
        <w:t xml:space="preserve">6. </w:t>
      </w:r>
      <w:r>
        <w:t>Que se identifique a quien tramita el procedimiento</w:t>
      </w:r>
      <w:r>
        <w:rPr>
          <w:vertAlign w:val="superscript"/>
        </w:rPr>
        <w:t>◦</w:t>
      </w:r>
      <w:r>
        <w:t xml:space="preserve"> y que, si se continúa, se haga constar por escrito con la norma y la resolución que lo amparan.</w:t>
      </w:r>
    </w:p>
    <w:p>
      <w:r>
        <w:t>Cada petición debe poder contestarse con un documento o con una cita normativa; si no, se elimina. Y los hechos, cada uno con su fuente: si un dato no se puede acreditar, se retira. Es mejor un escrito de diez líneas sólidas que uno de cinco páginas con una afirmación indefendible.</w:t>
      </w:r>
    </w:p>
    <w:p>
      <w:r>
        <w:rPr>
          <w:b/>
        </w:rPr>
        <w:t>El domicilio.</w:t>
      </w:r>
      <w:r>
        <w:t xml:space="preserve"> Designarlo de forma expresa tiene efecto real: la Administración debe notificar en el domicilio que el interesado ha designado</w:t>
      </w:r>
      <w:r>
        <w:rPr>
          <w:vertAlign w:val="superscript"/>
        </w:rPr>
        <w:t>◦</w:t>
      </w:r>
      <w:r>
        <w:t>.</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dejar constancia de la voluntad de rectificar es lo contrario del dolo.</w:t>
      </w:r>
    </w:p>
    <w:p>
      <w:r>
        <w:rPr>
          <w:b/>
        </w:rPr>
        <w:t>La firma.</w:t>
      </w:r>
      <w:r>
        <w:t xml:space="preserve"> El nombre legal completo y la firma habitual. Sin anotaciones, sin siglas, sin huella, sin tinta de color: cualquier añadido de ese tipo convierte un escrito impecable en uno descalificable.</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rPr>
          <w:vertAlign w:val="superscript"/>
        </w:rPr>
        <w:t>◦</w:t>
      </w:r>
      <w:r>
        <w:t xml:space="preserve">, y </w:t>
      </w:r>
      <w:r>
        <w:rPr>
          <w:b/>
        </w:rPr>
        <w:t>contestación motivada</w:t>
      </w:r>
      <w:r>
        <w:t xml:space="preserve"> en tres meses como máximo</w:t>
      </w:r>
      <w:r>
        <w:rPr>
          <w:vertAlign w:val="superscript"/>
        </w:rPr>
        <w:t>◦</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rPr>
          <w:vertAlign w:val="superscript"/>
        </w:rPr>
        <w:t>◦</w:t>
      </w:r>
      <w:r>
        <w:t>.</w:t>
      </w:r>
    </w:p>
    <w:p>
      <w:pPr>
        <w:pStyle w:val="ListBullet"/>
      </w:pPr>
      <w:r>
        <w:rPr>
          <w:b/>
        </w:rPr>
        <w:t>Información pública:</w:t>
      </w:r>
      <w:r>
        <w:t xml:space="preserve"> un mes, ampliable otro; sin respuesta, se entiende desestimada, y cabe reclamar ante el Consejo de Transparencia en un mes</w:t>
      </w:r>
      <w:r>
        <w:rPr>
          <w:vertAlign w:val="superscript"/>
        </w:rPr>
        <w:t>◦</w:t>
      </w:r>
      <w:r>
        <w:t>.</w:t>
      </w:r>
    </w:p>
    <w:p>
      <w:pPr>
        <w:pStyle w:val="ListBullet"/>
      </w:pPr>
      <w:r>
        <w:rPr>
          <w:b/>
        </w:rPr>
        <w:t>En cualquier procedimiento</w:t>
      </w:r>
      <w:r>
        <w:t>, la Administración debe resolver de forma expresa</w:t>
      </w:r>
      <w:r>
        <w:rPr>
          <w:vertAlign w:val="superscript"/>
        </w:rPr>
        <w:t>◦</w:t>
      </w:r>
      <w:r>
        <w:t>, en tres meses si su norma no fija otro plazo</w:t>
      </w:r>
      <w:r>
        <w:rPr>
          <w:vertAlign w:val="superscript"/>
        </w:rPr>
        <w:t>◦</w:t>
      </w:r>
      <w:r>
        <w:t>. El silencio en una petición del art. 29 es desestimatorio</w:t>
      </w:r>
      <w:r>
        <w:rPr>
          <w:vertAlign w:val="superscript"/>
        </w:rPr>
        <w:t>◦</w:t>
      </w:r>
      <w:r>
        <w:t>: no da la razón, pero deja abierta la vía de recurso.</w:t>
      </w:r>
    </w:p>
    <w:p>
      <w:pPr>
        <w:pStyle w:val="ListBullet"/>
      </w:pPr>
      <w:r>
        <w:rPr>
          <w:b/>
        </w:rPr>
        <w:t>El Defensor del Pueblo</w:t>
      </w:r>
      <w:r>
        <w:t>, gratuito y sin abogado ni procurador</w:t>
      </w:r>
      <w:r>
        <w:rPr>
          <w:vertAlign w:val="superscript"/>
        </w:rPr>
        <w:t>◦</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rPr>
          <w:vertAlign w:val="superscript"/>
        </w:rPr>
        <w:t>◦</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rPr>
          <w:vertAlign w:val="superscript"/>
        </w:rPr>
        <w:t>◦</w:t>
      </w:r>
      <w:r>
        <w:t>, con efectos solo hacia adelante (</w:t>
      </w:r>
      <w:r>
        <w:t>5.1</w:t>
      </w:r>
      <w:r>
        <w:t xml:space="preserve">, n.º 9). </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rPr>
          <w:vertAlign w:val="superscript"/>
        </w:rPr>
        <w:t>◦</w:t>
      </w:r>
      <w:r>
        <w:t xml:space="preserve">. </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rPr>
          <w:vertAlign w:val="superscript"/>
        </w:rPr>
        <w:t>◦</w:t>
      </w:r>
      <w:r>
        <w:t xml:space="preserve"> (</w:t>
      </w:r>
      <w:r>
        <w:t>5.2</w:t>
      </w:r>
      <w:r>
        <w:t xml:space="preserve">). </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rPr>
          <w:vertAlign w:val="superscript"/>
        </w:rPr>
        <w:t>◦</w:t>
      </w:r>
      <w:r>
        <w:t xml:space="preserve">. </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rPr>
          <w:vertAlign w:val="superscript"/>
        </w:rPr>
        <w:t>◦</w:t>
      </w:r>
      <w:r>
        <w:t>, y el Supremo la corrigió en pleno: «el consumidor debe quedar indemne económicamente»</w:t>
      </w:r>
      <w:r>
        <w:rPr>
          <w:vertAlign w:val="superscript"/>
        </w:rPr>
        <w:t>◦</w:t>
      </w:r>
      <w:r>
        <w:t xml:space="preserve">. </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rPr>
          <w:vertAlign w:val="superscript"/>
        </w:rPr>
        <w:t>◦</w:t>
      </w:r>
      <w:r>
        <w:t>. Y Hacienda no puede seguir por la vía penal una deuda ya prescrita en la administrativa</w:t>
      </w:r>
      <w:r>
        <w:rPr>
          <w:vertAlign w:val="superscript"/>
        </w:rPr>
        <w:t>◦</w:t>
      </w:r>
      <w:r>
        <w:t xml:space="preserve">. </w:t>
      </w:r>
    </w:p>
    <w:p>
      <w:r>
        <w:rPr>
          <w:b/>
        </w:rPr>
        <w:t>Contra un reglamento ilegal.</w:t>
      </w:r>
      <w:r>
        <w:t xml:space="preserve"> El plazo de dos meses para recurrir un reglamento vence pronto, pero cada acto nuevo que lo aplique abre un plazo nuevo: es el recurso indirecto</w:t>
      </w:r>
      <w:r>
        <w:rPr>
          <w:vertAlign w:val="superscript"/>
        </w:rPr>
        <w:t>◦</w:t>
      </w:r>
      <w:r>
        <w:t>. Hace falta que la ilegalidad del reglamento tenga que ver con el acto recurrido: no cabe impugnar la norma «en abstracto»</w:t>
      </w:r>
      <w:r>
        <w:rPr>
          <w:vertAlign w:val="superscript"/>
        </w:rPr>
        <w:t>◦</w:t>
      </w:r>
      <w:r>
        <w:t>. Si el juez lo estima, la cuestión de ilegalidad lleva la norma al tribunal que puede anularla para todos</w:t>
      </w:r>
      <w:r>
        <w:rPr>
          <w:vertAlign w:val="superscript"/>
        </w:rPr>
        <w:t>◦</w:t>
      </w:r>
      <w:r>
        <w:t>. Las disposiciones nulas lo son sin plazo, pero el ciudadano solo puede pedir de parte la revisión de los actos; la de las disposiciones generales es de oficio</w:t>
      </w:r>
      <w:r>
        <w:rPr>
          <w:vertAlign w:val="superscript"/>
        </w:rPr>
        <w:t>◦</w:t>
      </w:r>
      <w:r>
        <w:t>: frente a un reglamento nulo, su vía fuerte sigue siendo el recurso indirecto.</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rPr>
          <w:vertAlign w:val="superscript"/>
        </w:rPr>
        <w:t>◦</w:t>
      </w:r>
      <w:r>
        <w:t>. Para el error judicial, primero una decisión que lo reconozca, pedida en tres meses al Supremo, y después la reclamación al Ministerio de Justicia</w:t>
      </w:r>
      <w:r>
        <w:rPr>
          <w:vertAlign w:val="superscript"/>
        </w:rPr>
        <w:t>◦</w:t>
      </w:r>
      <w:r>
        <w:t>. Ninguna de estas vías es una fórmula mágica: son el mapa de lo que el propio ordenamiento ya permite.</w:t>
      </w:r>
    </w:p>
    <w:p>
      <w:pPr>
        <w:pStyle w:val="Heading3"/>
      </w:pPr>
      <w:r>
        <w:t>Defenderse juntos</w:t>
      </w:r>
    </w:p>
    <w:p>
      <w:r>
        <w:rPr>
          <w:b/>
        </w:rPr>
        <w:t>Hechos.</w:t>
      </w:r>
      <w:r>
        <w:t xml:space="preserve"> La ley permite acumular los recursos sobre un mismo acto o sobre actos conectados</w:t>
      </w:r>
      <w:r>
        <w:rPr>
          <w:vertAlign w:val="superscript"/>
        </w:rPr>
        <w:t>◦</w:t>
      </w:r>
      <w:r>
        <w:t>; si hay muchos con idéntico objeto, el juez puede tramitar uno como pleito testigo y suspender los demás</w:t>
      </w:r>
      <w:r>
        <w:rPr>
          <w:vertAlign w:val="superscript"/>
        </w:rPr>
        <w:t>◦</w:t>
      </w:r>
      <w:r>
        <w:t>; y en materia tributaria, quienes estén en idéntica situación pueden pedir que se les extiendan los efectos de una sentencia firme en el plazo de un año</w:t>
      </w:r>
      <w:r>
        <w:rPr>
          <w:vertAlign w:val="superscript"/>
        </w:rPr>
        <w:t>◦</w:t>
      </w:r>
      <w:r>
        <w:t>. Ante un juzgado unipersonal, el procurador es opcional</w:t>
      </w:r>
      <w:r>
        <w:rPr>
          <w:vertAlign w:val="superscript"/>
        </w:rPr>
        <w:t>◦</w:t>
      </w:r>
      <w:r>
        <w:t>. Y si se pierde del todo, el juez impone las costas a quien recurrió, salvo serias dudas</w:t>
      </w:r>
      <w:r>
        <w:rPr>
          <w:vertAlign w:val="superscript"/>
        </w:rPr>
        <w:t>◦</w:t>
      </w:r>
      <w:r>
        <w:t>.</w:t>
      </w:r>
    </w:p>
    <w:p>
      <w:r>
        <w:rPr>
          <w:b/>
        </w:rPr>
        <w:t>Conclusión, lo que arrojan los datos:</w:t>
      </w:r>
      <w:r>
        <w:t xml:space="preserve"> los cauces para defenderse en grupo ya existen. Lo que falta es encontrar a quien tiene el mismo problema.</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rPr>
          <w:vertAlign w:val="superscript"/>
        </w:rPr>
        <w:t>◦</w:t>
      </w:r>
      <w:r>
        <w:t>.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w:t>
      </w:r>
    </w:p>
    <w:p>
      <w:pPr>
        <w:pStyle w:val="Heading3"/>
      </w:pPr>
      <w:r>
        <w:t>La respuesta probable de la Administración</w:t>
      </w:r>
    </w:p>
    <w:p>
      <w:r>
        <w:t>Conocer la respuesta probable antes de presentar el escrito es parte de la buena fe. Estas son las cinco, con lo que responde la obra.</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rPr>
          <w:vertAlign w:val="superscript"/>
        </w:rPr>
        <w:t>◦</w:t>
      </w:r>
      <w:r>
        <w:t xml:space="preserve"> e inadmite las peticiones sobre un procedimiento ya iniciado</w:t>
      </w:r>
      <w:r>
        <w:rPr>
          <w:vertAlign w:val="superscript"/>
        </w:rPr>
        <w:t>◦</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rPr>
          <w:vertAlign w:val="superscript"/>
        </w:rPr>
        <w:t>◦</w:t>
      </w:r>
      <w:r>
        <w:t>. Además, el nombre que se dé al escrito no lo invalida</w:t>
      </w:r>
      <w:r>
        <w:rPr>
          <w:vertAlign w:val="superscript"/>
        </w:rPr>
        <w:t>◦</w:t>
      </w:r>
      <w:r>
        <w:t>.</w:t>
      </w:r>
    </w:p>
    <w:p>
      <w:pPr>
        <w:spacing w:after="60"/>
        <w:ind w:left="510" w:hanging="397"/>
      </w:pPr>
      <w:r>
        <w:rPr>
          <w:b w:val="0"/>
        </w:rPr>
        <w:t xml:space="preserve">2. </w:t>
      </w:r>
      <w:r>
        <w:rPr>
          <w:b/>
        </w:rPr>
        <w:t>«El acto ya cita su norma, y basta una motivación sucinta.»</w:t>
      </w:r>
      <w:r>
        <w:rPr>
          <w:vertAlign w:val="superscript"/>
        </w:rPr>
        <w:t>◦</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rPr>
          <w:vertAlign w:val="superscript"/>
        </w:rPr>
        <w:t>◦</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rPr>
          <w:vertAlign w:val="superscript"/>
        </w:rPr>
        <w:t>◦</w:t>
      </w:r>
      <w:r>
        <w:t xml:space="preserve"> </w:t>
      </w:r>
      <w:r>
        <w:rPr>
          <w:i/>
        </w:rPr>
        <w:t>La respuesta de la obra:</w:t>
      </w:r>
      <w:r>
        <w:t xml:space="preserve"> el silencio no libera de resolver</w:t>
      </w:r>
      <w:r>
        <w:rPr>
          <w:vertAlign w:val="superscript"/>
        </w:rPr>
        <w:t>◦</w:t>
      </w:r>
      <w:r>
        <w:t>, y la resolución tardía se dicta «sin vinculación alguna al sentido del silencio»</w:t>
      </w:r>
      <w:r>
        <w:rPr>
          <w:vertAlign w:val="superscript"/>
        </w:rPr>
        <w:t>◦</w:t>
      </w:r>
      <w:r>
        <w:t>. El silencio no da la razón a nadie: es un hecho documentado.</w:t>
      </w:r>
    </w:p>
    <w:p>
      <w:pPr>
        <w:spacing w:after="60"/>
        <w:ind w:left="510" w:hanging="397"/>
      </w:pPr>
      <w:r>
        <w:rPr>
          <w:b w:val="0"/>
        </w:rPr>
        <w:t xml:space="preserve">5. </w:t>
      </w:r>
      <w:r>
        <w:rPr>
          <w:b/>
        </w:rPr>
        <w:t>«Una avalancha de escritos idénticos es abusiva.»</w:t>
      </w:r>
      <w:r>
        <w:rPr>
          <w:vertAlign w:val="superscript"/>
        </w:rPr>
        <w:t>◦</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w:t>
      </w:r>
    </w:p>
    <w:p>
      <w:pPr>
        <w:pStyle w:val="ListBullet"/>
      </w:pPr>
      <w:r>
        <w:t>Notificada una denuncia de tráfico, hay veinte días naturales para alegar</w:t>
      </w:r>
      <w:r>
        <w:rPr>
          <w:vertAlign w:val="superscript"/>
        </w:rPr>
        <w:t>◦</w:t>
      </w:r>
      <w:r>
        <w:t>. Pagar en ese plazo reduce la multa a la mitad, pero las alegaciones «se tendrán por no presentadas» y la vía administrativa se agota</w:t>
      </w:r>
      <w:r>
        <w:rPr>
          <w:vertAlign w:val="superscript"/>
        </w:rPr>
        <w:t>◦</w:t>
      </w:r>
      <w:r>
        <w:t xml:space="preserve">: o se paga con la reducción, o se alega. </w:t>
      </w:r>
    </w:p>
    <w:p>
      <w:pPr>
        <w:pStyle w:val="ListBullet"/>
      </w:pPr>
      <w:r>
        <w:t>El recurso de reposición, en un mes, y otro mes para resolverlo</w:t>
      </w:r>
      <w:r>
        <w:rPr>
          <w:vertAlign w:val="superscript"/>
        </w:rPr>
        <w:t>◦</w:t>
      </w:r>
      <w:r>
        <w:t>. Recurrir no suspende por sí solo, pero se puede pedir la suspensión, y si no se resuelve en un mes, «la ejecución del acto impugnado se entenderá suspendida»</w:t>
      </w:r>
      <w:r>
        <w:rPr>
          <w:vertAlign w:val="superscript"/>
        </w:rPr>
        <w:t>◦</w:t>
      </w:r>
      <w:r>
        <w:t xml:space="preserve">. </w:t>
      </w:r>
    </w:p>
    <w:p>
      <w:pPr>
        <w:pStyle w:val="ListBullet"/>
      </w:pPr>
      <w:r>
        <w:t>La providencia de apremio tiene «la misma fuerza ejecutiva que la sentencia judicial», y solo admite cinco motivos de oposición</w:t>
      </w:r>
      <w:r>
        <w:rPr>
          <w:vertAlign w:val="superscript"/>
        </w:rPr>
        <w:t>◦</w:t>
      </w:r>
      <w:r>
        <w:t>. La reposición tributaria, en un mes, nunca empeora la situación de quien recurre, y si lo recurrido es una sanción se suspende sin garantía</w:t>
      </w:r>
      <w:r>
        <w:rPr>
          <w:vertAlign w:val="superscript"/>
        </w:rPr>
        <w:t>◦</w:t>
      </w:r>
      <w:r>
        <w:t xml:space="preserve">. </w:t>
      </w:r>
    </w:p>
    <w:p>
      <w:pPr>
        <w:pStyle w:val="ListBullet"/>
      </w:pPr>
      <w:r>
        <w:t>No se puede embargar el sueldo o la pensión que no exceda del salario mínimo</w:t>
      </w:r>
      <w:r>
        <w:rPr>
          <w:vertAlign w:val="superscript"/>
        </w:rPr>
        <w:t>◦</w:t>
      </w:r>
      <w:r>
        <w:t xml:space="preserve">. </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Este apartado dice qué compensación ya reconoce la ley.</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rPr>
          <w:vertAlign w:val="superscript"/>
        </w:rPr>
        <w:t>◦</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rPr>
          <w:vertAlign w:val="superscript"/>
        </w:rPr>
        <w:t>◦</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rPr>
          <w:vertAlign w:val="superscript"/>
        </w:rPr>
        <w:t>◦</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rPr>
          <w:vertAlign w:val="superscript"/>
        </w:rPr>
        <w:t>◦</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rPr>
          <w:vertAlign w:val="superscript"/>
        </w:rPr>
        <w:t>◦</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rPr>
          <w:vertAlign w:val="superscript"/>
        </w:rPr>
        <w:t>◦</w:t>
      </w:r>
      <w:r>
        <w:t>.</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rPr>
          <w:vertAlign w:val="superscript"/>
        </w:rPr>
        <w:t>◦</w:t>
      </w:r>
      <w:r>
        <w:t>.</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rPr>
          <w:vertAlign w:val="superscript"/>
        </w:rPr>
        <w:t>◦</w:t>
      </w:r>
      <w:r>
        <w:t>; hace falta una tardanza que, vista la complejidad del caso, sea impropia de un Estado que «propugna como uno de sus valores superiores la justicia»</w:t>
      </w:r>
      <w:r>
        <w:rPr>
          <w:vertAlign w:val="superscript"/>
        </w:rPr>
        <w:t>◦</w:t>
      </w:r>
      <w:r>
        <w:t>.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rPr>
          <w:vertAlign w:val="superscript"/>
        </w:rPr>
        <w:t>◦</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rPr>
          <w:vertAlign w:val="superscript"/>
        </w:rPr>
        <w:t>◦</w:t>
      </w:r>
      <w:r>
        <w:t>, pero esa tolerancia no le quita la propiedad: «los actos meramente tolerados […] no afectan a la posesión»</w:t>
      </w:r>
      <w:r>
        <w:rPr>
          <w:vertAlign w:val="superscript"/>
        </w:rPr>
        <w:t>◦</w:t>
      </w:r>
      <w:r>
        <w:t>. Queda lo único que queda cuando hubo tolerancia por ambas partes: marcar otra vez el límite y compensar lo tomado de más.</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rPr>
          <w:vertAlign w:val="superscript"/>
        </w:rPr>
        <w:t>◦</w:t>
      </w:r>
      <w:r>
        <w:t>.</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rPr>
          <w:vertAlign w:val="superscript"/>
        </w:rPr>
        <w:t>◦</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Por eso lo que se pide es un deslinde, no una condena.</w:t>
      </w:r>
    </w:p>
    <w:p>
      <w:pPr>
        <w:pStyle w:val="Heading3"/>
      </w:pPr>
      <w:r>
        <w:t>La medida: el exceso que contamina el acto entero</w:t>
      </w:r>
    </w:p>
    <w:p>
      <w:r>
        <w:t>El criterio no es que el derecho castigue sobrepasar, que sería obvio, sino algo más raro: sitios donde el poder era legítimo, se ejerció más allá de su medida, y el exceso contamina el acto entero, no solo la parte sobrante.</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rPr>
          <w:vertAlign w:val="superscript"/>
        </w:rPr>
        <w:t>◦</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rPr>
          <w:vertAlign w:val="superscript"/>
        </w:rPr>
        <w:t>◦</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rPr>
          <w:vertAlign w:val="superscript"/>
        </w:rPr>
        <w:t>◦</w:t>
      </w:r>
      <w:r>
        <w:t>, al legislador</w:t>
      </w:r>
      <w:r>
        <w:rPr>
          <w:vertAlign w:val="superscript"/>
        </w:rPr>
        <w:t>◦</w:t>
      </w:r>
      <w:r>
        <w:t xml:space="preserve"> y a los jueces</w:t>
      </w:r>
      <w:r>
        <w:rPr>
          <w:vertAlign w:val="superscript"/>
        </w:rPr>
        <w:t>◦</w:t>
      </w:r>
      <w:r>
        <w:t>.</w:t>
      </w:r>
    </w:p>
    <w:p>
      <w:pPr>
        <w:pStyle w:val="ListBullet"/>
      </w:pPr>
      <w:r>
        <w:rPr>
          <w:b/>
        </w:rPr>
        <w:t>La piedra que la ley no puede mover:</w:t>
      </w:r>
      <w:r>
        <w:t xml:space="preserve"> el «contenido esencial» de los derechos</w:t>
      </w:r>
      <w:r>
        <w:rPr>
          <w:vertAlign w:val="superscript"/>
        </w:rPr>
        <w:t>◦</w:t>
      </w:r>
      <w:r>
        <w:t>, y la «interdicción de la arbitrariedad de los poderes públicos»</w:t>
      </w:r>
      <w:r>
        <w:rPr>
          <w:vertAlign w:val="superscript"/>
        </w:rPr>
        <w:t>◦</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rPr>
          <w:vertAlign w:val="superscript"/>
        </w:rPr>
        <w:t>◦</w:t>
      </w:r>
      <w:r>
        <w:t xml:space="preserve">. No son alternativas: se cumplen las cuatro o la limitación no vale. La presunción de inocencia, también en lo administrativo, ya se vio en </w:t>
      </w:r>
      <w:r>
        <w:t>5.2</w:t>
      </w:r>
      <w:r>
        <w:t xml:space="preserve"> y </w:t>
      </w:r>
      <w:r>
        <w:t>7.5</w:t>
      </w:r>
      <w:r>
        <w:t xml:space="preserve">, n.º 3. </w:t>
      </w:r>
    </w:p>
    <w:p>
      <w:pPr>
        <w:pStyle w:val="ListBullet"/>
      </w:pPr>
      <w:r>
        <w:rPr>
          <w:b/>
        </w:rPr>
        <w:t>El techo dentro de la excepción:</w:t>
      </w:r>
      <w:r>
        <w:t xml:space="preserve"> la legítima defensa exige «necesidad racional del medio empleado»</w:t>
      </w:r>
      <w:r>
        <w:rPr>
          <w:vertAlign w:val="superscript"/>
        </w:rPr>
        <w:t>◦</w:t>
      </w:r>
      <w:r>
        <w:t>, y el estado de necesidad, «que el mal causado no sea mayor que el que se trate de evitar»</w:t>
      </w:r>
      <w:r>
        <w:rPr>
          <w:vertAlign w:val="superscript"/>
        </w:rPr>
        <w:t>◦</w:t>
      </w:r>
      <w:r>
        <w:t>.</w:t>
      </w:r>
    </w:p>
    <w:p>
      <w:pPr>
        <w:pStyle w:val="ListBullet"/>
      </w:pPr>
      <w:r>
        <w:rPr>
          <w:b/>
        </w:rPr>
        <w:t>La tradición:</w:t>
      </w:r>
      <w:r>
        <w:t xml:space="preserve"> «Maldito el que redujere el término de su prójimo. Y dirá todo el pueblo: Amén»</w:t>
      </w:r>
      <w:r>
        <w:rPr>
          <w:vertAlign w:val="superscript"/>
        </w:rPr>
        <w:t>◦</w:t>
      </w:r>
      <w:r>
        <w:t>, entre las maldiciones del monte Ebal, junto a la de quien deshonra a sus padres y la de quien pervierte el derecho del extranjero, del huérfano y de la viuda. Mover el límite se juzga junto al abandono del más débil.</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rPr>
          <w:vertAlign w:val="superscript"/>
        </w:rPr>
        <w:t>◦</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rPr>
          <w:vertAlign w:val="superscript"/>
        </w:rPr>
        <w:t>◦</w:t>
      </w:r>
      <w:r>
        <w:t>.</w:t>
      </w:r>
    </w:p>
    <w:p>
      <w:r>
        <w:t>Un patrón con sus excepciones reconocidas es un patrón; sin ellas sería propaganda.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rPr>
          <w:vertAlign w:val="superscript"/>
        </w:rPr>
        <w:t>◦</w:t>
      </w:r>
      <w:r>
        <w:t>; la Carta de la Unión, la propiedad, la igualdad y la tutela judicial efectiva</w:t>
      </w:r>
      <w:r>
        <w:rPr>
          <w:vertAlign w:val="superscript"/>
        </w:rPr>
        <w:t>◦</w:t>
      </w:r>
      <w:r>
        <w:t>; y el Convenio Europeo, el juicio en un plazo razonable y la propiedad</w:t>
      </w:r>
      <w:r>
        <w:rPr>
          <w:vertAlign w:val="superscript"/>
        </w:rPr>
        <w:t>◦</w:t>
      </w:r>
      <w:r>
        <w:t>.</w:t>
      </w:r>
    </w:p>
    <w:p>
      <w:pPr>
        <w:pStyle w:val="ListBullet"/>
      </w:pPr>
      <w:r>
        <w:t>El Tribunal Europeo de Derechos Humanos condenó a Italia porque sus autoridades tardaron demasiado en ejecutar el desalojo de unos ocupantes ilegales</w:t>
      </w:r>
      <w:r>
        <w:rPr>
          <w:vertAlign w:val="superscript"/>
        </w:rPr>
        <w:t>◦</w:t>
      </w:r>
      <w:r>
        <w:t>, y a Grecia, por no actuar durante más de tres años frente a la ocupación de un hotel</w:t>
      </w:r>
      <w:r>
        <w:rPr>
          <w:vertAlign w:val="superscript"/>
        </w:rPr>
        <w:t>◦</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rPr>
          <w:vertAlign w:val="superscript"/>
        </w:rPr>
        <w:t>◦</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rPr>
          <w:vertAlign w:val="superscript"/>
        </w:rPr>
        <w:t>◦</w:t>
      </w:r>
      <w:r>
        <w:t>; la demora tiene que ser injustificada.</w:t>
      </w:r>
    </w:p>
    <w:p>
      <w:pPr>
        <w:pStyle w:val="ListBullet"/>
      </w:pPr>
      <w:r>
        <w:t>El Código Civil: el poseedor de mala fe abona los frutos percibidos y los que el poseedor legítimo hubiera podido percibir</w:t>
      </w:r>
      <w:r>
        <w:rPr>
          <w:vertAlign w:val="superscript"/>
        </w:rPr>
        <w:t>◦</w:t>
      </w:r>
      <w:r>
        <w:t>, responde del deterioro</w:t>
      </w:r>
      <w:r>
        <w:rPr>
          <w:vertAlign w:val="superscript"/>
        </w:rPr>
        <w:t>◦</w:t>
      </w:r>
      <w:r>
        <w:t xml:space="preserve"> y no cobra las mejoras de lujo</w:t>
      </w:r>
      <w:r>
        <w:rPr>
          <w:vertAlign w:val="superscript"/>
        </w:rPr>
        <w:t>◦</w:t>
      </w:r>
      <w:r>
        <w:t>.</w:t>
      </w:r>
    </w:p>
    <w:p>
      <w:r>
        <w:rPr>
          <w:b/>
        </w:rPr>
        <w:t>La ocupación, con su cifra.</w:t>
      </w:r>
      <w:r>
        <w:t xml:space="preserve"> El Ministerio del Interior contabilizó 16.426 delitos de usurpación y allanamiento de morada en 2024, un 7,4 % más que el año anterior y la tercera cifra más alta de la serie</w:t>
      </w:r>
      <w:r>
        <w:rPr>
          <w:vertAlign w:val="superscript"/>
        </w:rPr>
        <w:t>◦</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rPr>
          <w:vertAlign w:val="superscript"/>
        </w:rPr>
        <w:t>◦</w:t>
      </w:r>
      <w:r>
        <w:t>. El CGPJ mide aparte los juicios verbales para recuperar una vivienda ocupada, una vía civil que solo pueden usar la persona física propietaria o poseedora legítima, las entidades sin ánimo de lucro y las entidades públicas de vivienda social</w:t>
      </w:r>
      <w:r>
        <w:rPr>
          <w:vertAlign w:val="superscript"/>
        </w:rPr>
        <w:t>◦</w:t>
      </w:r>
      <w:r>
        <w:t>; los delitos van por la vía penal. Cada categoría mide su trozo; nadie mide el total. Y desde el 3 de abril de 2025, la usurpación y el allanamiento van por juicio rápido, en el que el juicio oral se señala «dentro de los quince días siguientes»</w:t>
      </w:r>
      <w:r>
        <w:rPr>
          <w:vertAlign w:val="superscript"/>
        </w:rPr>
        <w:t>◦</w:t>
      </w:r>
      <w:r>
        <w:t>.</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r>
        <w:rPr>
          <w:b/>
        </w:rPr>
        <w:t>La tensión, dicha sin elegir bando.</w:t>
      </w:r>
      <w:r>
        <w:t xml:space="preserve"> Proteger a quien es vulnerable no vulnera la igualdad: la Constitución obliga a los poderes públicos a que la libertad y la igualdad sean «reales y efectivas»</w:t>
      </w:r>
      <w:r>
        <w:rPr>
          <w:vertAlign w:val="superscript"/>
        </w:rPr>
        <w:t>◦</w:t>
      </w:r>
      <w:r>
        <w:t>, y la protección frente a los desahucios de hogares vulnerables se ha prorrogado hasta el 31 de diciembre de 2026</w:t>
      </w:r>
      <w:r>
        <w:rPr>
          <w:vertAlign w:val="superscript"/>
        </w:rPr>
        <w:t>◦</w:t>
      </w:r>
      <w:r>
        <w:t>. El problema real es otro: la buena fe se presume por igual en quien la merece y en quien no (</w:t>
      </w:r>
      <w:r>
        <w:t>2.5</w:t>
      </w:r>
      <w:r>
        <w:t>),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rPr>
          <w:vertAlign w:val="superscript"/>
        </w:rPr>
        <w:t>◦</w:t>
      </w:r>
      <w:r>
        <w:t xml:space="preserve"> (</w:t>
      </w:r>
      <w:r>
        <w:t>7.2</w:t>
      </w:r>
      <w:r>
        <w:t>, n.º 9). Y la Unión obliga: el Tribunal de Justicia declaró en 2024 que las medidas españolas contra el abuso de la temporalidad en el empleo público no se ajustan al Derecho de la Unión</w:t>
      </w:r>
      <w:r>
        <w:rPr>
          <w:vertAlign w:val="superscript"/>
        </w:rPr>
        <w:t>◦</w:t>
      </w:r>
      <w:r>
        <w:t>, y en 2026 lo repitió: llamar «indefinido no fijo» al trabajador no elimina por sí solo el abuso</w:t>
      </w:r>
      <w:r>
        <w:rPr>
          <w:vertAlign w:val="superscript"/>
        </w:rPr>
        <w:t>◦</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rPr>
          <w:vertAlign w:val="superscript"/>
        </w:rPr>
        <w:t>◦</w:t>
      </w:r>
      <w:r>
        <w:t>.</w:t>
      </w:r>
    </w:p>
    <w:p>
      <w:pPr>
        <w:pStyle w:val="Heading3"/>
      </w:pPr>
      <w:r>
        <w:t>La petición de deslinde</w:t>
      </w:r>
    </w:p>
    <w:p>
      <w:r>
        <w:t>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Ninguno espera al colapso: todos actúan con el poder todavía en pie, pidiendo que se corrija.</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rPr>
          <w:vertAlign w:val="superscript"/>
        </w:rPr>
        <w:t>◦</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rPr>
          <w:vertAlign w:val="superscript"/>
        </w:rPr>
        <w:t>◦</w:t>
      </w:r>
      <w:r>
        <w:t>. Por eso el pliego de cargos va institución por institución (</w:t>
      </w:r>
      <w:r>
        <w:t>11.3</w:t>
      </w:r>
      <w:r>
        <w:t xml:space="preserve">). </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rPr>
          <w:vertAlign w:val="superscript"/>
        </w:rPr>
        <w:t>◦</w:t>
      </w:r>
      <w:r>
        <w:t xml:space="preserve">. </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p>
    <w:p>
      <w:pPr>
        <w:spacing w:after="60"/>
        <w:ind w:left="510" w:hanging="397"/>
      </w:pPr>
      <w:r>
        <w:rPr>
          <w:b w:val="0"/>
        </w:rPr>
        <w:t xml:space="preserve">5. </w:t>
      </w:r>
      <w:r>
        <w:rPr>
          <w:b/>
        </w:rPr>
        <w:t>«La vivienda social es competencia de las comunidades autónomas.»</w:t>
      </w:r>
      <w:r>
        <w:rPr>
          <w:vertAlign w:val="superscript"/>
        </w:rPr>
        <w:t>◦</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rPr>
          <w:vertAlign w:val="superscript"/>
        </w:rPr>
        <w:t>◦</w:t>
      </w:r>
      <w:r>
        <w:t>. La ley reconoce tribunales de la costumbre que siguen funcionando, como el Tribunal de las Aguas de la Vega Valenciana</w:t>
      </w:r>
      <w:r>
        <w:rPr>
          <w:vertAlign w:val="superscript"/>
        </w:rPr>
        <w:t>◦</w:t>
      </w:r>
      <w:r>
        <w:t xml:space="preserve"> (</w:t>
      </w:r>
      <w:r>
        <w:t>1.5</w:t>
      </w:r>
      <w:r>
        <w:t>). La petición puede ser colectiva, firmada por todos</w:t>
      </w:r>
      <w:r>
        <w:rPr>
          <w:vertAlign w:val="superscript"/>
        </w:rPr>
        <w:t>◦</w:t>
      </w:r>
      <w:r>
        <w:t>, y los tribunales pueden juzgar un caso testigo y extender sus efectos a otros iguales</w:t>
      </w:r>
      <w:r>
        <w:rPr>
          <w:vertAlign w:val="superscript"/>
        </w:rPr>
        <w:t>◦</w:t>
      </w:r>
      <w:r>
        <w:t>.</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o engañado. Por eso la brújula funciona con dos lecturas a la vez: lo que dicen los frutos, con su fuente, y lo que uno siente. Si no coinciden, esa diferencia ya es información.</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10 Las puertas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Las puertas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