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 obra entera: el texto</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t>Doy las gracias, de todo corazón, a la Iglesia ortodoxa Tewahedo de Etiopía. Para mí, son unos guardianes fieles del cristianismo: así los veo y así los reconozco. Gracias a ellos se conservan enteros el Libro de Enoc y el de los Jubileos, que solo han llegado completos en su lengua, el ge'ez, y los Evangelios de Garima, escritos hace unos mil quinientos años (</w:t>
      </w:r>
      <w:r>
        <w:t>0.1</w:t>
      </w:r>
      <w:r>
        <w:t>).</w:t>
      </w:r>
    </w:p>
    <w:p>
      <w:r>
        <w:t>Doy las gracias también a todos los que, a lo largo de toda la historia y en todas las religiones, han custodiado con dignidad la palabra de Dios. Cada uno ha conservado una pieza del rompecabezas. Y gracias a Jesús, a su palabra y al resto de los custodios de todas las religiones, se ha podido recuperar.</w:t>
      </w:r>
    </w:p>
    <w:p>
      <w:r>
        <w:t>Y un agradecimiento muy, pero que muy especial, a todos los custodios. Reconozco su gran sacrificio. En especial, a quienes han custodiado el arca de la alianza.</w:t>
      </w:r>
    </w:p>
    <w:p>
      <w:r>
        <w:t>Kiko Orozco Rocamora</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rPr>
          <w:vertAlign w:val="superscript"/>
        </w:rPr>
        <w:t>◦</w:t>
      </w:r>
      <w:r>
        <w:t>.</w:t>
      </w:r>
    </w:p>
    <w:p>
      <w:pPr>
        <w:pStyle w:val="ListBullet"/>
      </w:pPr>
      <w:r>
        <w:rPr>
          <w:b/>
        </w:rPr>
        <w:t>Los Vedas</w:t>
      </w:r>
      <w:r>
        <w:t xml:space="preserve"> se han transmitido de memoria durante miles de años, cuidando que no cambie el sonido de cada palabra</w:t>
      </w:r>
      <w:r>
        <w:rPr>
          <w:vertAlign w:val="superscript"/>
        </w:rPr>
        <w:t>◦</w:t>
      </w:r>
      <w:r>
        <w:t>.</w:t>
      </w:r>
    </w:p>
    <w:p>
      <w:pPr>
        <w:pStyle w:val="ListBullet"/>
      </w:pPr>
      <w:r>
        <w:rPr>
          <w:b/>
        </w:rPr>
        <w:t>Los Evangelios de Garima,</w:t>
      </w:r>
      <w:r>
        <w:t xml:space="preserve"> escritos hace unos mil quinientos años, todavía se veneran en su monasterio de Etiopía</w:t>
      </w:r>
      <w:r>
        <w:rPr>
          <w:vertAlign w:val="superscript"/>
        </w:rPr>
        <w:t>◦</w:t>
      </w:r>
      <w:r>
        <w:t>.</w:t>
      </w:r>
    </w:p>
    <w:p>
      <w:r>
        <w:t>Ese celo es un testimonio: muestra lo que los pueblos han tenido por ley por encima de toda ley. Da igual el nombre que cada pueblo dé a Dios: lo que todos guardaron coincide en lo esencial.</w:t>
      </w:r>
    </w:p>
    <w:p>
      <w:r>
        <w:t>Los hechos completos, con sus fuentes, se ven en el nivel completo.</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rPr>
          <w:vertAlign w:val="superscript"/>
        </w:rPr>
        <w:t>◦</w:t>
      </w:r>
      <w:r>
        <w:t>. La obra usa la palabra en ese sentido: descubrir cómo funciona el sistema, que está a la vista de todos, pero escondido en su complejidad. No anuncia el fin del mundo.</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rPr>
          <w:vertAlign w:val="superscript"/>
        </w:rPr>
        <w:t>◦</w:t>
      </w:r>
      <w:r>
        <w:t>; en España, 1.855 especies amenazadas y el 74 % de los tipos de hábitat en estado desfavorable (2013-2018), cifra que sube sobre todo porque hay menos evaluaciones con resultado desconocido</w:t>
      </w:r>
      <w:r>
        <w:rPr>
          <w:vertAlign w:val="superscript"/>
        </w:rPr>
        <w:t>◦</w:t>
      </w:r>
      <w:r>
        <w:t>;</w:t>
      </w:r>
    </w:p>
    <w:p>
      <w:pPr>
        <w:pStyle w:val="ListBullet2"/>
      </w:pPr>
      <w:r>
        <w:rPr>
          <w:b/>
        </w:rPr>
        <w:t>los bosques:</w:t>
      </w:r>
      <w:r>
        <w:t xml:space="preserve"> el del mundo mengua, cada vez más despacio; el de España crece un 37,6 % de 1990 a 2025 (cálculo de la edición), sobre todo el que se regenera solo</w:t>
      </w:r>
      <w:r>
        <w:rPr>
          <w:vertAlign w:val="superscript"/>
        </w:rPr>
        <w:t>◦</w:t>
      </w:r>
      <w:r>
        <w:t>, pero en 2024 casi una cuarta parte de sus árboles muestreados había perdido más de la cuarta parte de sus hojas, sobre todo por la sequía</w:t>
      </w:r>
      <w:r>
        <w:rPr>
          <w:vertAlign w:val="superscript"/>
        </w:rPr>
        <w:t>◦</w:t>
      </w:r>
      <w:r>
        <w:t>;</w:t>
      </w:r>
    </w:p>
    <w:p>
      <w:pPr>
        <w:pStyle w:val="ListBullet2"/>
      </w:pPr>
      <w:r>
        <w:rPr>
          <w:b/>
        </w:rPr>
        <w:t>el mar:</w:t>
      </w:r>
      <w:r>
        <w:t xml:space="preserve"> las poblaciones marinas que se siguen, un 59 % menos de 1970 a 2022</w:t>
      </w:r>
      <w:r>
        <w:rPr>
          <w:vertAlign w:val="superscript"/>
        </w:rPr>
        <w:t>◦</w:t>
      </w:r>
      <w:r>
        <w:t>; las pesquerías sobreexplotadas, del 10 % al 37,7 % de las poblaciones evaluadas de 1974 a 2021; el Mediterráneo y el mar Negro, entre lo peor, pero mejoran</w:t>
      </w:r>
      <w:r>
        <w:rPr>
          <w:vertAlign w:val="superscript"/>
        </w:rPr>
        <w:t>◦</w:t>
      </w:r>
      <w:r>
        <w:t>; en los mares de Europa, el 80 % de las zonas evaluadas, con problemas por contaminantes</w:t>
      </w:r>
      <w:r>
        <w:rPr>
          <w:vertAlign w:val="superscript"/>
        </w:rPr>
        <w:t>◦</w:t>
      </w:r>
      <w:r>
        <w:t>;</w:t>
      </w:r>
    </w:p>
    <w:p>
      <w:pPr>
        <w:pStyle w:val="ListBullet2"/>
      </w:pPr>
      <w:r>
        <w:rPr>
          <w:b/>
        </w:rPr>
        <w:t>el aire:</w:t>
      </w:r>
      <w:r>
        <w:t xml:space="preserve"> en España, casi ninguna zona por encima de los valores legales, salvo el ozono (20 de 132 zonas en 2024)</w:t>
      </w:r>
      <w:r>
        <w:rPr>
          <w:vertAlign w:val="superscript"/>
        </w:rPr>
        <w:t>◦</w:t>
      </w:r>
      <w:r>
        <w:t>; con los valores guía de la OMS, más exigentes, más del 90 % de la población urbana de la UE, por encima; y la contaminación baja desde hace dos décadas</w:t>
      </w:r>
      <w:r>
        <w:rPr>
          <w:vertAlign w:val="superscript"/>
        </w:rPr>
        <w:t>◦</w:t>
      </w:r>
      <w:r>
        <w:t>;</w:t>
      </w:r>
    </w:p>
    <w:p>
      <w:pPr>
        <w:pStyle w:val="ListBullet2"/>
      </w:pPr>
      <w:r>
        <w:rPr>
          <w:b/>
        </w:rPr>
        <w:t>el agua:</w:t>
      </w:r>
      <w:r>
        <w:t xml:space="preserve"> en España, en buen estado, el 50,2 % de las masas superficiales y el 54,1 % de las subterráneas (2023; cálculo de la edición)</w:t>
      </w:r>
      <w:r>
        <w:rPr>
          <w:vertAlign w:val="superscript"/>
        </w:rPr>
        <w:t>◦</w:t>
      </w:r>
      <w:r>
        <w:t>;</w:t>
      </w:r>
    </w:p>
    <w:p>
      <w:pPr>
        <w:pStyle w:val="ListBullet2"/>
      </w:pPr>
      <w:r>
        <w:rPr>
          <w:b/>
        </w:rPr>
        <w:t>el suelo:</w:t>
      </w:r>
      <w:r>
        <w:t xml:space="preserve"> en España, el 24,8 % de la superficie erosionable, con erosión media o alta</w:t>
      </w:r>
      <w:r>
        <w:rPr>
          <w:vertAlign w:val="superscript"/>
        </w:rPr>
        <w:t>◦</w:t>
      </w:r>
      <w:r>
        <w:t>; en la UE, más del 60 % de los suelos, probablemente degradado</w:t>
      </w:r>
      <w:r>
        <w:rPr>
          <w:vertAlign w:val="superscript"/>
        </w:rPr>
        <w:t>◦</w:t>
      </w:r>
      <w:r>
        <w:t>;</w:t>
      </w:r>
    </w:p>
    <w:p>
      <w:pPr>
        <w:pStyle w:val="ListBullet2"/>
      </w:pPr>
      <w:r>
        <w:rPr>
          <w:b/>
        </w:rPr>
        <w:t>lo que se recupera:</w:t>
      </w:r>
      <w:r>
        <w:t xml:space="preserve"> en España, el lince ibérico, de unos 100 ejemplares en 2011 a más de 600 en 2017, y el águila imperial, el quebrantahuesos y el oso pardo</w:t>
      </w:r>
      <w:r>
        <w:rPr>
          <w:vertAlign w:val="superscript"/>
        </w:rPr>
        <w:t>◦</w:t>
      </w:r>
      <w:r>
        <w:t>;</w:t>
      </w:r>
    </w:p>
    <w:p>
      <w:pPr>
        <w:pStyle w:val="ListBullet2"/>
      </w:pPr>
      <w:r>
        <w:rPr>
          <w:b/>
        </w:rPr>
        <w:t>y nacen menos:</w:t>
      </w:r>
      <w:r>
        <w:t xml:space="preserve"> 1,10 hijos por mujer en España (</w:t>
      </w:r>
      <w:r>
        <w:t>8.8</w:t>
      </w:r>
      <w:r>
        <w:t>), 1,34 en la UE y 2,25 en el mundo, en 2024</w:t>
      </w:r>
      <w:r>
        <w:rPr>
          <w:vertAlign w:val="superscript"/>
        </w:rPr>
        <w:t>◦</w:t>
      </w:r>
      <w:r>
        <w:t>;</w:t>
      </w:r>
    </w:p>
    <w:p>
      <w:pPr>
        <w:pStyle w:val="ListBullet2"/>
      </w:pPr>
      <w:r>
        <w:rPr>
          <w:b/>
        </w:rPr>
        <w:t>lo que no dicen:</w:t>
      </w:r>
      <w:r>
        <w:t xml:space="preserve"> estas cifras miden el estado, no quién lo causa.</w:t>
      </w:r>
    </w:p>
    <w:p>
      <w:r>
        <w:t>La tabla entera, con lo que se pierde, lo que se gana, el estado y el deterioro de cada cosa, se ve en el nivel completo.</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Qué parte del árbol mira cada capítulo está en el mapa de J.1.</w:t>
      </w:r>
    </w:p>
    <w:p>
      <w:r>
        <w:rPr>
          <w:b/>
        </w:rPr>
        <w:t>Lo que no hace.</w:t>
      </w:r>
      <w:r>
        <w:t xml:space="preserve"> La obra no exime de ninguna obligación vigente: mientras el Estado no cambie, las obligaciones vigentes siguen vigentes</w:t>
      </w:r>
      <w:r>
        <w:rPr>
          <w:vertAlign w:val="superscript"/>
        </w:rPr>
        <w:t>◦</w:t>
      </w:r>
      <w:r>
        <w:t>. Tampoco invita a desobedecer. Juzga instituciones y diseños legales, nunca personas ni colectivos. Y no da consejo financiero ni de inversión.</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rPr>
          <w:vertAlign w:val="superscript"/>
        </w:rPr>
        <w:t>◦</w:t>
      </w:r>
      <w:r>
        <w:t>. Y no se le reprendió: «Mete tu dedo aquí, y ve mis manos: y alarga acá tu mano, y métela en mi costado»</w:t>
      </w:r>
      <w:r>
        <w:rPr>
          <w:vertAlign w:val="superscript"/>
        </w:rPr>
        <w:t>◦</w:t>
      </w:r>
      <w:r>
        <w:t>; «bienaventurados los que no vieron y creyeron»</w:t>
      </w:r>
      <w:r>
        <w:rPr>
          <w:vertAlign w:val="superscript"/>
        </w:rPr>
        <w:t>◦</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w:t>
      </w:r>
    </w:p>
    <w:p>
      <w:r>
        <w:t>En todos los escalones se ven siempre los rótulos que separan el dato de la interpretación. Cada capítulo empieza con «En pocas palabras» y termina con «Para recordar», y cada apartado se abre con su idea en una frase.</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rPr>
          <w:vertAlign w:val="superscript"/>
        </w:rPr>
        <w:t>◦</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rPr>
          <w:vertAlign w:val="superscript"/>
        </w:rPr>
        <w:t>◦</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rPr>
          <w:vertAlign w:val="superscript"/>
        </w:rPr>
        <w:t>◦</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rPr>
          <w:vertAlign w:val="superscript"/>
        </w:rPr>
        <w:t>◦</w:t>
      </w:r>
      <w:r>
        <w:t>. Y el tribunal que presume un hecho necesita otro «admitido o probado», un «enlace preciso y directo» entre los dos, y debe razonarlo en la sentencia</w:t>
      </w:r>
      <w:r>
        <w:rPr>
          <w:vertAlign w:val="superscript"/>
        </w:rPr>
        <w:t>◦</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rPr>
          <w:vertAlign w:val="superscript"/>
        </w:rPr>
        <w:t>◦</w:t>
      </w:r>
      <w:r>
        <w:t>.</w:t>
      </w:r>
    </w:p>
    <w:p>
      <w:pPr>
        <w:pStyle w:val="ListBullet"/>
      </w:pPr>
      <w:r>
        <w:t>En el griego del Evangelio dice «por sus frutos los reconoceréis»</w:t>
      </w:r>
      <w:r>
        <w:t xml:space="preserve">. El verbo es </w:t>
      </w:r>
      <w:r>
        <w:rPr>
          <w:i/>
        </w:rPr>
        <w:t>epiginóskō</w:t>
      </w:r>
      <w:r>
        <w:t>, «reconocer».</w:t>
      </w:r>
    </w:p>
    <w:p>
      <w:pPr>
        <w:pStyle w:val="ListBullet"/>
      </w:pPr>
      <w:r>
        <w:t>No es el mismo verbo de «No juzguéis, para que no seáis juzgados»</w:t>
      </w:r>
      <w:r>
        <w:rPr>
          <w:vertAlign w:val="superscript"/>
        </w:rPr>
        <w:t>◦</w:t>
      </w:r>
      <w:r>
        <w:t xml:space="preserve">, que es </w:t>
      </w:r>
      <w:r>
        <w:rPr>
          <w:i/>
        </w:rPr>
        <w:t>krínō</w:t>
      </w:r>
      <w:r>
        <w:t>, «juzgar». En Lucas, ese «no juzguéis» va con «no condenéis»</w:t>
      </w:r>
      <w:r>
        <w:rPr>
          <w:vertAlign w:val="superscript"/>
        </w:rPr>
        <w:t>◦</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rPr>
          <w:vertAlign w:val="superscript"/>
        </w:rPr>
        <w:t>◦</w:t>
      </w:r>
      <w:r>
        <w:t>. Por eso esta obra es un análisis, no un juicio.</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rPr>
          <w:vertAlign w:val="superscript"/>
        </w:rPr>
        <w:t>◦</w:t>
      </w:r>
      <w:r>
        <w:t>.</w:t>
      </w:r>
    </w:p>
    <w:p>
      <w:pPr>
        <w:pStyle w:val="ListBullet"/>
      </w:pPr>
      <w:r>
        <w:rPr>
          <w:b/>
        </w:rPr>
        <w:t>Judaísmo:</w:t>
      </w:r>
      <w:r>
        <w:t xml:space="preserve"> «no es el estudio lo principal, sino la acción»</w:t>
      </w:r>
      <w:r>
        <w:rPr>
          <w:vertAlign w:val="superscript"/>
        </w:rPr>
        <w:t>◦</w:t>
      </w:r>
      <w:r>
        <w:t>.</w:t>
      </w:r>
    </w:p>
    <w:p>
      <w:pPr>
        <w:pStyle w:val="ListBullet"/>
      </w:pPr>
      <w:r>
        <w:rPr>
          <w:b/>
        </w:rPr>
        <w:t>Primera carta de Juan:</w:t>
      </w:r>
      <w:r>
        <w:t xml:space="preserve"> «no amemos de palabra ni de lengua, sino de obra y en verdad»</w:t>
      </w:r>
      <w:r>
        <w:rPr>
          <w:vertAlign w:val="superscript"/>
        </w:rPr>
        <w:t>◦</w:t>
      </w:r>
      <w:r>
        <w:t>.</w:t>
      </w:r>
    </w:p>
    <w:p>
      <w:pPr>
        <w:pStyle w:val="ListBullet"/>
      </w:pPr>
      <w:r>
        <w:rPr>
          <w:b/>
        </w:rPr>
        <w:t>Aristóteles:</w:t>
      </w:r>
      <w:r>
        <w:t xml:space="preserve"> «la verdad, en materia de conducta, se juzga por los hechos y por la vida real»</w:t>
      </w:r>
      <w:r>
        <w:rPr>
          <w:vertAlign w:val="superscript"/>
        </w:rPr>
        <w:t>◦</w:t>
      </w:r>
      <w:r>
        <w:t>.</w:t>
      </w:r>
    </w:p>
    <w:p>
      <w:r>
        <w:t>Y con la misma coincidencia, el criterio de no hacer daño al otro: «amarás á tu prójimo como á ti mismo»</w:t>
      </w:r>
      <w:r>
        <w:rPr>
          <w:vertAlign w:val="superscript"/>
        </w:rPr>
        <w:t>◦</w:t>
      </w:r>
      <w:r>
        <w:t>; «La caridad no hace mal al prójimo: así que, el cumplimento de la ley es la caridad»</w:t>
      </w:r>
      <w:r>
        <w:rPr>
          <w:vertAlign w:val="superscript"/>
        </w:rPr>
        <w:t>◦</w:t>
      </w:r>
      <w:r>
        <w:t>.</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rPr>
          <w:vertAlign w:val="superscript"/>
        </w:rPr>
        <w:t>◦</w:t>
      </w:r>
      <w:r>
        <w:t>. Y Hillel, a quien pedían la Torá entera, respondió: «Lo que te es odioso no lo hagas a otro; eso es toda la Torá, y el resto es su explicación»</w:t>
      </w:r>
      <w:r>
        <w:rPr>
          <w:vertAlign w:val="superscript"/>
        </w:rPr>
        <w:t>◦</w:t>
      </w:r>
      <w:r>
        <w:t>.</w:t>
      </w:r>
    </w:p>
    <w:p>
      <w:pPr>
        <w:pStyle w:val="ListBullet"/>
      </w:pPr>
      <w:r>
        <w:rPr>
          <w:b/>
        </w:rPr>
        <w:t>El Evangelio:</w:t>
      </w:r>
      <w:r>
        <w:t xml:space="preserve"> «todas las cosas que quisierais que los hombres hiciesen con vosotros, así también haced vosotros con ellos; porque esta es la ley y los profetas»</w:t>
      </w:r>
      <w:r>
        <w:rPr>
          <w:vertAlign w:val="superscript"/>
        </w:rPr>
        <w:t>◦</w:t>
      </w:r>
      <w:r>
        <w:t>.</w:t>
      </w:r>
    </w:p>
    <w:p>
      <w:pPr>
        <w:pStyle w:val="ListBullet"/>
      </w:pPr>
      <w:r>
        <w:rPr>
          <w:b/>
        </w:rPr>
        <w:t>China:</w:t>
      </w:r>
      <w:r>
        <w:t xml:space="preserve"> Confucio, preguntado si hay una palabra que sirva de regla para toda la vida: «¿No es la reciprocidad? Lo que no quieras que te hagan, no se lo hagas a otros»</w:t>
      </w:r>
      <w:r>
        <w:rPr>
          <w:vertAlign w:val="superscript"/>
        </w:rPr>
        <w:t>◦</w:t>
      </w:r>
      <w:r>
        <w:t>.</w:t>
      </w:r>
    </w:p>
    <w:p>
      <w:pPr>
        <w:pStyle w:val="ListBullet"/>
      </w:pPr>
      <w:r>
        <w:rPr>
          <w:b/>
        </w:rPr>
        <w:t>India:</w:t>
      </w:r>
      <w:r>
        <w:t xml:space="preserve"> «No debe hacerse nunca a otro lo que uno tiene por dañino para sí mismo. Esta es, en breve, la regla de la Rectitud»</w:t>
      </w:r>
      <w:r>
        <w:rPr>
          <w:vertAlign w:val="superscript"/>
        </w:rPr>
        <w:t>◦</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no se leyó en su fuente.</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A partir de aquí, cada cosa se llama por su lugar en ese orden, y no por el nombre que le da el orden oficial.</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rPr>
          <w:vertAlign w:val="superscript"/>
        </w:rPr>
        <w:t>◦</w:t>
      </w:r>
      <w:r>
        <w:t>, y el que guardaron, cada una a su manera, las tradiciones que este capítulo recorre.</w:t>
      </w:r>
    </w:p>
    <w:p>
      <w:r>
        <w:rPr>
          <w:b/>
        </w:rPr>
        <w:t>La ley natural</w:t>
      </w:r>
      <w:r>
        <w:t>, para Aquino, es la parte de la ley de Dios que la razón humana alcanza por sí misma: «esa participación de la ley eterna en la criatura racional se llama ley natural»</w:t>
      </w:r>
      <w:r>
        <w:rPr>
          <w:vertAlign w:val="superscript"/>
        </w:rPr>
        <w:t>◦</w:t>
      </w:r>
      <w:r>
        <w:t>.</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rPr>
          <w:vertAlign w:val="superscript"/>
        </w:rPr>
        <w:t>◦</w:t>
      </w:r>
      <w:r>
        <w:t>.</w:t>
      </w:r>
    </w:p>
    <w:p>
      <w:pPr>
        <w:pStyle w:val="ListBullet"/>
      </w:pPr>
      <w:r>
        <w:t>Es el derecho que se fija por acuerdo, o «cuando lo ordena el príncipe, que tiene a su cargo al pueblo»: «y esto se llama derecho positivo»</w:t>
      </w:r>
      <w:r>
        <w:rPr>
          <w:vertAlign w:val="superscript"/>
        </w:rPr>
        <w:t>◦</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rPr>
          <w:vertAlign w:val="superscript"/>
        </w:rPr>
        <w:t>◦</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rPr>
          <w:vertAlign w:val="superscript"/>
        </w:rPr>
        <w:t>◦</w:t>
      </w:r>
      <w:r>
        <w:t>.</w:t>
      </w:r>
    </w:p>
    <w:p>
      <w:pPr>
        <w:pStyle w:val="ListBullet"/>
      </w:pPr>
      <w:r>
        <w:t>Y la ley humana que se aparta de la natural deja de ser ley: «si en algo discrepa de la ley natural, ya no será ley, sino corrupción de la ley»</w:t>
      </w:r>
      <w:r>
        <w:rPr>
          <w:vertAlign w:val="superscript"/>
        </w:rPr>
        <w:t>◦</w:t>
      </w:r>
      <w:r>
        <w:t>.</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rPr>
          <w:vertAlign w:val="superscript"/>
        </w:rPr>
        <w:t>◦</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rPr>
          <w:vertAlign w:val="superscript"/>
        </w:rPr>
        <w:t>◦</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w:t>
      </w:r>
    </w:p>
    <w:p>
      <w:r>
        <w:rPr>
          <w:b/>
        </w:rPr>
        <w:t>El orden oficial es el inverso.</w:t>
      </w:r>
      <w:r>
        <w:t xml:space="preserve"> El Código Civil fija así las fuentes del derecho: «Las fuentes del ordenamiento jurídico español son la ley, la costumbre y los principios generales del derecho»</w:t>
      </w:r>
      <w:r>
        <w:rPr>
          <w:vertAlign w:val="superscript"/>
        </w:rPr>
        <w:t>◦</w:t>
      </w:r>
      <w:r>
        <w:t>. La costumbre «sólo regirá en defecto de ley aplicable, siempre que no sea contraria a la moral o al orden público, y que resulte probada»</w:t>
      </w:r>
      <w:r>
        <w:rPr>
          <w:vertAlign w:val="superscript"/>
        </w:rPr>
        <w:t>◦</w:t>
      </w:r>
      <w:r>
        <w:t>. Y los principios generales del derecho, que son la puerta por la que entra la ley natural, «se aplicarán en defecto de ley o costumbre»</w:t>
      </w:r>
      <w:r>
        <w:rPr>
          <w:vertAlign w:val="superscript"/>
        </w:rPr>
        <w:t>◦</w:t>
      </w:r>
      <w:r>
        <w:t>. Lo humano, arriba; lo natural, al final.</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rPr>
          <w:vertAlign w:val="superscript"/>
        </w:rPr>
        <w:t>◦</w:t>
      </w:r>
      <w:r>
        <w:t>.</w:t>
      </w:r>
    </w:p>
    <w:p>
      <w:r>
        <w:rPr>
          <w:b/>
        </w:rPr>
        <w:t>Lectura del autor:</w:t>
      </w:r>
      <w:r>
        <w:t xml:space="preserve"> la ley escrita no es mala por ser obra de los hombres. Se tuerce cuando se pone por encima de la ley natural y de la ley de Dios, a las que debía servir.</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rPr>
          <w:vertAlign w:val="superscript"/>
        </w:rPr>
        <w:t>◦</w:t>
      </w:r>
      <w:r>
        <w:t>. La obra reúne las dos en el primer escalón.</w:t>
      </w:r>
    </w:p>
    <w:p>
      <w:r>
        <w:t>Por qué va la primera lo dice la propia Escritura: «Es menester obedecer á Dios antes que á los hombres»</w:t>
      </w:r>
      <w:r>
        <w:rPr>
          <w:vertAlign w:val="superscript"/>
        </w:rPr>
        <w:t>◦</w:t>
      </w:r>
      <w:r>
        <w:t>.</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rPr>
          <w:vertAlign w:val="superscript"/>
        </w:rPr>
        <w:t>◦</w:t>
      </w:r>
      <w:r>
        <w:t>;</w:t>
      </w:r>
    </w:p>
    <w:p>
      <w:pPr>
        <w:pStyle w:val="ListBullet"/>
      </w:pPr>
      <w:r>
        <w:t>dice de ciertos sacrificios que «á los demonios lo sacrifican, y no á Dios»</w:t>
      </w:r>
      <w:r>
        <w:rPr>
          <w:vertAlign w:val="superscript"/>
        </w:rPr>
        <w:t>◦</w:t>
      </w:r>
      <w:r>
        <w:t>;</w:t>
      </w:r>
    </w:p>
    <w:p>
      <w:pPr>
        <w:pStyle w:val="ListBullet"/>
      </w:pPr>
      <w:r>
        <w:t>y a unos «dioses» que juzgaban injustamente les dice: «Yo dije: Vosotros sois dioses. E hijos todos vosotros del Altísimo. Empero como hombres moriréis. Y caeréis como cualquiera de los tiranos»</w:t>
      </w:r>
      <w:r>
        <w:rPr>
          <w:vertAlign w:val="superscript"/>
        </w:rPr>
        <w:t>◦</w:t>
      </w:r>
      <w:r>
        <w:t>.</w:t>
      </w:r>
    </w:p>
    <w:p>
      <w:r>
        <w:t>Por eso pide discernir: «no creáis á todo espíritu, sino probad los espíritus si son de Dios»</w:t>
      </w:r>
      <w:r>
        <w:rPr>
          <w:vertAlign w:val="superscript"/>
        </w:rPr>
        <w:t>◦</w:t>
      </w:r>
      <w:r>
        <w:t>. Y da la vara: «el que no ama, no conoce á Dios; porque Dios es amor»</w:t>
      </w:r>
      <w:r>
        <w:rPr>
          <w:vertAlign w:val="superscript"/>
        </w:rPr>
        <w:t>◦</w:t>
      </w:r>
      <w:r>
        <w:t>. Lo que exige daño, venganza o sacrificio del prójimo no procede de quien es amor.</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rPr>
          <w:vertAlign w:val="superscript"/>
        </w:rPr>
        <w:t>◦</w:t>
      </w:r>
      <w:r>
        <w:t>. El ángel del Apocalipsis: «Mira que no lo hagas: porque yo soy siervo contigo […] Adora á Dios»</w:t>
      </w:r>
      <w:r>
        <w:rPr>
          <w:vertAlign w:val="superscript"/>
        </w:rPr>
        <w:t>◦</w:t>
      </w:r>
      <w:r>
        <w:t>.</w:t>
      </w:r>
    </w:p>
    <w:p>
      <w:pPr>
        <w:pStyle w:val="ListBullet"/>
      </w:pPr>
      <w:r>
        <w:rPr>
          <w:b/>
        </w:rPr>
        <w:t>El falso la acepta.</w:t>
      </w:r>
      <w:r>
        <w:t xml:space="preserve"> Herodes se dejó aclamar como «Voz de Dios, y no de hombre», y cayó «por cuanto no dió la gloria á Dios»</w:t>
      </w:r>
      <w:r>
        <w:rPr>
          <w:vertAlign w:val="superscript"/>
        </w:rPr>
        <w:t>◦</w:t>
      </w:r>
      <w:r>
        <w:t>.</w:t>
      </w:r>
    </w:p>
    <w:p>
      <w:pPr>
        <w:pStyle w:val="ListBullet"/>
      </w:pPr>
      <w:r>
        <w:rPr>
          <w:b/>
        </w:rPr>
        <w:t>Un ser llegado antes, tomado por el Creador.</w:t>
      </w:r>
      <w:r>
        <w:t xml:space="preserve"> En el budismo, el primer ser que renace en un mundo nuevo piensa «soy Brahmā […], el Señor, el Hacedor, el Creador»</w:t>
      </w:r>
      <w:r>
        <w:t>, y los que llegan después lo creen porque llegó primero</w:t>
      </w:r>
      <w:r>
        <w:rPr>
          <w:vertAlign w:val="superscript"/>
        </w:rPr>
        <w:t>◦</w:t>
      </w:r>
      <w:r>
        <w:t>.</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rPr>
          <w:vertAlign w:val="superscript"/>
        </w:rPr>
        <w:t>◦</w:t>
      </w:r>
      <w:r>
        <w:t>. Es una analogía, no un dato.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en quince tradiciones, con un resultado «deliberadamente mixto»: unas confirman, otras contradicen y otras no dan resultado.</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rPr>
          <w:vertAlign w:val="superscript"/>
        </w:rPr>
        <w:t>◦</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rPr>
          <w:vertAlign w:val="superscript"/>
        </w:rPr>
        <w:t>◦</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y no por ganarse a los padres del niño ni por la fama</w:t>
      </w:r>
      <w:r>
        <w:rPr>
          <w:vertAlign w:val="superscript"/>
        </w:rPr>
        <w:t>◦</w:t>
      </w:r>
      <w:r>
        <w:t>. De ahí sus cuatro brotes: la compasión, la vergüenza ante el mal, la cortesía y el sentido de lo justo, que todos tienen «como tienen cuatro miembros»</w:t>
      </w:r>
      <w:r>
        <w:t>.</w:t>
      </w:r>
    </w:p>
    <w:p>
      <w:r>
        <w:rPr>
          <w:b/>
        </w:rPr>
        <w:t>La pata coja, también en las dos civilizaciones:</w:t>
      </w:r>
    </w:p>
    <w:p>
      <w:pPr>
        <w:pStyle w:val="ListBullet"/>
      </w:pPr>
      <w:r>
        <w:t>En Grecia, Trasímaco: «digo que lo justo no es otra cosa que lo que le conviene al más fuerte»</w:t>
      </w:r>
      <w:r>
        <w:rPr>
          <w:vertAlign w:val="superscript"/>
        </w:rPr>
        <w:t>◦</w:t>
      </w:r>
      <w:r>
        <w:t>.</w:t>
      </w:r>
    </w:p>
    <w:p>
      <w:pPr>
        <w:pStyle w:val="ListBullet"/>
      </w:pPr>
      <w:r>
        <w:t>En China, Yang Zhu, contemporáneo de Mencio, que se quedaba con el «para mí»</w:t>
      </w:r>
      <w:r>
        <w:t>: «no se arrancaría un pelo aunque con ello beneficiara al mundo entero»</w:t>
      </w:r>
      <w:r>
        <w:rPr>
          <w:vertAlign w:val="superscript"/>
        </w:rPr>
        <w:t>◦</w:t>
      </w:r>
      <w:r>
        <w:t>.</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que «no son de hoy ni de ayer, sino que viven siempre»</w:t>
      </w:r>
      <w:r>
        <w:rPr>
          <w:vertAlign w:val="superscript"/>
        </w:rPr>
        <w:t>◦</w:t>
      </w:r>
      <w:r>
        <w:t>.</w:t>
      </w:r>
    </w:p>
    <w:p>
      <w:pPr>
        <w:pStyle w:val="ListBullet"/>
      </w:pPr>
      <w:r>
        <w:rPr>
          <w:b/>
        </w:rPr>
        <w:t>El islam.</w:t>
      </w:r>
      <w:r>
        <w:t xml:space="preserve"> «¡Profesa la religión como hanif, según la naturaleza primigenia que Alá ha puesto en los hombres! No cabe alteración en la creación de Alá»</w:t>
      </w:r>
      <w:r>
        <w:rPr>
          <w:vertAlign w:val="superscript"/>
        </w:rPr>
        <w:t>◦</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rPr>
          <w:vertAlign w:val="superscript"/>
        </w:rPr>
        <w:t>◦</w:t>
      </w:r>
      <w:r>
        <w:t>.</w:t>
      </w:r>
    </w:p>
    <w:p>
      <w:pPr>
        <w:pStyle w:val="ListBullet"/>
      </w:pPr>
      <w:r>
        <w:t>Lo dicen también Isidoro de Sevilla y la ley aborigen de Australia; y la línea romana y cristiana, que no cuenta como pata nueva porque viene de los griegos. Sus textos se ven en el nivel completo.</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w:t>
      </w:r>
    </w:p>
    <w:p>
      <w:r>
        <w:rPr>
          <w:b/>
        </w:rPr>
        <w:t>La ley natural frente a la mayoría.</w:t>
      </w:r>
      <w:r>
        <w:t xml:space="preserve"> Aquino distingue el bien común del bien de la mayoría: «el bien común de la ciudad y el bien de una persona no se diferencian solo en lo mucho o lo poco, sino en su forma»</w:t>
      </w:r>
      <w:r>
        <w:rPr>
          <w:vertAlign w:val="superscript"/>
        </w:rPr>
        <w:t>◦</w:t>
      </w:r>
      <w:r>
        <w:t>. Lo que conviene a la mayoría no es, sin más, el bien común.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rPr>
          <w:vertAlign w:val="superscript"/>
        </w:rPr>
        <w:t>◦</w:t>
      </w:r>
      <w:r>
        <w:t>;</w:t>
      </w:r>
    </w:p>
    <w:p>
      <w:pPr>
        <w:pStyle w:val="ListBullet"/>
      </w:pPr>
      <w:r>
        <w:t>haber actuado por orden de su Gobierno o de un superior no exime de responsabilidad, siempre que de hecho le fuera posible elegir moralmente</w:t>
      </w:r>
      <w:r>
        <w:rPr>
          <w:vertAlign w:val="superscript"/>
        </w:rPr>
        <w:t>◦</w:t>
      </w:r>
      <w:r>
        <w:t>.</w:t>
      </w:r>
    </w:p>
    <w:p>
      <w:r>
        <w:t>La propia Constitución española reconoce algo anterior a ella: «La dignidad de la persona, los derechos inviolables que le son inherentes» son «fundamento del orden político y de la paz social»</w:t>
      </w:r>
      <w:r>
        <w:rPr>
          <w:vertAlign w:val="superscript"/>
        </w:rPr>
        <w:t>◦</w:t>
      </w:r>
      <w:r>
        <w:t>. Inherentes: no los crea el Estado, los encuentra.</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Y precisó cuándo manda: «se toma por ley cuando falta la ley»</w:t>
      </w:r>
      <w:r>
        <w:rPr>
          <w:vertAlign w:val="superscript"/>
        </w:rPr>
        <w:t>◦</w:t>
      </w:r>
      <w:r>
        <w:t>.</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rPr>
          <w:vertAlign w:val="superscript"/>
        </w:rPr>
        <w:t>◦</w:t>
      </w:r>
      <w:r>
        <w:t>.</w:t>
      </w:r>
    </w:p>
    <w:p>
      <w:pPr>
        <w:pStyle w:val="ListBullet"/>
      </w:pPr>
      <w:r>
        <w:rPr>
          <w:b/>
        </w:rPr>
        <w:t>Confucio:</w:t>
      </w:r>
      <w:r>
        <w:t xml:space="preserve"> el pueblo guiado por leyes y castigos evita el castigo, «pero no tiene vergüenza»; guiado por la virtud y los ritos, «se hace bueno»</w:t>
      </w:r>
      <w:r>
        <w:rPr>
          <w:vertAlign w:val="superscript"/>
        </w:rPr>
        <w:t>◦</w:t>
      </w:r>
      <w:r>
        <w:t>.</w:t>
      </w:r>
    </w:p>
    <w:p>
      <w:pPr>
        <w:pStyle w:val="ListBullet"/>
      </w:pPr>
      <w:r>
        <w:rPr>
          <w:b/>
        </w:rPr>
        <w:t>Aquino:</w:t>
      </w:r>
      <w:r>
        <w:t xml:space="preserve"> la costumbre «tiene fuerza de ley, abole la ley y es intérprete de la ley»</w:t>
      </w:r>
      <w:r>
        <w:rPr>
          <w:vertAlign w:val="superscript"/>
        </w:rPr>
        <w:t>◦</w:t>
      </w:r>
      <w:r>
        <w:t>.</w:t>
      </w:r>
    </w:p>
    <w:p>
      <w:pPr>
        <w:pStyle w:val="ListBullet"/>
      </w:pPr>
      <w:r>
        <w:rPr>
          <w:b/>
        </w:rPr>
        <w:t>Savigny</w:t>
      </w:r>
      <w:r>
        <w:t xml:space="preserve"> (1814): todo derecho nace «primero por la costumbre y la creencia del pueblo […], no por el arbitrio de un legislador»</w:t>
      </w:r>
      <w:r>
        <w:rPr>
          <w:vertAlign w:val="superscript"/>
        </w:rPr>
        <w:t>◦</w:t>
      </w:r>
      <w:r>
        <w:t>.</w:t>
      </w:r>
    </w:p>
    <w:p>
      <w:pPr>
        <w:pStyle w:val="ListBullet"/>
      </w:pPr>
      <w:r>
        <w:rPr>
          <w:b/>
        </w:rPr>
        <w:t>Las Leyes de Manu</w:t>
      </w:r>
      <w:r>
        <w:t xml:space="preserve"> (India): primero el Veda, después la tradición y después la costumbre de los virtuosos</w:t>
      </w:r>
      <w:r>
        <w:rPr>
          <w:vertAlign w:val="superscript"/>
        </w:rPr>
        <w:t>◦</w:t>
      </w:r>
      <w:r>
        <w:t>.</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rPr>
          <w:vertAlign w:val="superscript"/>
        </w:rPr>
        <w:t>◦</w:t>
      </w:r>
      <w:r>
        <w:t>. El propio Código Civil la pone bajo condición: solo rige «siempre que no sea contraria a la moral o al orden público»</w:t>
      </w:r>
      <w:r>
        <w:rPr>
          <w:vertAlign w:val="superscript"/>
        </w:rPr>
        <w:t>◦</w:t>
      </w:r>
      <w:r>
        <w:t>.</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rPr>
          <w:vertAlign w:val="superscript"/>
        </w:rPr>
        <w:t>◦</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rPr>
          <w:vertAlign w:val="superscript"/>
        </w:rPr>
        <w:t>◦</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y calcula que «más de 230 millones de niñas y mujeres vivas hoy» la han sufrido, sobre todo siendo niñas «entre la infancia y los 15 años»</w:t>
      </w:r>
      <w:r>
        <w:rPr>
          <w:vertAlign w:val="superscript"/>
        </w:rPr>
        <w:t>◦</w:t>
      </w:r>
      <w:r>
        <w:t>. Es una práctica muy extendida y no pasa la vara: daña a quien la sufre, casi siempre una niña, sin su consentimiento. La OMS dice que es «una violación de los derechos humanos de las niñas y las mujeres»</w:t>
      </w:r>
      <w:r>
        <w:t>, y la Asamblea General de la ONU instó en 2012 a los Estados a «adoptar todas las medidas necesarias, incluida la promulgación y aplicación de leyes, para prohibir» esas mutilaciones</w:t>
      </w:r>
      <w:r>
        <w:rPr>
          <w:vertAlign w:val="superscript"/>
        </w:rPr>
        <w:t>◦</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rPr>
          <w:vertAlign w:val="superscript"/>
        </w:rPr>
        <w:t>◦</w:t>
      </w:r>
      <w:r>
        <w:t>. En 2009, la UNESCO lo inscribió, junto con el Consejo de Hombres Buenos de Murcia, en la Lista Representativa del Patrimonio Cultural Inmaterial de la Humanidad</w:t>
      </w:r>
      <w:r>
        <w:rPr>
          <w:vertAlign w:val="superscript"/>
        </w:rPr>
        <w:t>◦</w:t>
      </w:r>
      <w:r>
        <w:t>. La ley le reconoce «el carácter de Tribunal consuetudinario y tradicional», igual que al Consejo de Hombres Buenos de Murcia</w:t>
      </w:r>
      <w:r>
        <w:rPr>
          <w:vertAlign w:val="superscript"/>
        </w:rPr>
        <w:t>◦</w:t>
      </w:r>
      <w:r>
        <w:t>. En 2021 se añadieron el Juzgado Privativo de Aguas de Orihuela y el Tribunal del Comuner del Rollet de Gràcia de l'Horta d'Aldaia</w:t>
      </w:r>
      <w:r>
        <w:rPr>
          <w:vertAlign w:val="superscript"/>
        </w:rPr>
        <w:t>◦</w:t>
      </w:r>
      <w:r>
        <w:t>. La Constitución abre esa puerta: la participación ciudadana en la justicia «en los Tribunales consuetudinarios y tradicionales»</w:t>
      </w:r>
      <w:r>
        <w:rPr>
          <w:vertAlign w:val="superscript"/>
        </w:rPr>
        <w:t>◦</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rPr>
          <w:vertAlign w:val="superscript"/>
        </w:rPr>
        <w:t>◦</w:t>
      </w:r>
      <w:r>
        <w:t>. La ley que lo preparó los nombra: «Aragón, Baleares, Cataluña, Galicia, Navarra y Provincias Vascas»</w:t>
      </w:r>
      <w:r>
        <w:rPr>
          <w:vertAlign w:val="superscript"/>
        </w:rPr>
        <w:t>◦</w:t>
      </w:r>
      <w:r>
        <w:t>. La Constitución «ampara y respeta los derechos históricos de los territorios forales»</w:t>
      </w:r>
      <w:r>
        <w:rPr>
          <w:vertAlign w:val="superscript"/>
        </w:rPr>
        <w:t>◦</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rPr>
          <w:vertAlign w:val="superscript"/>
        </w:rPr>
        <w:t>◦</w:t>
      </w:r>
      <w:r>
        <w:t>. Su Llibre, de fecha y autor inciertos, obtuvo autoridad «en todos los países marítimos»</w:t>
      </w:r>
      <w:r>
        <w:rPr>
          <w:vertAlign w:val="superscript"/>
        </w:rPr>
        <w:t>◦</w:t>
      </w:r>
      <w:r>
        <w:t>. Y un tratado medieval de derecho mercantil empieza así: «la ley mercantil procede del mercado»</w:t>
      </w:r>
      <w:r>
        <w:t>, y rige en las ciudades, las ferias, los puertos de mar, las villas mercantiles y los burgos</w:t>
      </w:r>
      <w:r>
        <w:rPr>
          <w:vertAlign w:val="superscript"/>
        </w:rPr>
        <w:t>◦</w:t>
      </w:r>
      <w:r>
        <w:t>.</w:t>
      </w:r>
    </w:p>
    <w:p>
      <w:r>
        <w:t>El Estado no creó estos tribunales ni estos pactos: solo pudo reconocer que existían desde antes.</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rPr>
          <w:vertAlign w:val="superscript"/>
        </w:rPr>
        <w:t>◦</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rPr>
          <w:b/>
        </w:rPr>
        <w:t>Cómo nace de la ley natural.</w:t>
      </w:r>
      <w:r>
        <w:t xml:space="preserve"> Por dos vías</w:t>
      </w:r>
      <w:r>
        <w:rPr>
          <w:vertAlign w:val="superscript"/>
        </w:rPr>
        <w:t>◦</w:t>
      </w:r>
      <w:r>
        <w:t>:</w:t>
      </w:r>
    </w:p>
    <w:p>
      <w:pPr>
        <w:pStyle w:val="ListBullet"/>
      </w:pPr>
      <w:r>
        <w:rPr>
          <w:b/>
        </w:rPr>
        <w:t>como conclusión</w:t>
      </w:r>
      <w:r>
        <w:t>: de «no hacer mal a nadie»</w:t>
      </w:r>
      <w:r>
        <w:t xml:space="preserve"> se sigue «no matar»</w:t>
      </w:r>
      <w:r>
        <w:t>;</w:t>
      </w:r>
    </w:p>
    <w:p>
      <w:pPr>
        <w:pStyle w:val="ListBullet"/>
      </w:pPr>
      <w:r>
        <w:rPr>
          <w:b/>
        </w:rPr>
        <w:t>como determinación</w:t>
      </w:r>
      <w:r>
        <w:t>: la ley natural manda que quien hace el mal sea castigado, pero no dice con qué pena; eso lo fija la ley humana.</w:t>
      </w:r>
    </w:p>
    <w:p>
      <w:r>
        <w:t>Casi todo el derecho escrito vive en ese margen de la determinación.</w:t>
      </w:r>
    </w:p>
    <w:p>
      <w:r>
        <w:rPr>
          <w:b/>
        </w:rPr>
        <w:t>Cuándo deja de serlo.</w:t>
      </w:r>
      <w:r>
        <w:t xml:space="preserve"> Aquino lo toma de san Agustín: «como dice Agustín en el libro I del Libre albedrío, no parece ser ley la que no fuera justa»</w:t>
      </w:r>
      <w:r>
        <w:rPr>
          <w:vertAlign w:val="superscript"/>
        </w:rPr>
        <w:t>◦</w:t>
      </w:r>
      <w:r>
        <w:t xml:space="preserve">. De ahí la fórmula </w:t>
      </w:r>
      <w:r>
        <w:rPr>
          <w:i/>
        </w:rPr>
        <w:t>lex iniusta non est lex</w:t>
      </w:r>
      <w:r>
        <w:t xml:space="preserve"> (la ley injusta no es ley).</w:t>
      </w:r>
    </w:p>
    <w:p>
      <w:r>
        <w:rPr>
          <w:b/>
        </w:rPr>
        <w:t>Las tres maneras de servir al hombre.</w:t>
      </w:r>
      <w:r>
        <w:t xml:space="preserve"> Aquino cuenta tres maneras de ser injusta una ley puesta por los hombres</w:t>
      </w:r>
      <w:r>
        <w:rPr>
          <w:vertAlign w:val="superscript"/>
        </w:rPr>
        <w:t>◦</w:t>
      </w:r>
      <w:r>
        <w:t>:</w:t>
      </w:r>
    </w:p>
    <w:p>
      <w:pPr>
        <w:pStyle w:val="ListBullet"/>
      </w:pPr>
      <w:r>
        <w:rPr>
          <w:b/>
        </w:rPr>
        <w:t>por el fin:</w:t>
      </w:r>
      <w:r>
        <w:t xml:space="preserve"> «cuando quien preside impone a los súbditos leyes onerosas que no se refieren a la utilidad común, sino más bien a su propia codicia o gloria»</w:t>
      </w:r>
      <w:r>
        <w:t>;</w:t>
      </w:r>
    </w:p>
    <w:p>
      <w:pPr>
        <w:pStyle w:val="ListBullet"/>
      </w:pPr>
      <w:r>
        <w:rPr>
          <w:b/>
        </w:rPr>
        <w:t>por el autor:</w:t>
      </w:r>
      <w:r>
        <w:t xml:space="preserve"> «cuando alguien dicta una ley más allá del poder que se le ha confiado»</w:t>
      </w:r>
      <w:r>
        <w:t>;</w:t>
      </w:r>
    </w:p>
    <w:p>
      <w:pPr>
        <w:pStyle w:val="ListBullet"/>
      </w:pPr>
      <w:r>
        <w:rPr>
          <w:b/>
        </w:rPr>
        <w:t>por la forma:</w:t>
      </w:r>
      <w:r>
        <w:t xml:space="preserve"> «cuando las cargas se reparten de manera desigual entre la multitud, aunque se ordenen al bien común»</w:t>
      </w:r>
      <w:r>
        <w:t>.</w:t>
      </w:r>
    </w:p>
    <w:p>
      <w:r>
        <w:t>De ellas dice que «son más violencias que leyes»</w:t>
      </w:r>
      <w:r>
        <w:t>. Las justas, en cambio, «obligan en el foro de la conciencia»</w:t>
      </w:r>
      <w:r>
        <w:t>. El fin y el autor son, vistos del lado contrario, dos de las cuatro condiciones de arriba: el bien común y que la dicte quien tiene a su cargo la comunidad.</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rPr>
          <w:vertAlign w:val="superscript"/>
        </w:rPr>
        <w:t>◦</w:t>
      </w:r>
      <w:r>
        <w:t>.</w:t>
      </w:r>
    </w:p>
    <w:p>
      <w:r>
        <w:rPr>
          <w:b/>
        </w:rPr>
        <w:t>La fuerza no es fuente del derecho.</w:t>
      </w:r>
      <w:r>
        <w:t xml:space="preserve"> El Código Civil nombra tres fuentes: la ley, la costumbre y los principios generales</w:t>
      </w:r>
      <w:r>
        <w:rPr>
          <w:vertAlign w:val="superscript"/>
        </w:rPr>
        <w:t>◦</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rPr>
          <w:vertAlign w:val="superscript"/>
        </w:rPr>
        <w:t>◦</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rPr>
          <w:vertAlign w:val="superscript"/>
        </w:rPr>
        <w:t>◦</w:t>
      </w:r>
      <w:r>
        <w:t>.</w:t>
      </w:r>
    </w:p>
    <w:p>
      <w:pPr>
        <w:pStyle w:val="ListBullet"/>
      </w:pPr>
      <w:r>
        <w:t>Lo que se sostiene solo porque nadie lo ha discutido no es derecho: es un hecho a la espera de que alguien pregunte por su título.</w:t>
      </w:r>
    </w:p>
    <w:p>
      <w:r>
        <w:rPr>
          <w:b/>
        </w:rPr>
        <w:t>Lectura del autor, un ejemplo:</w:t>
      </w:r>
      <w:r>
        <w:t xml:space="preserve"> el dinero sin respaldo es ley escrita, por su «curso legal»</w:t>
      </w:r>
      <w:r>
        <w:rPr>
          <w:vertAlign w:val="superscript"/>
        </w:rPr>
        <w:t>◦</w:t>
      </w:r>
      <w:r>
        <w:t xml:space="preserve">, sostenida por la costumbre; se explica en </w:t>
      </w:r>
      <w:r>
        <w:t>1.5</w:t>
      </w:r>
      <w:r>
        <w:t xml:space="preserve">, y sus hechos, en </w:t>
      </w:r>
      <w:r>
        <w:t>8.1</w:t>
      </w:r>
      <w:r>
        <w:t>.</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rPr>
          <w:vertAlign w:val="superscript"/>
        </w:rPr>
        <w:t>◦</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rPr>
          <w:vertAlign w:val="superscript"/>
        </w:rPr>
        <w:t>◦</w:t>
      </w:r>
      <w:r>
        <w:t>.</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rPr>
          <w:vertAlign w:val="superscript"/>
        </w:rPr>
        <w:t>◦</w:t>
      </w:r>
      <w:r>
        <w:t>.</w:t>
      </w:r>
    </w:p>
    <w:p>
      <w:pPr>
        <w:pStyle w:val="ListBullet"/>
      </w:pPr>
      <w:r>
        <w:rPr>
          <w:b/>
        </w:rPr>
        <w:t>El emperador de Austria</w:t>
      </w:r>
      <w:r>
        <w:t xml:space="preserve"> (1811): la costumbre solo cuenta «en los casos en que una ley se remite a ella»</w:t>
      </w:r>
      <w:r>
        <w:rPr>
          <w:vertAlign w:val="superscript"/>
        </w:rPr>
        <w:t>◦</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rPr>
          <w:vertAlign w:val="superscript"/>
        </w:rPr>
        <w:t>◦</w:t>
      </w:r>
      <w:r>
        <w:t>.</w:t>
      </w:r>
    </w:p>
    <w:p>
      <w:r>
        <w:t>Las excepciones también existen: Juliano, jurista del emperador, defendió la costumbre; e Isidoro, obispo, la subordinó a la ley.</w:t>
      </w:r>
    </w:p>
    <w:p>
      <w:r>
        <w:rPr>
          <w:b/>
        </w:rPr>
        <w:t>Nadie es juez en su propia causa.</w:t>
      </w:r>
      <w:r>
        <w:t xml:space="preserve"> El mismo Código de Justiniano lo dice desde el año 376: nadie debe «ser juez de sí mismo ni dictarse el derecho a sí mismo»</w:t>
      </w:r>
      <w:r>
        <w:rPr>
          <w:vertAlign w:val="superscript"/>
        </w:rPr>
        <w:t>◦</w:t>
      </w:r>
      <w:r>
        <w:t>. Hoy la ley obliga a autoridades y funcionarios a apartarse de un asunto cuando tienen en él «interés personal»</w:t>
      </w:r>
      <w:r>
        <w:rPr>
          <w:vertAlign w:val="superscript"/>
        </w:rPr>
        <w:t>◦</w:t>
      </w:r>
      <w:r>
        <w:t>.</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rPr>
          <w:vertAlign w:val="superscript"/>
        </w:rPr>
        <w:t>◦</w:t>
      </w:r>
      <w:r>
        <w:t>.</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rPr>
          <w:vertAlign w:val="superscript"/>
        </w:rPr>
        <w:t>◦</w:t>
      </w:r>
      <w:r>
        <w:t>, los derechos interpretados conforme a la Declaración Universal</w:t>
      </w:r>
      <w:r>
        <w:rPr>
          <w:vertAlign w:val="superscript"/>
        </w:rPr>
        <w:t>◦</w:t>
      </w:r>
      <w:r>
        <w:t>, los tribunales consuetudinarios</w:t>
      </w:r>
      <w:r>
        <w:rPr>
          <w:vertAlign w:val="superscript"/>
        </w:rPr>
        <w:t>◦</w:t>
      </w:r>
      <w:r>
        <w:t xml:space="preserve"> y la reforma de la propia Constitución</w:t>
      </w:r>
      <w:r>
        <w:rPr>
          <w:vertAlign w:val="superscript"/>
        </w:rPr>
        <w:t>◦</w:t>
      </w:r>
      <w:r>
        <w:t>. Esta obra trabaja en la primera jurisdicción y no exime de ninguna obligación de la segunda</w:t>
      </w:r>
      <w:r>
        <w:rPr>
          <w:vertAlign w:val="superscript"/>
        </w:rPr>
        <w:t>◦</w:t>
      </w:r>
      <w:r>
        <w:t>.</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rPr>
          <w:vertAlign w:val="superscript"/>
        </w:rPr>
        <w:t>◦</w:t>
      </w:r>
      <w:r>
        <w:t>.</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rPr>
          <w:vertAlign w:val="superscript"/>
        </w:rPr>
        <w:t>◦</w:t>
      </w:r>
      <w:r>
        <w:t>. En China: «El hombre toma su ley de la Tierra; la Tierra toma su ley del Cielo; el Cielo toma su ley del Tao»</w:t>
      </w:r>
      <w:r>
        <w:rPr>
          <w:vertAlign w:val="superscript"/>
        </w:rPr>
        <w:t>◦</w:t>
      </w:r>
      <w:r>
        <w:t>. Lo derivado recibe de más arriba.</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rPr>
          <w:vertAlign w:val="superscript"/>
        </w:rPr>
        <w:t>◦</w:t>
      </w:r>
      <w:r>
        <w:t>. Después viene la sentencia que ya se leyó: «Vosotros sois dioses […] Empero como hombres moriréis» (</w:t>
      </w:r>
      <w:r>
        <w:t>1.3</w:t>
      </w:r>
      <w:r>
        <w:t>)</w:t>
      </w:r>
      <w:r>
        <w:rPr>
          <w:vertAlign w:val="superscript"/>
        </w:rPr>
        <w:t>◦</w:t>
      </w:r>
      <w:r>
        <w:t>.</w:t>
      </w:r>
    </w:p>
    <w:p>
      <w:pPr>
        <w:pStyle w:val="ListBullet"/>
      </w:pPr>
      <w:r>
        <w:rPr>
          <w:b/>
        </w:rPr>
        <w:t>China.</w:t>
      </w:r>
      <w:r>
        <w:t xml:space="preserve"> El Duque de Shao explica por qué cayeron dos dinastías: «por falta de la virtud de la reverencia, el decreto a su favor cayó prematuramente a tierra»</w:t>
      </w:r>
      <w:r>
        <w:rPr>
          <w:vertAlign w:val="superscript"/>
        </w:rPr>
        <w:t>◦</w:t>
      </w:r>
      <w:r>
        <w:t>. Mencio dice de qué rey se puede prescindir: «El que ultraja la bondad propia de su naturaleza se llama ladrón; el que ultraja la justicia se llama rufián. Al ladrón y al rufián los llamamos un tipo cualquiera»</w:t>
      </w:r>
      <w:r>
        <w:rPr>
          <w:vertAlign w:val="superscript"/>
        </w:rPr>
        <w:t>◦</w:t>
      </w:r>
      <w:r>
        <w:t>. Y pone el orden: «El pueblo es lo más importante de una nación; los espíritus de la tierra y del grano vienen después; el soberano es lo más ligero»</w:t>
      </w:r>
      <w:r>
        <w:rPr>
          <w:vertAlign w:val="superscript"/>
        </w:rPr>
        <w:t>◦</w:t>
      </w:r>
      <w:r>
        <w:t>.</w:t>
      </w:r>
    </w:p>
    <w:p>
      <w:pPr>
        <w:pStyle w:val="ListBullet"/>
      </w:pPr>
      <w:r>
        <w:rPr>
          <w:b/>
        </w:rPr>
        <w:t>El islam.</w:t>
      </w:r>
      <w:r>
        <w:t xml:space="preserve"> Los hadices ponen a la obediencia un límite: «no hay obediencia para las malas obras; la obediencia se debe solo en lo que es bueno»</w:t>
      </w:r>
      <w:r>
        <w:rPr>
          <w:vertAlign w:val="superscript"/>
        </w:rPr>
        <w:t>◦</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rPr>
          <w:vertAlign w:val="superscript"/>
        </w:rPr>
        <w:t>◦</w:t>
      </w:r>
      <w:r>
        <w:t>.</w:t>
      </w:r>
    </w:p>
    <w:p>
      <w:pPr>
        <w:pStyle w:val="ListBullet"/>
      </w:pPr>
      <w:r>
        <w:rPr>
          <w:b/>
        </w:rPr>
        <w:t>China.</w:t>
      </w:r>
      <w:r>
        <w:t xml:space="preserve"> «¿Dio Yao el trono a Shun?» «No. El soberano no puede dar el trono a otro»</w:t>
      </w:r>
      <w:r>
        <w:rPr>
          <w:vertAlign w:val="superscript"/>
        </w:rPr>
        <w:t>◦</w:t>
      </w:r>
      <w:r>
        <w:t>. Lo da «el Cielo», y «el Cielo no habla. Simplemente mostró su voluntad por su conducta personal y por su manera de llevar los asuntos»</w:t>
      </w:r>
      <w:r>
        <w:rPr>
          <w:vertAlign w:val="superscript"/>
        </w:rPr>
        <w:t>◦</w:t>
      </w:r>
      <w:r>
        <w:t>. Es decir, por sus frutos.</w:t>
      </w:r>
    </w:p>
    <w:p>
      <w:pPr>
        <w:pStyle w:val="ListBullet"/>
      </w:pPr>
      <w:r>
        <w:rPr>
          <w:b/>
        </w:rPr>
        <w:t>Grecia.</w:t>
      </w:r>
      <w:r>
        <w:t xml:space="preserve"> En el Timeo, el artífice dice a los dioses que él hizo: «mis creaciones son indisolubles, si así lo quiero»</w:t>
      </w:r>
      <w:r>
        <w:rPr>
          <w:vertAlign w:val="superscript"/>
        </w:rPr>
        <w: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rPr>
          <w:vertAlign w:val="superscript"/>
        </w:rPr>
        <w:t>◦</w:t>
      </w:r>
      <w:r>
        <w:t>.</w:t>
      </w:r>
    </w:p>
    <w:p>
      <w:pPr>
        <w:pStyle w:val="ListBullet"/>
      </w:pPr>
      <w:r>
        <w:rPr>
          <w:b/>
        </w:rPr>
        <w:t>Enfrente, el que ofrece lo que no es suyo.</w:t>
      </w:r>
      <w:r>
        <w:t xml:space="preserve"> Tras mostrar «todos los reinos del mundo, y su gloria»</w:t>
      </w:r>
      <w:r>
        <w:rPr>
          <w:vertAlign w:val="superscript"/>
        </w:rPr>
        <w:t>◦</w:t>
      </w:r>
      <w:r>
        <w:t>: «Todo esto te daré, si postrado me adorares»</w:t>
      </w:r>
      <w:r>
        <w:rPr>
          <w:vertAlign w:val="superscript"/>
        </w:rPr>
        <w:t>◦</w:t>
      </w:r>
      <w:r>
        <w:t>. Antes, en el huerto: «seréis como dioses sabiendo el bien y el mal»</w:t>
      </w:r>
      <w:r>
        <w:rPr>
          <w:vertAlign w:val="superscript"/>
        </w:rPr>
        <w:t>◦</w:t>
      </w:r>
      <w:r>
        <w:t>. Y en Babilonia, Tiamat alza a Kingu: «el dominio sobre todos los dioses te he confiado»</w:t>
      </w:r>
      <w:r>
        <w:rPr>
          <w:vertAlign w:val="superscript"/>
        </w:rPr>
        <w:t>◦</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rPr>
          <w:vertAlign w:val="superscript"/>
        </w:rPr>
        <w:t>◦</w:t>
      </w:r>
      <w:r>
        <w:t>.</w:t>
      </w:r>
    </w:p>
    <w:p>
      <w:pPr>
        <w:pStyle w:val="ListBullet"/>
      </w:pPr>
      <w:r>
        <w:rPr>
          <w:b/>
        </w:rPr>
        <w:t>La India:</w:t>
      </w:r>
      <w:r>
        <w:t xml:space="preserve"> «Medita; y, como quieras, obra»</w:t>
      </w:r>
      <w:r>
        <w:rPr>
          <w:vertAlign w:val="superscript"/>
        </w:rPr>
        <w:t>◦</w:t>
      </w:r>
      <w:r>
        <w:t>.</w:t>
      </w:r>
    </w:p>
    <w:p>
      <w:pPr>
        <w:pStyle w:val="ListBullet"/>
      </w:pPr>
      <w:r>
        <w:rPr>
          <w:b/>
        </w:rPr>
        <w:t>El cristianismo:</w:t>
      </w:r>
      <w:r>
        <w:t xml:space="preserve"> «Dios hizo al hombre libre desde el principio, dueño de su propio poder»</w:t>
      </w:r>
      <w:r>
        <w:rPr>
          <w:vertAlign w:val="superscript"/>
        </w:rPr>
        <w:t>◦</w:t>
      </w:r>
      <w:r>
        <w:t>.</w:t>
      </w:r>
    </w:p>
    <w:p>
      <w:r>
        <w:t>Converge solo esto: que se elige. Cuánta libertad hay, o si es el valor más alto, no lo dicen los tres, y va como lectura del autor.</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rPr>
          <w:vertAlign w:val="superscript"/>
        </w:rPr>
        <w:t>◦</w:t>
      </w:r>
      <w:r>
        <w:t xml:space="preserve">. Cómo se mide hacia dónde apunta cada cosa, con un centro que solo pueden poner las dos autoridades originales, se explica en el </w:t>
      </w:r>
      <w:r>
        <w:t>anexo J</w:t>
      </w:r>
      <w:r>
        <w:t>.</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rPr>
          <w:vertAlign w:val="superscript"/>
        </w:rPr>
        <w:t>◦</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rPr>
          <w:vertAlign w:val="superscript"/>
        </w:rPr>
        <w:t>◦</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rPr>
          <w:vertAlign w:val="superscript"/>
        </w:rPr>
        <w:t>◦</w:t>
      </w:r>
      <w:r>
        <w:t>. Y explica por qué ese nombre honra: «porque es de gran dignidad subsistir en una naturaleza racional, todo individuo de naturaleza racional se llama persona»</w:t>
      </w:r>
      <w:r>
        <w:rPr>
          <w:vertAlign w:val="superscript"/>
        </w:rPr>
        <w:t>◦</w:t>
      </w:r>
      <w:r>
        <w:t>. Es el sentido de la Declaración Universal, que habla de «todo ser humano».</w:t>
      </w:r>
    </w:p>
    <w:p>
      <w:r>
        <w:rPr>
          <w:b/>
        </w:rPr>
        <w:t>La persona que hace el derecho.</w:t>
      </w:r>
      <w:r>
        <w:t xml:space="preserve"> La ley llama también «personas» a ciertas instituciones: «Son personas jurídicas: 1.º Las corporaciones, asociaciones y fundaciones de interés público reconocidas por la ley»</w:t>
      </w:r>
      <w:r>
        <w:rPr>
          <w:vertAlign w:val="superscript"/>
        </w:rPr>
        <w:t>◦</w:t>
      </w:r>
      <w:r>
        <w:t>. Y la Administración «actúa para el cumplimiento de sus fines con personalidad jurídica única»</w:t>
      </w:r>
      <w:r>
        <w:rPr>
          <w:vertAlign w:val="superscript"/>
        </w:rPr>
        <w:t>◦</w:t>
      </w:r>
      <w:r>
        <w:t>.</w:t>
      </w:r>
    </w:p>
    <w:p>
      <w:r>
        <w:rPr>
          <w:b/>
        </w:rPr>
        <w:t>Cómo empieza cada una:</w:t>
      </w:r>
    </w:p>
    <w:p>
      <w:pPr>
        <w:pStyle w:val="ListBullet"/>
      </w:pPr>
      <w:r>
        <w:rPr>
          <w:b/>
        </w:rPr>
        <w:t>la persona:</w:t>
      </w:r>
      <w:r>
        <w:t xml:space="preserve"> «El nacimiento determina la personalidad»</w:t>
      </w:r>
      <w:r>
        <w:rPr>
          <w:vertAlign w:val="superscript"/>
        </w:rPr>
        <w:t>◦</w:t>
      </w:r>
      <w:r>
        <w:t>, y la personalidad «se extingue por la muerte de las personas»</w:t>
      </w:r>
      <w:r>
        <w:rPr>
          <w:vertAlign w:val="superscript"/>
        </w:rPr>
        <w:t>◦</w:t>
      </w:r>
      <w:r>
        <w:t>;</w:t>
      </w:r>
    </w:p>
    <w:p>
      <w:pPr>
        <w:pStyle w:val="ListBullet"/>
      </w:pPr>
      <w:r>
        <w:rPr>
          <w:b/>
        </w:rPr>
        <w:t>la persona jurídica:</w:t>
      </w:r>
      <w:r>
        <w:t xml:space="preserve"> «Su personalidad empieza desde el instante mismo en que, con arreglo a derecho, hubiesen quedado válidamente constituidas»</w:t>
      </w:r>
      <w:r>
        <w:rPr>
          <w:vertAlign w:val="superscript"/>
        </w:rPr>
        <w:t>◦</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rPr>
          <w:b/>
        </w:rPr>
        <w:t>Lo que dicen los textos:</w:t>
      </w:r>
    </w:p>
    <w:p>
      <w:pPr>
        <w:pStyle w:val="ListBullet"/>
      </w:pPr>
      <w:r>
        <w:t>La Declaración Universal de Derechos Humanos, de 1948</w:t>
      </w:r>
      <w:r>
        <w:rPr>
          <w:vertAlign w:val="superscript"/>
        </w:rPr>
        <w:t>◦</w:t>
      </w:r>
      <w:r>
        <w:t>, parte del «reconocimiento de la dignidad intrínseca y de los derechos iguales e inalienables de todos los miembros de la familia humana»</w:t>
      </w:r>
      <w:r>
        <w:rPr>
          <w:vertAlign w:val="superscript"/>
        </w:rPr>
        <w:t>◦</w:t>
      </w:r>
      <w:r>
        <w:t>. Y su primer artículo dice: «Todos los seres humanos nacen libres e iguales en dignidad y derechos y, dotados como están de razón y conciencia, deben comportarse fraternalmente los unos con los otros»</w:t>
      </w:r>
      <w:r>
        <w:rPr>
          <w:vertAlign w:val="superscript"/>
        </w:rPr>
        <w:t>◦</w:t>
      </w:r>
      <w:r>
        <w:t>.</w:t>
      </w:r>
    </w:p>
    <w:p>
      <w:pPr>
        <w:pStyle w:val="ListBullet"/>
      </w:pPr>
      <w:r>
        <w:t>La Constitución usa la misma idea: «La dignidad de la persona, los derechos inviolables que le son inherentes [...] son fundamento del orden político y de la paz social»</w:t>
      </w:r>
      <w:r>
        <w:rPr>
          <w:vertAlign w:val="superscript"/>
        </w:rPr>
        <w:t>◦</w:t>
      </w:r>
      <w:r>
        <w:t>. Y manda leer los derechos que reconoce «de conformidad con la Declaración Universal de Derechos Humanos»</w:t>
      </w:r>
      <w:r>
        <w:rPr>
          <w:vertAlign w:val="superscript"/>
        </w:rPr>
        <w:t>◦</w:t>
      </w:r>
      <w:r>
        <w:t>.</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rPr>
          <w:vertAlign w:val="superscript"/>
        </w:rPr>
        <w:t>◦</w:t>
      </w:r>
      <w:r>
        <w:t>, la igualdad</w:t>
      </w:r>
      <w:r>
        <w:rPr>
          <w:vertAlign w:val="superscript"/>
        </w:rPr>
        <w:t>◦</w:t>
      </w:r>
      <w:r>
        <w:t>, la libertad</w:t>
      </w:r>
      <w:r>
        <w:rPr>
          <w:vertAlign w:val="superscript"/>
        </w:rPr>
        <w:t>◦</w:t>
      </w:r>
      <w:r>
        <w:t>, la protección de los jueces</w:t>
      </w:r>
      <w:r>
        <w:rPr>
          <w:vertAlign w:val="superscript"/>
        </w:rPr>
        <w:t>◦</w:t>
      </w:r>
      <w:r>
        <w:t>, la libertad de conciencia</w:t>
      </w:r>
      <w:r>
        <w:rPr>
          <w:vertAlign w:val="superscript"/>
        </w:rPr>
        <w:t>◦</w:t>
      </w:r>
      <w:r>
        <w:t xml:space="preserve"> o la de expresión</w:t>
      </w:r>
      <w:r>
        <w:rPr>
          <w:vertAlign w:val="superscript"/>
        </w:rPr>
        <w:t>◦</w:t>
      </w:r>
      <w:r>
        <w:t>. Cinco de ellos están, del todo o en parte, entre los «principios rectores», que no se pueden exigir ante un juez como los demás (véase el límite honesto).</w:t>
      </w:r>
    </w:p>
    <w:p>
      <w:r>
        <w:t>La tabla completa, artículo por artículo, se ve en el nivel completo.</w:t>
      </w:r>
    </w:p>
    <w:p>
      <w:r>
        <w:rPr>
          <w:b/>
        </w:rPr>
        <w:t>Con los derechos, los deberes.</w:t>
      </w:r>
      <w:r>
        <w:t xml:space="preserve"> La Declaración no habla solo de derechos: «Toda persona tiene deberes respecto a la comunidad, puesto que sólo en ella puede desarrollar libre y plenamente su personalidad»</w:t>
      </w:r>
      <w:r>
        <w:rPr>
          <w:vertAlign w:val="superscript"/>
        </w:rPr>
        <w:t>◦</w:t>
      </w:r>
      <w:r>
        <w:t>.</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rPr>
          <w:b/>
        </w:rPr>
        <w:t>Lo dicen tradiciones sin contacto documentado entre sí:</w:t>
      </w:r>
    </w:p>
    <w:p>
      <w:pPr>
        <w:pStyle w:val="ListBullet"/>
      </w:pPr>
      <w:r>
        <w:rPr>
          <w:b/>
        </w:rPr>
        <w:t>La Biblia:</w:t>
      </w:r>
      <w:r>
        <w:t xml:space="preserve"> «crió Dios al hombre á su imagen»</w:t>
      </w:r>
      <w:r>
        <w:rPr>
          <w:vertAlign w:val="superscript"/>
        </w:rPr>
        <w:t>◦</w:t>
      </w:r>
      <w:r>
        <w:t>.</w:t>
      </w:r>
    </w:p>
    <w:p>
      <w:pPr>
        <w:pStyle w:val="ListBullet"/>
      </w:pPr>
      <w:r>
        <w:rPr>
          <w:b/>
        </w:rPr>
        <w:t>San Agustín:</w:t>
      </w:r>
      <w:r>
        <w:t xml:space="preserve"> Dios no quiso que el ser racional, hecho a su imagen, dominara sino sobre los seres irracionales: «no al hombre sobre el hombre, sino al hombre sobre el ganado»</w:t>
      </w:r>
      <w:r>
        <w:rPr>
          <w:vertAlign w:val="superscript"/>
        </w:rPr>
        <w:t>◦</w:t>
      </w:r>
      <w:r>
        <w:t>.</w:t>
      </w:r>
    </w:p>
    <w:p>
      <w:pPr>
        <w:pStyle w:val="ListBullet"/>
      </w:pPr>
      <w:r>
        <w:rPr>
          <w:b/>
        </w:rPr>
        <w:t>El budismo:</w:t>
      </w:r>
      <w:r>
        <w:t xml:space="preserve"> «uno mismo es el señor de uno mismo: ¿quién otro podría ser su señor?»</w:t>
      </w:r>
      <w:r>
        <w:rPr>
          <w:vertAlign w:val="superscript"/>
        </w:rPr>
        <w:t>◦</w:t>
      </w:r>
      <w:r>
        <w:t>.</w:t>
      </w:r>
    </w:p>
    <w:p>
      <w:pPr>
        <w:pStyle w:val="ListBullet"/>
      </w:pPr>
      <w:r>
        <w:rPr>
          <w:b/>
        </w:rPr>
        <w:t>Confucio:</w:t>
      </w:r>
      <w:r>
        <w:t xml:space="preserve"> «a un gran ejército se le puede arrebatar su general; al hombre más sencillo no se le puede arrebatar su voluntad»</w:t>
      </w:r>
      <w:r>
        <w:rPr>
          <w:vertAlign w:val="superscript"/>
        </w:rPr>
        <w:t>◦</w:t>
      </w:r>
      <w:r>
        <w:t>.</w:t>
      </w:r>
    </w:p>
    <w:p>
      <w:pPr>
        <w:pStyle w:val="ListBullet"/>
      </w:pPr>
      <w:r>
        <w:rPr>
          <w:b/>
        </w:rPr>
        <w:t>Mill:</w:t>
      </w:r>
      <w:r>
        <w:t xml:space="preserve"> «sobre sí mismo, sobre su propio cuerpo y su propia mente, el individuo es soberano»</w:t>
      </w:r>
      <w:r>
        <w:rPr>
          <w:vertAlign w:val="superscript"/>
        </w:rPr>
        <w:t>◦</w:t>
      </w:r>
      <w:r>
        <w:t>.</w:t>
      </w:r>
    </w:p>
    <w:p>
      <w:pPr>
        <w:pStyle w:val="ListBullet"/>
      </w:pPr>
      <w:r>
        <w:rPr>
          <w:b/>
        </w:rPr>
        <w:t>La Constitución:</w:t>
      </w:r>
      <w:r>
        <w:t xml:space="preserve"> «La soberanía nacional reside en el pueblo español, del que emanan los poderes del Estado»</w:t>
      </w:r>
      <w:r>
        <w:rPr>
          <w:vertAlign w:val="superscript"/>
        </w:rPr>
        <w:t>◦</w:t>
      </w:r>
      <w:r>
        <w:t>.</w:t>
      </w:r>
    </w:p>
    <w:p>
      <w:pPr>
        <w:pStyle w:val="ListBullet"/>
      </w:pPr>
      <w:r>
        <w:t>Lo dicen también el judaísmo, el islam, la India, Mencio y Laozi; sus textos se ven en el nivel completo.</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Lo que niega es que venga de la naturaleza: «ese nombre lo mereció la culpa, no la naturaleza»</w:t>
      </w:r>
      <w:r>
        <w:rPr>
          <w:vertAlign w:val="superscript"/>
        </w:rPr>
        <w:t>◦</w:t>
      </w:r>
      <w:r>
        <w:t>.</w:t>
      </w:r>
    </w:p>
    <w:p>
      <w:pPr>
        <w:pStyle w:val="ListBullet"/>
      </w:pPr>
      <w:r>
        <w:t>La imagen no hace a nadie Dios: «como hombres moriréis»</w:t>
      </w:r>
      <w:r>
        <w:rPr>
          <w:vertAlign w:val="superscript"/>
        </w:rPr>
        <w:t>◦</w:t>
      </w:r>
      <w:r>
        <w:t>.</w:t>
      </w:r>
    </w:p>
    <w:p>
      <w:pPr>
        <w:pStyle w:val="ListBullet"/>
      </w:pPr>
      <w:r>
        <w:t>Las palabras no son las mismas: imagen, espíritu, señorío, voluntad o nobleza no significan exactamente «soberanía». Coincide la idea, no el término.</w:t>
      </w:r>
    </w:p>
    <w:p>
      <w:r>
        <w:rPr>
          <w:b/>
        </w:rPr>
        <w:t>El límite.</w:t>
      </w:r>
      <w:r>
        <w:t xml:space="preserve"> Mill lo pone en el mismo libro: «el único fin por el que se puede ejercer con derecho el poder sobre cualquier miembro de una comunidad civilizada, contra su voluntad, es impedir que dañe a otros»</w:t>
      </w:r>
      <w:r>
        <w:rPr>
          <w:vertAlign w:val="superscript"/>
        </w:rPr>
        <w:t>◦</w:t>
      </w:r>
      <w:r>
        <w:t>. Y cada uno responde de lo suyo: «El alma que pecare, esa morirá: el hijo no llevará por el pecado del padre, ni el padre llevará por el pecado del hijo»</w:t>
      </w:r>
      <w:r>
        <w:rPr>
          <w:vertAlign w:val="superscript"/>
        </w:rPr>
        <w:t>◦</w:t>
      </w:r>
      <w:r>
        <w:t>.</w:t>
      </w:r>
    </w:p>
    <w:p>
      <w:r>
        <w:rPr>
          <w:b/>
        </w:rPr>
        <w:t>Lectura del autor:</w:t>
      </w:r>
      <w:r>
        <w:t xml:space="preserve"> Dios nos creó a imagen y semejanza. De ahí viene la soberanía de cada uno sobre sí mismo, que ningún ente sin cuerpo puede dar ni quitar.</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rPr>
          <w:vertAlign w:val="superscript"/>
        </w:rPr>
        <w:t>◦</w:t>
      </w:r>
      <w:r>
        <w:t>. Y: «Varón y hembra los crió; y los bendijo, y llamó el nombre de ellos Adam»</w:t>
      </w:r>
      <w:r>
        <w:rPr>
          <w:vertAlign w:val="superscript"/>
        </w:rPr>
        <w:t>◦</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rPr>
          <w:vertAlign w:val="superscript"/>
        </w:rPr>
        <w:t>◦</w:t>
      </w:r>
      <w:r>
        <w:t>.</w:t>
      </w:r>
    </w:p>
    <w:p>
      <w:pPr>
        <w:pStyle w:val="ListBullet"/>
      </w:pPr>
      <w:r>
        <w:rPr>
          <w:b/>
        </w:rPr>
        <w:t>El islam:</w:t>
      </w:r>
      <w:r>
        <w:t xml:space="preserve"> «¡Hombres! ¡Temed a vuestro Señor, Que os ha creado de una sola persona, de la que ha creado a su cónyuge!»</w:t>
      </w:r>
      <w:r>
        <w:rPr>
          <w:vertAlign w:val="superscript"/>
        </w:rPr>
        <w:t>◦</w:t>
      </w:r>
      <w:r>
        <w:t>.</w:t>
      </w:r>
    </w:p>
    <w:p>
      <w:r>
        <w:rPr>
          <w:b/>
        </w:rPr>
        <w:t>Lo que dicen después, en el mismo libro o en el mismo relato:</w:t>
      </w:r>
    </w:p>
    <w:p>
      <w:pPr>
        <w:pStyle w:val="ListBullet"/>
      </w:pPr>
      <w:r>
        <w:rPr>
          <w:b/>
        </w:rPr>
        <w:t>La Biblia:</w:t>
      </w:r>
      <w:r>
        <w:t xml:space="preserve"> «Y de la costilla que Jehová Dios tomó del hombre, hizo una mujer»</w:t>
      </w:r>
      <w:r>
        <w:rPr>
          <w:vertAlign w:val="superscript"/>
        </w:rPr>
        <w:t>◦</w:t>
      </w:r>
      <w:r>
        <w:t>; «ésta será llamada Varona, porque del varón fué tomada»</w:t>
      </w:r>
      <w:r>
        <w:rPr>
          <w:vertAlign w:val="superscript"/>
        </w:rPr>
        <w:t>◦</w:t>
      </w:r>
      <w:r>
        <w:t>. Y, tras la caída, a la mujer: «á tu marido será tu deseo, y él se enseñoreará de ti»</w:t>
      </w:r>
      <w:r>
        <w:rPr>
          <w:vertAlign w:val="superscript"/>
        </w:rPr>
        <w:t>◦</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rPr>
          <w:vertAlign w:val="superscript"/>
        </w:rPr>
        <w:t>◦</w:t>
      </w:r>
      <w:r>
        <w:t>. El verso sigue: «¡Amonestad a aquéllas de quienes temáis que se rebelen, dejadlas solas en el lecho, pegadles!».</w:t>
      </w:r>
    </w:p>
    <w:p>
      <w:r>
        <w:t>Hay más pasajes: el judaísmo rabínico, Manu, el Banquete de Platón, Pablo, Hesíodo, Persia, el Norte de Europa, Mesopotamia, China, Japón y los iroqueses. Se ven en el nivel completo, y todos, con su clasificación, en el más hondo.</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rPr>
          <w:vertAlign w:val="superscript"/>
        </w:rPr>
        <w:t>◦</w:t>
      </w:r>
      <w:r>
        <w:t>. También protege «la vida y [...] la integridad física y moral»</w:t>
      </w:r>
      <w:r>
        <w:rPr>
          <w:vertAlign w:val="superscript"/>
        </w:rPr>
        <w:t>◦</w:t>
      </w:r>
      <w:r>
        <w:t>.</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rPr>
          <w:vertAlign w:val="superscript"/>
        </w:rPr>
        <w:t>◦</w:t>
      </w:r>
      <w:r>
        <w:t xml:space="preserve">. Y su lema: </w:t>
      </w:r>
      <w:r>
        <w:rPr>
          <w:i/>
        </w:rPr>
        <w:t>Sapere aude!</w:t>
      </w:r>
      <w:r>
        <w:t>, «¡atrévete a saber! ¡Ten valor para servirte de tu propio entendimiento!»</w:t>
      </w:r>
      <w:r>
        <w:t>.</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rPr>
          <w:vertAlign w:val="superscript"/>
        </w:rPr>
        <w:t>◦</w:t>
      </w:r>
      <w:r>
        <w:t>.</w:t>
      </w:r>
    </w:p>
    <w:p>
      <w:pPr>
        <w:pStyle w:val="ListBullet"/>
      </w:pPr>
      <w:r>
        <w:t>Pablo: los que no tienen ley muestran «la obra de la ley escrita en sus corazones, dando testimonio juntamente sus conciencias»</w:t>
      </w:r>
      <w:r>
        <w:rPr>
          <w:vertAlign w:val="superscript"/>
        </w:rPr>
        <w:t>◦</w:t>
      </w:r>
      <w:r>
        <w:t>.</w:t>
      </w:r>
    </w:p>
    <w:p>
      <w:pPr>
        <w:pStyle w:val="ListBullet"/>
      </w:pPr>
      <w:r>
        <w:t>El Corán: «¡Por el alma y Quien le ha dado forma armoniosa, instruyéndole sobre su propensión al pecado y su temor de Dios!»</w:t>
      </w:r>
      <w:r>
        <w:rPr>
          <w:vertAlign w:val="superscript"/>
        </w:rPr>
        <w:t>◦</w:t>
      </w:r>
      <w:r>
        <w: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rPr>
          <w:vertAlign w:val="superscript"/>
        </w:rPr>
        <w:t>◦</w:t>
      </w:r>
      <w:r>
        <w:t>. Lo que tiene precio se puede cambiar por otra cosa; lo que no admite nada a cambio tiene dignidad. Y de ahí su regla: «obra de tal modo que trates a la humanidad, tanto en tu persona como en la de cualquier otro, siempre a la vez como fin y nunca solo como medio»</w:t>
      </w:r>
      <w:r>
        <w:rPr>
          <w:vertAlign w:val="superscript"/>
        </w:rPr>
        <w:t>◦</w:t>
      </w:r>
      <w:r>
        <w:t>. Es la idea de 2.2: la dignidad no se concede, se reconoce.</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rPr>
          <w:vertAlign w:val="superscript"/>
        </w:rPr>
        <w:t>◦</w:t>
      </w:r>
      <w:r>
        <w:t>. Si alguien dice una cosa y hace otra, el pacto se rompe solo, sin tribunal ni castigo. Coherencia es pensar, decir, sentir y hacer en la misma dirección.</w:t>
      </w:r>
    </w:p>
    <w:p>
      <w:r>
        <w:rPr>
          <w:b/>
        </w:rPr>
        <w:t>La objeción, con su respuesta.</w:t>
      </w:r>
      <w:r>
        <w:t xml:space="preserve"> El Estado diría que exigir avales es un filtro arbitrario: él reconoce los mismos derechos a todos, sin aval de nadie</w:t>
      </w:r>
      <w:r>
        <w:rPr>
          <w:vertAlign w:val="superscript"/>
        </w:rPr>
        <w:t>◦</w:t>
      </w:r>
      <w:r>
        <w:t>. Es una objeción seria, y la obra la recoge: su propuesta pública no usa avales, y el jurado del juicio popular se elige por sorteo (</w:t>
      </w:r>
      <w:r>
        <w:t>11.1</w:t>
      </w:r>
      <w:r>
        <w:t>). El aval es solo para una unión voluntaria, no para acceder a ningún derecho.</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rPr>
          <w:vertAlign w:val="superscript"/>
        </w:rPr>
        <w:t>◦</w:t>
      </w:r>
      <w:r>
        <w:t>. Quien quiera dar ese paso necesita asesoramiento profesional.</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rPr>
          <w:vertAlign w:val="superscript"/>
        </w:rPr>
        <w:t>◦</w:t>
      </w:r>
      <w:r>
        <w:t>. Es lo que se resume en «solo sé que no sé nada».</w:t>
      </w:r>
    </w:p>
    <w:p>
      <w:pPr>
        <w:pStyle w:val="ListBullet"/>
      </w:pPr>
      <w:r>
        <w:rPr>
          <w:b/>
        </w:rPr>
        <w:t>Confucio:</w:t>
      </w:r>
      <w:r>
        <w:t xml:space="preserve"> «saber lo que se sabe, y saber que no se sabe lo que no se sabe: eso es saber»</w:t>
      </w:r>
      <w:r>
        <w:rPr>
          <w:vertAlign w:val="superscript"/>
        </w:rPr>
        <w:t>◦</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rPr>
          <w:vertAlign w:val="superscript"/>
        </w:rPr>
        <w:t>◦</w:t>
      </w:r>
      <w:r>
        <w:t>.</w:t>
      </w:r>
    </w:p>
    <w:p>
      <w:pPr>
        <w:pStyle w:val="ListBullet"/>
      </w:pPr>
      <w:r>
        <w:t>Lo dicen también Laozi, el judaísmo, el islam y el libro de Job; sus textos se ven en el nivel completo.</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rPr>
          <w:vertAlign w:val="superscript"/>
        </w:rPr>
        <w:t>◦</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rPr>
          <w:vertAlign w:val="superscript"/>
        </w:rPr>
        <w:t>◦</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rPr>
          <w:vertAlign w:val="superscript"/>
        </w:rPr>
        <w:t>◦</w:t>
      </w:r>
      <w:r>
        <w:t>.</w:t>
      </w:r>
    </w:p>
    <w:p>
      <w:r>
        <w:t xml:space="preserve">Lo que pasa cuando un poder deja de sentirse aprendiz, y deja de corregirse, se verá en </w:t>
      </w:r>
      <w:r>
        <w:t>6.2</w:t>
      </w:r>
      <w:r>
        <w:t>.</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rPr>
          <w:vertAlign w:val="superscript"/>
        </w:rPr>
        <w:t>◦</w:t>
      </w:r>
      <w:r>
        <w:t>. No es un título. «Cuando yo era niño, hablaba como niño, pensaba como niño, juzgaba como niño, mas cuando ya fuí hombre hecho, dejé lo que era de niño»</w:t>
      </w:r>
      <w:r>
        <w:rPr>
          <w:vertAlign w:val="superscript"/>
        </w:rPr>
        <w:t>◦</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en cambio, las que venían de la tierra, «habiendo sufrido ellas mismas y visto sufrir a otros, no se precipitaban al elegir»</w:t>
      </w:r>
      <w:r>
        <w:rPr>
          <w:vertAlign w:val="superscript"/>
        </w:rPr>
        <w:t>◦</w:t>
      </w:r>
      <w:r>
        <w:t>. El límite: que la dificultad enseñe no justifica a quien la causa. El daño al prójimo se sigue midiendo con la vara (</w:t>
      </w:r>
      <w:r>
        <w:t>0.5</w:t>
      </w:r>
      <w:r>
        <w:t>).</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rPr>
          <w:b/>
        </w:rPr>
        <w:t>Conclusión, lo que arrojan los datos:</w:t>
      </w:r>
      <w:r>
        <w:t xml:space="preserve"> sea en una vida o en muchas, lo que converge es el aprendizaje mismo: aprender a «discernir entre el bien y el mal, y así elegir siempre y en todas partes la vida mejor»</w:t>
      </w:r>
      <w:r>
        <w:rPr>
          <w:vertAlign w:val="superscript"/>
        </w:rPr>
        <w:t>◦</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rPr>
          <w:vertAlign w:val="superscript"/>
        </w:rPr>
        <w:t>◦</w:t>
      </w:r>
      <w:r>
        <w:t>. «Así, todo buen árbol lleva buenos frutos; mas el árbol maleado lleva malos frutos»</w:t>
      </w:r>
      <w:r>
        <w:rPr>
          <w:vertAlign w:val="superscript"/>
        </w:rPr>
        <w:t>◦</w:t>
      </w:r>
      <w:r>
        <w:t>. Con la condición del propio texto: «Dejad crecer juntamente lo uno y lo otro hasta la siega»</w:t>
      </w:r>
      <w:r>
        <w:rPr>
          <w:vertAlign w:val="superscript"/>
        </w:rPr>
        <w:t>◦</w:t>
      </w:r>
      <w:r>
        <w:t>, y «la siega es el fin del mundo, y los segadores son los ángeles»</w:t>
      </w:r>
      <w:r>
        <w:rPr>
          <w:vertAlign w:val="superscript"/>
        </w:rPr>
        <w:t>◦</w:t>
      </w:r>
      <w:r>
        <w:t>. Por eso la obra no arranca a nadie: discierne caso a caso, con pruebas, y la siega final no es nuestra. Que «ha llegado este tiempo» es lectura del autor: es el tiempo del desvelamiento y del discernimiento, no de la siega.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rPr>
          <w:vertAlign w:val="superscript"/>
        </w:rPr>
        <w:t>◦</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rPr>
          <w:vertAlign w:val="superscript"/>
        </w:rPr>
        <w:t>◦</w:t>
      </w:r>
      <w:r>
        <w:t>. Pero no responde igual quien sabe que quien no sabe: «á cualquiera que fué dado mucho, mucho será vuelto á demandar de él»</w:t>
      </w:r>
      <w:r>
        <w:rPr>
          <w:vertAlign w:val="superscript"/>
        </w:rPr>
        <w:t>◦</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rPr>
          <w:vertAlign w:val="superscript"/>
        </w:rPr>
        <w:t>◦</w:t>
      </w:r>
      <w:r>
        <w:t>. No se ha encontrado ninguna sentencia española que nombre estas teorías por su nombre.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rPr>
          <w:b/>
        </w:rPr>
        <w:t>Lo que esta obra no es.</w:t>
      </w:r>
      <w:r>
        <w:t xml:space="preserve"> No exime de ninguna obligación vigente: «Los ciudadanos y los poderes públicos están sujetos a la Constitución y al resto del ordenamiento jurídico»</w:t>
      </w:r>
      <w:r>
        <w:rPr>
          <w:vertAlign w:val="superscript"/>
        </w:rPr>
        <w:t>◦</w:t>
      </w:r>
      <w:r>
        <w:t>. No invita a desobedecer. Su vía es la constancia escrita, la petición documentada y el juicio popular de la verdad, que juzga instituciones, no personas (</w:t>
      </w:r>
      <w:r>
        <w:t>0.2</w:t>
      </w:r>
      <w:r>
        <w:t>).</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rPr>
          <w:vertAlign w:val="superscript"/>
        </w:rPr>
        <w:t>◦</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rPr>
          <w:vertAlign w:val="superscript"/>
        </w:rPr>
        <w:t>◦</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rPr>
          <w:vertAlign w:val="superscript"/>
        </w:rPr>
        <w:t>◦</w:t>
      </w:r>
      <w:r>
        <w:t xml:space="preserve">. </w:t>
      </w:r>
    </w:p>
    <w:p>
      <w:pPr>
        <w:pStyle w:val="ListBullet"/>
      </w:pPr>
      <w:r>
        <w:rPr>
          <w:b/>
        </w:rPr>
        <w:t>El cuerpo ya está protegido por la ley</w:t>
      </w:r>
      <w:r>
        <w:rPr>
          <w:vertAlign w:val="superscript"/>
        </w:rPr>
        <w:t>◦</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rPr>
          <w:vertAlign w:val="superscript"/>
        </w:rPr>
        <w:t>◦</w:t>
      </w:r>
      <w:r>
        <w:t xml:space="preserve">. </w:t>
      </w:r>
    </w:p>
    <w:p>
      <w:pPr>
        <w:pStyle w:val="ListBullet"/>
      </w:pPr>
      <w:r>
        <w:rPr>
          <w:b/>
        </w:rPr>
        <w:t>La unión basada en el respeto no sustituye al Estado.</w:t>
      </w:r>
      <w:r>
        <w:t xml:space="preserve"> Es una ética personal; si alguien quiere darle forma legal, cabe como asociación</w:t>
      </w:r>
      <w:r>
        <w:rPr>
          <w:vertAlign w:val="superscript"/>
        </w:rPr>
        <w:t>◦</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rPr>
          <w:vertAlign w:val="superscript"/>
        </w:rPr>
        <w:t>◦</w:t>
      </w:r>
      <w:r>
        <w:t>, y Moisés: «puse las tablas en el arca que había hecho; y allí están»</w:t>
      </w:r>
      <w:r>
        <w:rPr>
          <w:vertAlign w:val="superscript"/>
        </w:rPr>
        <w:t>◦</w:t>
      </w:r>
      <w:r>
        <w:t>. Las tablas eran «las palabras de la alianza, las diez palabras»</w:t>
      </w:r>
      <w:r>
        <w:rPr>
          <w:vertAlign w:val="superscript"/>
        </w:rPr>
        <w:t>◦</w:t>
      </w:r>
      <w:r>
        <w:t>, y en el arca no había «más de las dos tablas de piedra que había allí puesto Moisés en Horeb, donde Jehová hizo la alianza con los hijos de Israel»</w:t>
      </w:r>
      <w:r>
        <w:rPr>
          <w:vertAlign w:val="superscript"/>
        </w:rPr>
        <w:t>◦</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rPr>
          <w:vertAlign w:val="superscript"/>
        </w:rPr>
        <w:t>◦</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rPr>
          <w:vertAlign w:val="superscript"/>
        </w:rPr>
        <w:t>◦</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rPr>
          <w:b/>
        </w:rPr>
        <w:t>Lectura del autor:</w:t>
      </w:r>
      <w:r>
        <w:t xml:space="preserve"> «Después de revisar toda la historia y los textos sagrados, recopilamos la información pertinente, y si existen muchas convergencias quiere decir que es la ley de Dios; no lo he inventado yo».</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rPr>
          <w:vertAlign w:val="superscript"/>
        </w:rPr>
        <w:t>◦</w:t>
      </w:r>
      <w:r>
        <w:t>;</w:t>
      </w:r>
    </w:p>
    <w:p>
      <w:pPr>
        <w:pStyle w:val="ListBullet"/>
      </w:pPr>
      <w:r>
        <w:rPr>
          <w:b/>
        </w:rPr>
        <w:t>Hesíodo:</w:t>
      </w:r>
      <w:r>
        <w:t xml:space="preserve"> «el trabajo no es ninguna deshonra; la ociosidad sí es deshonra»</w:t>
      </w:r>
      <w:r>
        <w:rPr>
          <w:vertAlign w:val="superscript"/>
        </w:rPr>
        <w:t>◦</w:t>
      </w:r>
      <w:r>
        <w:t>;</w:t>
      </w:r>
    </w:p>
    <w:p>
      <w:pPr>
        <w:pStyle w:val="ListBullet"/>
      </w:pPr>
      <w:r>
        <w:rPr>
          <w:b/>
        </w:rPr>
        <w:t>el Talmud:</w:t>
      </w:r>
      <w:r>
        <w:t xml:space="preserve"> «grande es el trabajo, que honra a quien lo hace»</w:t>
      </w:r>
      <w:r>
        <w:rPr>
          <w:vertAlign w:val="superscript"/>
        </w:rPr>
        <w:t>◦</w:t>
      </w:r>
      <w:r>
        <w:t>;</w:t>
      </w:r>
    </w:p>
    <w:p>
      <w:pPr>
        <w:pStyle w:val="ListBullet"/>
      </w:pPr>
      <w:r>
        <w:rPr>
          <w:b/>
        </w:rPr>
        <w:t>el budismo:</w:t>
      </w:r>
      <w:r>
        <w:t xml:space="preserve"> el discípulo noble «deja el modo de vida torcido y se gana la vida con el recto»</w:t>
      </w:r>
      <w:r>
        <w:rPr>
          <w:vertAlign w:val="superscript"/>
        </w:rPr>
        <w:t>◦</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rPr>
          <w:vertAlign w:val="superscript"/>
        </w:rPr>
        <w:t>◦</w:t>
      </w:r>
      <w:r>
        <w:t>.</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y eso, «por mala costumbre»</w:t>
      </w:r>
      <w:r>
        <w:rPr>
          <w:vertAlign w:val="superscript"/>
        </w:rPr>
        <w:t>◦</w:t>
      </w:r>
      <w:r>
        <w:t>.</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rPr>
          <w:vertAlign w:val="superscript"/>
        </w:rPr>
        <w:t>◦</w:t>
      </w:r>
      <w:r>
        <w:t>. La excepción del castigo penal sigue en el texto.</w:t>
      </w:r>
    </w:p>
    <w:p>
      <w:pPr>
        <w:pStyle w:val="ListBullet"/>
      </w:pPr>
      <w:r>
        <w:t>«Queda declarada extinguida, desde la fecha de esta ley, la esclavitud en Brasil»</w:t>
      </w:r>
      <w:r>
        <w:rPr>
          <w:vertAlign w:val="superscript"/>
        </w:rPr>
        <w:t>◦</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rPr>
          <w:vertAlign w:val="superscript"/>
        </w:rPr>
        <w:t>◦</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rPr>
          <w:vertAlign w:val="superscript"/>
        </w:rPr>
        <w:t>◦</w:t>
      </w:r>
      <w:r>
        <w:t>.</w:t>
      </w:r>
    </w:p>
    <w:p>
      <w:pPr>
        <w:pStyle w:val="ListBullet"/>
      </w:pPr>
      <w:r>
        <w:t>España: «Queda abolida para siempre la esclavitud en la isla de Puerto-Rico»</w:t>
      </w:r>
      <w:r>
        <w:rPr>
          <w:vertAlign w:val="superscript"/>
        </w:rPr>
        <w:t>◦</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rPr>
          <w:vertAlign w:val="superscript"/>
        </w:rPr>
        <w:t>◦</w:t>
      </w:r>
      <w:r>
        <w:t>.</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rPr>
          <w:vertAlign w:val="superscript"/>
        </w:rPr>
        <w:t>◦</w:t>
      </w:r>
      <w:r>
        <w:t>. Y Mencio: «El pueblo es lo más valioso; los altares del Estado le siguen; el gobernante es lo de menos», y «si un señor pone en peligro los altares del Estado, se le sustituye»</w:t>
      </w:r>
      <w:r>
        <w:rPr>
          <w:vertAlign w:val="superscript"/>
        </w:rPr>
        <w:t>◦</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rPr>
          <w:vertAlign w:val="superscript"/>
        </w:rPr>
        <w:t>◦</w:t>
      </w:r>
      <w:r>
        <w:t>.</w:t>
      </w:r>
    </w:p>
    <w:p>
      <w:pPr>
        <w:pStyle w:val="ListBullet"/>
      </w:pPr>
      <w:r>
        <w:rPr>
          <w:b/>
        </w:rPr>
        <w:t>América:</w:t>
      </w:r>
      <w:r>
        <w:t xml:space="preserve"> si un señor de la Confederación iroquesa no tiene en mente el bien del pueblo, se le amonesta tres veces y, si persiste, se le despoja de su título</w:t>
      </w:r>
      <w:r>
        <w:rPr>
          <w:vertAlign w:val="superscript"/>
        </w:rPr>
        <w:t>◦</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rPr>
          <w:vertAlign w:val="superscript"/>
        </w:rPr>
        <w:t>◦</w:t>
      </w:r>
      <w:r>
        <w:t>; Britannica la sitúa entre 1570 y 1600</w:t>
      </w:r>
      <w:r>
        <w:rPr>
          <w:vertAlign w:val="superscript"/>
        </w:rPr>
        <w:t>◦</w:t>
      </w:r>
      <w:r>
        <w:t>. Se transmitió de palabra, con cinturones de wampum que servían para recordar cada ley, y los iroqueses no intentaron ponerla por escrito hasta hace poco: «Hasta hace poco los iroqueses no han intentado poner su código por escrito»</w:t>
      </w:r>
      <w:r>
        <w:rPr>
          <w:vertAlign w:val="superscript"/>
        </w:rPr>
        <w:t>◦</w:t>
      </w:r>
      <w:r>
        <w:t>. La versión que aquí se cita es la de Parker, de 1916. La fecha del papel no prueba la del contenido.</w:t>
      </w:r>
    </w:p>
    <w:p>
      <w:pPr>
        <w:pStyle w:val="ListBullet"/>
      </w:pPr>
      <w:r>
        <w:rPr>
          <w:b/>
        </w:rPr>
        <w:t>La pata coja:</w:t>
      </w:r>
      <w:r>
        <w:t xml:space="preserve"> «pueblo débil, Estado fuerte; pueblo fuerte, Estado débil»</w:t>
      </w:r>
      <w:r>
        <w:rPr>
          <w:vertAlign w:val="superscript"/>
        </w:rPr>
        <w:t>◦</w:t>
      </w:r>
      <w:r>
        <w:t>. Y el rey, aunque sea un niño, «es una gran deidad en forma humana»</w:t>
      </w:r>
      <w:r>
        <w:rPr>
          <w:vertAlign w:val="superscript"/>
        </w:rPr>
        <w:t>◦</w:t>
      </w:r>
      <w:r>
        <w:t>.</w:t>
      </w:r>
    </w:p>
    <w:p>
      <w:pPr>
        <w:pStyle w:val="Heading3"/>
      </w:pPr>
      <w:r>
        <w:t>P2. Impuestos moderados</w:t>
      </w:r>
    </w:p>
    <w:p>
      <w:pPr>
        <w:pStyle w:val="ListBullet"/>
      </w:pPr>
      <w:r>
        <w:rPr>
          <w:b/>
        </w:rPr>
        <w:t>China:</w:t>
      </w:r>
      <w:r>
        <w:t xml:space="preserve"> «El pueblo pasa hambre porque los de arriba consumen demasiados impuestos»</w:t>
      </w:r>
      <w:r>
        <w:rPr>
          <w:vertAlign w:val="superscript"/>
        </w:rPr>
        <w:t>◦</w:t>
      </w:r>
      <w:r>
        <w:t>.</w:t>
      </w:r>
    </w:p>
    <w:p>
      <w:pPr>
        <w:pStyle w:val="ListBullet"/>
      </w:pPr>
      <w:r>
        <w:rPr>
          <w:b/>
        </w:rPr>
        <w:t>Israel:</w:t>
      </w:r>
      <w:r>
        <w:t xml:space="preserve"> el profeta advierte de lo que hará el rey: «El diezmará vuestras simientes y vuestras viñas […] Diezmará también vuestro rebaño, y seréis sus siervos»</w:t>
      </w:r>
      <w:r>
        <w:rPr>
          <w:vertAlign w:val="superscript"/>
        </w:rPr>
        <w:t>◦</w:t>
      </w:r>
      <w:r>
        <w:t>. Un diezmo ya se describía como servidumbre. Y cuando Roboam respondió al pueblo: «Mi padre agravó vuestro yugo, pero yo añadiré á vuestro yugo», el reino se dividió</w:t>
      </w:r>
      <w:r>
        <w:rPr>
          <w:vertAlign w:val="superscript"/>
        </w:rPr>
        <w:t>◦</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rPr>
          <w:vertAlign w:val="superscript"/>
        </w:rPr>
        <w:t>◦</w:t>
      </w:r>
      <w:r>
        <w:t>.</w:t>
      </w:r>
    </w:p>
    <w:p>
      <w:pPr>
        <w:pStyle w:val="ListBullet"/>
      </w:pPr>
      <w:r>
        <w:rPr>
          <w:b/>
        </w:rPr>
        <w:t>La pata coja:</w:t>
      </w:r>
      <w:r>
        <w:t xml:space="preserve"> subir la carga poco a poco, «como quien va aumentando poco a poco la carga de un novillo»</w:t>
      </w:r>
      <w:r>
        <w:t>, y sembrar la división entre el pueblo que soporta las cargas</w:t>
      </w:r>
      <w:r>
        <w:rPr>
          <w:vertAlign w:val="superscript"/>
        </w:rPr>
        <w:t>◦</w:t>
      </w:r>
      <w:r>
        <w:t>; y el Arthashastra enseña a llenar el tesoro pidiendo contribuciones con falsos pretextos</w:t>
      </w:r>
      <w:r>
        <w:rPr>
          <w:vertAlign w:val="superscript"/>
        </w:rPr>
        <w:t>◦</w:t>
      </w:r>
      <w:r>
        <w:t xml:space="preserve">. </w:t>
      </w:r>
      <w:r>
        <w:rPr>
          <w:b/>
        </w:rPr>
        <w:t>Un matiz:</w:t>
      </w:r>
      <w:r>
        <w:t xml:space="preserve"> Mencio rechaza también el impuesto demasiado bajo; el principio es la medida justa, no «cuanto menos, mejor».</w:t>
      </w:r>
    </w:p>
    <w:p>
      <w:pPr>
        <w:pStyle w:val="Heading3"/>
      </w:pPr>
      <w:r>
        <w:t>P3. No quitar al pueblo su tiempo</w:t>
      </w:r>
    </w:p>
    <w:p>
      <w:pPr>
        <w:pStyle w:val="ListBullet"/>
      </w:pPr>
      <w:r>
        <w:rPr>
          <w:b/>
        </w:rPr>
        <w:t>China:</w:t>
      </w:r>
      <w:r>
        <w:t xml:space="preserve"> «ellos roban al pueblo su tiempo, de modo que no puede arar para alimentar a sus padres»</w:t>
      </w:r>
      <w:r>
        <w:rPr>
          <w:vertAlign w:val="superscript"/>
        </w:rPr>
        <w:t>◦</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rPr>
          <w:vertAlign w:val="superscript"/>
        </w:rPr>
        <w:t>◦</w:t>
      </w:r>
      <w:r>
        <w:t>.</w:t>
      </w:r>
    </w:p>
    <w:p>
      <w:pPr>
        <w:pStyle w:val="ListBullet"/>
      </w:pPr>
      <w:r>
        <w:rPr>
          <w:b/>
        </w:rPr>
        <w:t>Egipto:</w:t>
      </w:r>
      <w:r>
        <w:t xml:space="preserve"> «es aborrecible para el alma que se le quite su tiempo [de sosiego]»</w:t>
      </w:r>
      <w:r>
        <w:rPr>
          <w:vertAlign w:val="superscript"/>
        </w:rPr>
        <w:t>◦</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medida de la tradición:</w:t>
      </w:r>
      <w:r>
        <w:t xml:space="preserve"> las Leyes de Manu fijan para el artesano y el trabajador manual un día al mes de trabajo para el rey</w:t>
      </w:r>
      <w:r>
        <w:rPr>
          <w:vertAlign w:val="superscript"/>
        </w:rPr>
        <w:t>◦</w:t>
      </w:r>
      <w:r>
        <w:t xml:space="preserve">. Lo que hoy se lleva de cada jornada se mide en </w:t>
      </w:r>
      <w:r>
        <w:t>8.3</w:t>
      </w:r>
      <w:r>
        <w:t>.</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rPr>
          <w:vertAlign w:val="superscript"/>
        </w:rPr>
        <w:t>◦</w:t>
      </w:r>
      <w:r>
        <w:t>.</w:t>
      </w:r>
    </w:p>
    <w:p>
      <w:pPr>
        <w:pStyle w:val="Heading3"/>
      </w:pPr>
      <w:r>
        <w:t>P4. Pesas y medidas justas</w:t>
      </w:r>
    </w:p>
    <w:p>
      <w:pPr>
        <w:pStyle w:val="ListBullet"/>
      </w:pPr>
      <w:r>
        <w:rPr>
          <w:b/>
        </w:rPr>
        <w:t>Egipto,</w:t>
      </w:r>
      <w:r>
        <w:t xml:space="preserve"> ante el tribunal de Maat: «no he disminuido la medida de grano […] no he añadido pesos a la balanza»</w:t>
      </w:r>
      <w:r>
        <w:rPr>
          <w:vertAlign w:val="superscript"/>
        </w:rPr>
        <w:t>◦</w:t>
      </w:r>
      <w:r>
        <w:t>.</w:t>
      </w:r>
    </w:p>
    <w:p>
      <w:pPr>
        <w:pStyle w:val="ListBullet"/>
      </w:pPr>
      <w:r>
        <w:rPr>
          <w:b/>
        </w:rPr>
        <w:t>Israel:</w:t>
      </w:r>
      <w:r>
        <w:t xml:space="preserve"> «Balanzas justas, pesas justas, epha justo, é hin justo tendréis»</w:t>
      </w:r>
      <w:r>
        <w:rPr>
          <w:vertAlign w:val="superscript"/>
        </w:rPr>
        <w:t>◦</w:t>
      </w:r>
      <w:r>
        <w:t>. «El peso falso abominación es á Jehová: Mas la pesa cabal le agrada»</w:t>
      </w:r>
      <w:r>
        <w:rPr>
          <w:vertAlign w:val="superscript"/>
        </w:rPr>
        <w:t>◦</w:t>
      </w:r>
      <w:r>
        <w:t>.</w:t>
      </w:r>
    </w:p>
    <w:p>
      <w:pPr>
        <w:pStyle w:val="ListBullet"/>
      </w:pPr>
      <w:r>
        <w:rPr>
          <w:b/>
        </w:rPr>
        <w:t>El islam:</w:t>
      </w:r>
      <w:r>
        <w:t xml:space="preserve"> «¡Ay de los defraudadores, que, cuando piden a otros la medida, la exigen exacta, pero que, cuando ellos miden o pesan para otros, dan menos de lo debido!»</w:t>
      </w:r>
      <w:r>
        <w:rPr>
          <w:vertAlign w:val="superscript"/>
        </w:rPr>
        <w:t>◦</w:t>
      </w:r>
      <w:r>
        <w:t>.</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rPr>
          <w:vertAlign w:val="superscript"/>
        </w:rPr>
        <w:t>◦</w:t>
      </w:r>
      <w:r>
        <w:t>.</w:t>
      </w:r>
    </w:p>
    <w:p>
      <w:pPr>
        <w:pStyle w:val="ListBullet"/>
      </w:pPr>
      <w:r>
        <w:rPr>
          <w:b/>
        </w:rPr>
        <w:t>Lectura del autor:</w:t>
      </w:r>
      <w:r>
        <w:t xml:space="preserve"> la medida de hoy es el dinero. Si pierde valor, es una pesa que se aligera. Se mide con datos en </w:t>
      </w:r>
      <w:r>
        <w:t>8.1</w:t>
      </w:r>
      <w:r>
        <w:t>.</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rPr>
          <w:vertAlign w:val="superscript"/>
        </w:rPr>
        <w:t>◦</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rPr>
          <w:vertAlign w:val="superscript"/>
        </w:rPr>
        <w:t>◦</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rPr>
          <w:vertAlign w:val="superscript"/>
        </w:rPr>
        <w:t>◦</w:t>
      </w:r>
      <w:r>
        <w:t>.</w:t>
      </w:r>
    </w:p>
    <w:p>
      <w:pPr>
        <w:pStyle w:val="ListBullet"/>
      </w:pPr>
      <w:r>
        <w:t xml:space="preserve">Qué ha pasado con un depósito de todos, la hucha de las pensiones, se examina en </w:t>
      </w:r>
      <w:r>
        <w:t>8.6</w:t>
      </w:r>
      <w:r>
        <w:t>.</w:t>
      </w:r>
    </w:p>
    <w:p>
      <w:pPr>
        <w:pStyle w:val="ListBullet"/>
      </w:pPr>
      <w:r>
        <w:rPr>
          <w:b/>
        </w:rPr>
        <w:t>La pata coja:</w:t>
      </w:r>
      <w:r>
        <w:t xml:space="preserve"> el Arthashastra enseña a un espía a reunir depósitos y préstamos para después «hacerse robar la suma»</w:t>
      </w:r>
      <w:r>
        <w:rPr>
          <w:vertAlign w:val="superscript"/>
        </w:rPr>
        <w:t>◦</w:t>
      </w:r>
      <w:r>
        <w:t>. Y Cicerón admite un caso en que devolver el depósito deja de ser justo: si quien lo pide ha enloquecido</w:t>
      </w:r>
      <w:r>
        <w:rPr>
          <w:vertAlign w:val="superscript"/>
        </w:rPr>
        <w:t>◦</w:t>
      </w:r>
      <w:r>
        <w:t>.</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rPr>
          <w:vertAlign w:val="superscript"/>
        </w:rPr>
        <w:t>◦</w:t>
      </w:r>
      <w:r>
        <w:t>.</w:t>
      </w:r>
    </w:p>
    <w:p>
      <w:pPr>
        <w:pStyle w:val="ListBullet"/>
      </w:pPr>
      <w:r>
        <w:rPr>
          <w:b/>
        </w:rPr>
        <w:t>El islam:</w:t>
      </w:r>
      <w:r>
        <w:t xml:space="preserve"> «Nadie cargará con la carga ajena»</w:t>
      </w:r>
      <w:r>
        <w:rPr>
          <w:vertAlign w:val="superscript"/>
        </w:rPr>
        <w:t>◦</w:t>
      </w:r>
      <w:r>
        <w:t>. Y: «Si un malvado os trae una noticia, examinadla bien, no sea que lastiméis a gente por ignorancia»</w:t>
      </w:r>
      <w:r>
        <w:rPr>
          <w:vertAlign w:val="superscript"/>
        </w:rPr>
        <w:t>◦</w:t>
      </w:r>
      <w:r>
        <w:t>.</w:t>
      </w:r>
    </w:p>
    <w:p>
      <w:pPr>
        <w:pStyle w:val="ListBullet"/>
      </w:pPr>
      <w:r>
        <w:rPr>
          <w:b/>
        </w:rPr>
        <w:t>China:</w:t>
      </w:r>
      <w:r>
        <w:t xml:space="preserve"> aun cuando todo el pueblo diga que alguien merece la muerte, entonces hay que examinarlo</w:t>
      </w:r>
      <w:r>
        <w:rPr>
          <w:vertAlign w:val="superscript"/>
        </w:rPr>
        <w:t>◦</w:t>
      </w:r>
      <w:r>
        <w:t>. Y: «padres, hijos y hermanos: sus delitos no se alcanzan unos a otros»</w:t>
      </w:r>
      <w:r>
        <w:rPr>
          <w:vertAlign w:val="superscript"/>
        </w:rPr>
        <w:t>◦</w:t>
      </w:r>
      <w:r>
        <w:t>.</w:t>
      </w:r>
    </w:p>
    <w:p>
      <w:pPr>
        <w:pStyle w:val="ListBullet"/>
      </w:pPr>
      <w:r>
        <w:rPr>
          <w:b/>
        </w:rPr>
        <w:t>La pata coja:</w:t>
      </w:r>
      <w:r>
        <w:t xml:space="preserve"> si una casa mal hecha mata al hijo del dueño, «se dará muerte al hijo del constructor»</w:t>
      </w:r>
      <w:r>
        <w:rPr>
          <w:vertAlign w:val="superscript"/>
        </w:rPr>
        <w:t>◦</w:t>
      </w:r>
      <w:r>
        <w:t>. El Libro del señor Shang pide «castigo duro y culpa compartida»</w:t>
      </w:r>
      <w:r>
        <w:rPr>
          <w:vertAlign w:val="superscript"/>
        </w:rPr>
        <w:t>◦</w:t>
      </w:r>
      <w:r>
        <w:t>. Y Séneca admite que, sin ira, la razón acabe con las familias dañinas para el Estado, «con sus mujeres e hijos»</w:t>
      </w:r>
      <w:r>
        <w:rPr>
          <w:vertAlign w:val="superscript"/>
        </w:rPr>
        <w:t>◦</w:t>
      </w:r>
      <w:r>
        <w:t>.</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rPr>
          <w:vertAlign w:val="superscript"/>
        </w:rPr>
        <w:t>◦</w:t>
      </w:r>
      <w:r>
        <w:t>. Y «No recibirás presente; porque el presente ciega á los que ven, y pervierte las palabras justas»</w:t>
      </w:r>
      <w:r>
        <w:rPr>
          <w:vertAlign w:val="superscript"/>
        </w:rPr>
        <w:t>◦</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rPr>
          <w:vertAlign w:val="superscript"/>
        </w:rPr>
        <w:t>◦</w:t>
      </w:r>
      <w:r>
        <w:t>.</w:t>
      </w:r>
    </w:p>
    <w:p>
      <w:pPr>
        <w:pStyle w:val="ListBullet"/>
      </w:pPr>
      <w:r>
        <w:rPr>
          <w:b/>
        </w:rPr>
        <w:t>Roma:</w:t>
      </w:r>
      <w:r>
        <w:t xml:space="preserve"> una ley se endureció «para aumentar el erario»</w:t>
      </w:r>
      <w:r>
        <w:t>, con premios a los delatores, y arruinó muchas fortunas</w:t>
      </w:r>
      <w:r>
        <w:rPr>
          <w:vertAlign w:val="superscript"/>
        </w:rPr>
        <w:t>◦</w:t>
      </w:r>
      <w:r>
        <w:t>. Es el texto más cercano a «el castigo como fuente de ingresos» de toda la búsqueda.</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rPr>
          <w:vertAlign w:val="superscript"/>
        </w:rPr>
        <w:t>◦</w:t>
      </w:r>
      <w:r>
        <w:t>; entre los ashanti, las multas y tasas judiciales eran «otra fuente fructífera de ingresos»</w:t>
      </w:r>
      <w:r>
        <w:rPr>
          <w:vertAlign w:val="superscript"/>
        </w:rPr>
        <w:t>◦</w:t>
      </w:r>
      <w:r>
        <w:t>.</w:t>
      </w:r>
    </w:p>
    <w:p>
      <w:pPr>
        <w:pStyle w:val="Heading3"/>
      </w:pPr>
      <w:r>
        <w:t>P9. Más leyes, más pobreza</w:t>
      </w:r>
    </w:p>
    <w:p>
      <w:pPr>
        <w:pStyle w:val="ListBullet"/>
      </w:pPr>
      <w:r>
        <w:rPr>
          <w:b/>
        </w:rPr>
        <w:t>China:</w:t>
      </w:r>
      <w:r>
        <w:t xml:space="preserve"> «cuantas más prohibiciones, más pobre el pueblo; cuanto más se exhiben las leyes, más ladrones hay»</w:t>
      </w:r>
      <w:r>
        <w:rPr>
          <w:vertAlign w:val="superscript"/>
        </w:rPr>
        <w:t>◦</w:t>
      </w:r>
      <w:r>
        <w:t>. Y: «cuando un Estado va a perecer, multiplica sus reglamentos»</w:t>
      </w:r>
      <w:r>
        <w:rPr>
          <w:vertAlign w:val="superscript"/>
        </w:rPr>
        <w:t>◦</w:t>
      </w:r>
      <w:r>
        <w:t>.</w:t>
      </w:r>
    </w:p>
    <w:p>
      <w:pPr>
        <w:pStyle w:val="ListBullet"/>
      </w:pPr>
      <w:r>
        <w:rPr>
          <w:b/>
        </w:rPr>
        <w:t>Roma:</w:t>
      </w:r>
      <w:r>
        <w:t xml:space="preserve"> «cuanto más corrupto el Estado, más numerosas las leyes»</w:t>
      </w:r>
      <w:r>
        <w:rPr>
          <w:vertAlign w:val="superscript"/>
        </w:rPr>
        <w:t>◦</w:t>
      </w:r>
      <w:r>
        <w:t>.</w:t>
      </w:r>
    </w:p>
    <w:p>
      <w:pPr>
        <w:pStyle w:val="ListBullet"/>
      </w:pPr>
      <w:r>
        <w:rPr>
          <w:b/>
        </w:rPr>
        <w:t>La tradición rabínica:</w:t>
      </w:r>
      <w:r>
        <w:t xml:space="preserve"> «no se decreta una norma sobre la comunidad si la mayoría no puede cumplirla»</w:t>
      </w:r>
      <w:r>
        <w:rPr>
          <w:vertAlign w:val="superscript"/>
        </w:rPr>
        <w:t>◦</w:t>
      </w:r>
      <w:r>
        <w:t>. Es la regla más directa de todas las tradiciones leídas.</w:t>
      </w:r>
    </w:p>
    <w:p>
      <w:pPr>
        <w:pStyle w:val="ListBullet"/>
      </w:pPr>
      <w:r>
        <w:rPr>
          <w:b/>
        </w:rPr>
        <w:t>El matiz:</w:t>
      </w:r>
      <w:r>
        <w:t xml:space="preserve"> sin leyes, «todo dependía de la voluntad o el capricho del rey»</w:t>
      </w:r>
      <w:r>
        <w:rPr>
          <w:vertAlign w:val="superscript"/>
        </w:rPr>
        <w:t>◦</w:t>
      </w:r>
      <w:r>
        <w:t xml:space="preserve">. El principio es la medida justa de leyes, no su ausencia. Cuántas normas se publican hoy se examina en el </w:t>
      </w:r>
      <w:r>
        <w:t>cargo 8</w:t>
      </w:r>
      <w:r>
        <w:t>.</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rPr>
          <w:vertAlign w:val="superscript"/>
        </w:rPr>
        <w:t>◦</w:t>
      </w:r>
      <w:r>
        <w:t>;</w:t>
      </w:r>
    </w:p>
    <w:p>
      <w:pPr>
        <w:pStyle w:val="ListBullet"/>
      </w:pPr>
      <w:r>
        <w:t>en hebreo, de los honderos de Benjamín se dice que «tiraban una piedra con la honda á un cabello, y no erraban»</w:t>
      </w:r>
      <w:r>
        <w:rPr>
          <w:vertAlign w:val="superscript"/>
        </w:rPr>
        <w:t>◦</w:t>
      </w:r>
      <w:r>
        <w:t>, y ese «no erraban» es el verbo del pecado</w:t>
      </w:r>
      <w:r>
        <w: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rPr>
          <w:vertAlign w:val="superscript"/>
        </w:rPr>
        <w:t>◦</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rPr>
          <w:vertAlign w:val="superscript"/>
        </w:rPr>
        <w:t>◦</w:t>
      </w:r>
      <w:r>
        <w:t>; y el siervo por deudas será liberado al cuarto año</w:t>
      </w:r>
      <w:r>
        <w:rPr>
          <w:vertAlign w:val="superscript"/>
        </w:rPr>
        <w:t>◦</w:t>
      </w:r>
      <w:r>
        <w:t>.</w:t>
      </w:r>
    </w:p>
    <w:p>
      <w:pPr>
        <w:pStyle w:val="ListBullet"/>
      </w:pPr>
      <w:r>
        <w:rPr>
          <w:b/>
        </w:rPr>
        <w:t>Israel:</w:t>
      </w:r>
      <w:r>
        <w:t xml:space="preserve"> «AL cabo de siete años harás remisión. Y esta es la manera de la remisión: perdonará á su deudor todo aquél que hizo empréstito de su mano»</w:t>
      </w:r>
      <w:r>
        <w:rPr>
          <w:vertAlign w:val="superscript"/>
        </w:rPr>
        <w:t>◦</w:t>
      </w:r>
      <w:r>
        <w:t>. Y cada cincuenta años: «pregonaréis libertad en la tierra á todos sus moradores: este os será jubileo; y volveréis cada uno á su posesión»</w:t>
      </w:r>
      <w:r>
        <w:rPr>
          <w:vertAlign w:val="superscript"/>
        </w:rPr>
        <w:t>◦</w:t>
      </w:r>
      <w:r>
        <w:t>.</w:t>
      </w:r>
    </w:p>
    <w:p>
      <w:pPr>
        <w:pStyle w:val="ListBullet"/>
      </w:pPr>
      <w:r>
        <w:rPr>
          <w:b/>
        </w:rPr>
        <w:t>Atenas:</w:t>
      </w:r>
      <w:r>
        <w:t xml:space="preserve"> Solón «dio leyes por las que canceló todas las deudas, públicas y privadas»</w:t>
      </w:r>
      <w:r>
        <w:t xml:space="preserve">, la </w:t>
      </w:r>
      <w:r>
        <w:rPr>
          <w:i/>
        </w:rPr>
        <w:t>seisáchtheia</w:t>
      </w:r>
      <w:r>
        <w:t>, la descarga de fardos</w:t>
      </w:r>
      <w:r>
        <w:rPr>
          <w:vertAlign w:val="superscript"/>
        </w:rPr>
        <w:t>◦</w:t>
      </w:r>
      <w:r>
        <w:t>.</w:t>
      </w:r>
    </w:p>
    <w:p>
      <w:pPr>
        <w:pStyle w:val="ListBullet"/>
      </w:pPr>
      <w:r>
        <w:rPr>
          <w:b/>
        </w:rPr>
        <w:t>El islam:</w:t>
      </w:r>
      <w:r>
        <w:t xml:space="preserve"> «Si está en apuro, concededle un respiro hasta que se alivie su situación. Y aún sería mejor para vosotros que le condonarais la deuda»</w:t>
      </w:r>
      <w:r>
        <w:rPr>
          <w:vertAlign w:val="superscript"/>
        </w:rPr>
        <w:t>◦</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rPr>
          <w:vertAlign w:val="superscript"/>
        </w:rPr>
        <w:t>◦</w:t>
      </w:r>
      <w:r>
        <w:t>. «No tomarás usura de él, ni aumento»</w:t>
      </w:r>
      <w:r>
        <w:rPr>
          <w:vertAlign w:val="superscript"/>
        </w:rPr>
        <w:t>◦</w:t>
      </w:r>
      <w:r>
        <w:t>.</w:t>
      </w:r>
    </w:p>
    <w:p>
      <w:pPr>
        <w:pStyle w:val="ListBullet"/>
      </w:pPr>
      <w:r>
        <w:rPr>
          <w:b/>
        </w:rPr>
        <w:t>Grecia:</w:t>
      </w:r>
      <w:r>
        <w:t xml:space="preserve"> «con toda razón se aborrece la usura, porque su ganancia sale del propio dinero y no de aquello para lo que se inventó»</w:t>
      </w:r>
      <w:r>
        <w:t>; el interés es «dinero nacido del dinero»</w:t>
      </w:r>
      <w:r>
        <w:t>, y por eso «de todos los modos de ganar, este es el más contrario a la naturaleza»</w:t>
      </w:r>
      <w:r>
        <w:rPr>
          <w:vertAlign w:val="superscript"/>
        </w:rPr>
        <w:t>◦</w:t>
      </w:r>
      <w:r>
        <w:t>.</w:t>
      </w:r>
    </w:p>
    <w:p>
      <w:pPr>
        <w:pStyle w:val="ListBullet"/>
      </w:pPr>
      <w:r>
        <w:rPr>
          <w:b/>
        </w:rPr>
        <w:t>El islam:</w:t>
      </w:r>
      <w:r>
        <w:t xml:space="preserve"> «Alá ha autorizado el comercio y prohibido la usura»</w:t>
      </w:r>
      <w:r>
        <w:rPr>
          <w:vertAlign w:val="superscript"/>
        </w:rPr>
        <w:t>◦</w:t>
      </w:r>
      <w:r>
        <w:t>.</w:t>
      </w:r>
    </w:p>
    <w:p>
      <w:pPr>
        <w:pStyle w:val="ListBullet"/>
      </w:pPr>
      <w:r>
        <w:rPr>
          <w:b/>
        </w:rPr>
        <w:t>La India:</w:t>
      </w:r>
      <w:r>
        <w:t xml:space="preserve"> Brahmā pesó en la balanza el asesinato de un sabio contra la usura, y «el usurero se hundió»</w:t>
      </w:r>
      <w:r>
        <w:rPr>
          <w:vertAlign w:val="superscript"/>
        </w:rPr>
        <w:t>◦</w:t>
      </w:r>
      <w:r>
        <w:t>.</w:t>
      </w:r>
    </w:p>
    <w:p>
      <w:pPr>
        <w:pStyle w:val="ListBullet"/>
      </w:pPr>
      <w:r>
        <w:rPr>
          <w:b/>
        </w:rPr>
        <w:t>Etiopía:</w:t>
      </w:r>
      <w:r>
        <w:t xml:space="preserve"> «bienaventurados seréis si dais vuestros bienes sin usura y no como préstamo»</w:t>
      </w:r>
      <w:r>
        <w:rPr>
          <w:vertAlign w:val="superscript"/>
        </w:rPr>
        <w:t>◦</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rPr>
          <w:vertAlign w:val="superscript"/>
        </w:rPr>
        <w:t>◦</w:t>
      </w:r>
      <w:r>
        <w:t>.</w:t>
      </w:r>
    </w:p>
    <w:p>
      <w:pPr>
        <w:pStyle w:val="ListBullet"/>
      </w:pPr>
      <w:r>
        <w:rPr>
          <w:b/>
        </w:rPr>
        <w:t>España, siglo XVI:</w:t>
      </w:r>
      <w:r>
        <w:t xml:space="preserve"> «Regla general es, que quando se aguarda plazo, y por aguardar se interessa, es vsura»</w:t>
      </w:r>
      <w:r>
        <w:rPr>
          <w:vertAlign w:val="superscript"/>
        </w:rPr>
        <w:t>◦</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rPr>
          <w:vertAlign w:val="superscript"/>
        </w:rPr>
        <w:t>◦</w:t>
      </w:r>
      <w:r>
        <w:t>; «como dize el Euangelio»</w:t>
      </w:r>
      <w:r>
        <w:rPr>
          <w:vertAlign w:val="superscript"/>
        </w:rPr>
        <w:t>◦</w:t>
      </w:r>
      <w:r>
        <w:t>. Se dicen, pero no cuentan como tradiciones aparte.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rPr>
          <w:vertAlign w:val="superscript"/>
        </w:rPr>
        <w:t>◦</w:t>
      </w:r>
      <w:r>
        <w:t>.</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rPr>
          <w:vertAlign w:val="superscript"/>
        </w:rPr>
        <w:t>◦</w:t>
      </w:r>
      <w:r>
        <w:t>.</w:t>
      </w:r>
    </w:p>
    <w:p>
      <w:pPr>
        <w:pStyle w:val="ListBullet"/>
      </w:pPr>
      <w:r>
        <w:rPr>
          <w:b/>
        </w:rPr>
        <w:t>Las Leyes de Manu</w:t>
      </w:r>
      <w:r>
        <w:t xml:space="preserve"> no prohíben el interés: lo limitan</w:t>
      </w:r>
      <w:r>
        <w:rPr>
          <w:vertAlign w:val="superscript"/>
        </w:rPr>
        <w:t>◦</w:t>
      </w:r>
      <w:r>
        <w:t>.</w:t>
      </w:r>
    </w:p>
    <w:p>
      <w:pPr>
        <w:pStyle w:val="ListBullet"/>
      </w:pPr>
      <w:r>
        <w:rPr>
          <w:b/>
        </w:rPr>
        <w:t>Entre los ashanti,</w:t>
      </w:r>
      <w:r>
        <w:t xml:space="preserve"> por una deuda «podía empeñarse a uno de los hijos»</w:t>
      </w:r>
      <w:r>
        <w:rPr>
          <w:vertAlign w:val="superscript"/>
        </w:rPr>
        <w:t>◦</w:t>
      </w:r>
      <w:r>
        <w:t>.</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rPr>
          <w:vertAlign w:val="superscript"/>
        </w:rPr>
        <w:t>◦</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rPr>
          <w:vertAlign w:val="superscript"/>
        </w:rPr>
        <w:t>◦</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rPr>
          <w:vertAlign w:val="superscript"/>
        </w:rPr>
        <w:t>◦</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rPr>
          <w:vertAlign w:val="superscript"/>
        </w:rPr>
        <w:t>◦</w:t>
      </w:r>
      <w:r>
        <w:t>. Exime y beneficia al estamento que custodiaba esos textos.</w:t>
      </w:r>
    </w:p>
    <w:p>
      <w:pPr>
        <w:pStyle w:val="ListBullet"/>
      </w:pPr>
      <w:r>
        <w:rPr>
          <w:b/>
        </w:rPr>
        <w:t>Séneca</w:t>
      </w:r>
      <w:r>
        <w:t xml:space="preserve"> (acabar con familias enteras): era uno de los guías del joven Nerón</w:t>
      </w:r>
      <w:r>
        <w:rPr>
          <w:vertAlign w:val="superscript"/>
        </w:rPr>
        <w:t>◦</w:t>
      </w:r>
      <w:r>
        <w:t>.</w:t>
      </w:r>
    </w:p>
    <w:p>
      <w:pPr>
        <w:pStyle w:val="ListBullet"/>
      </w:pPr>
      <w:r>
        <w:rPr>
          <w:b/>
        </w:rPr>
        <w:t>Hammurabi</w:t>
      </w:r>
      <w:r>
        <w:t xml:space="preserve"> (muere el hijo por la culpa del padre): es el código del propio rey.</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rPr>
          <w:vertAlign w:val="superscript"/>
        </w:rPr>
        <w:t>◦</w:t>
      </w:r>
      <w:r>
        <w:t>, acabó preso del mismo Imperio, «con un soldado que le guardase»</w:t>
      </w:r>
      <w:r>
        <w:rPr>
          <w:vertAlign w:val="superscript"/>
        </w:rPr>
        <w:t>◦</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rPr>
          <w:vertAlign w:val="superscript"/>
        </w:rPr>
        <w:t>◦</w:t>
      </w:r>
      <w:r>
        <w:t>.</w:t>
      </w:r>
    </w:p>
    <w:p>
      <w:pPr>
        <w:pStyle w:val="ListBullet"/>
      </w:pPr>
      <w:r>
        <w:rPr>
          <w:b/>
        </w:rPr>
        <w:t>Han Fei:</w:t>
      </w:r>
      <w:r>
        <w:t xml:space="preserve"> Li Si le hizo llegar veneno para que se matara</w:t>
      </w:r>
      <w:r>
        <w:rPr>
          <w:vertAlign w:val="superscript"/>
        </w:rPr>
        <w:t>◦</w:t>
      </w:r>
      <w:r>
        <w:t>.</w:t>
      </w:r>
    </w:p>
    <w:p>
      <w:pPr>
        <w:pStyle w:val="ListBullet"/>
      </w:pPr>
      <w:r>
        <w:rPr>
          <w:b/>
        </w:rPr>
        <w:t>Li Si:</w:t>
      </w:r>
      <w:r>
        <w:t xml:space="preserve"> le aplicaron las cinco penas, lo cortaron por la cintura en el mercado de Xianyang y exterminaron a sus tres clanes</w:t>
      </w:r>
      <w:r>
        <w:rPr>
          <w:vertAlign w:val="superscript"/>
        </w:rPr>
        <w:t>◦</w:t>
      </w:r>
      <w:r>
        <w:t>.</w:t>
      </w:r>
    </w:p>
    <w:p>
      <w:pPr>
        <w:pStyle w:val="ListBullet"/>
      </w:pPr>
      <w:r>
        <w:rPr>
          <w:b/>
        </w:rPr>
        <w:t>La dinastía Qin,</w:t>
      </w:r>
      <w:r>
        <w:t xml:space="preserve"> que había unificado China en el 221 a. C., cayó en el 206 a. C. (las fechas, fuente secundaria); su último rey reinó cuarenta y seis días</w:t>
      </w:r>
      <w:r>
        <w:rPr>
          <w:vertAlign w:val="superscript"/>
        </w:rPr>
        <w:t>◦</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rPr>
          <w:vertAlign w:val="superscript"/>
        </w:rPr>
        <w:t>◦</w:t>
      </w:r>
      <w:r>
        <w:t>.</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rPr>
          <w:vertAlign w:val="superscript"/>
        </w:rPr>
        <w:t>◦</w:t>
      </w:r>
      <w:r>
        <w:t>. Después, el emperador Claudio abolió del todo su religión, a la que Roma acusaba de «atroz crueldad»</w:t>
      </w:r>
      <w:r>
        <w:rPr>
          <w:vertAlign w:val="superscript"/>
        </w:rPr>
        <w:t>◦</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rPr>
          <w:vertAlign w:val="superscript"/>
        </w:rPr>
        <w:t>◦</w:t>
      </w:r>
      <w:r>
        <w:t>.</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rPr>
          <w:vertAlign w:val="superscript"/>
        </w:rPr>
        <w:t>◦</w:t>
      </w:r>
      <w:r>
        <w:t>; el editor de Jubileos, R. H. Charles, ve en ese libro el de los Jubileos, o una obra corta basada en él, y da la fecha de la lista por dudosa</w:t>
      </w:r>
      <w:r>
        <w:rPr>
          <w:vertAlign w:val="superscript"/>
        </w:rPr>
        <w:t>◦</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rPr>
          <w:vertAlign w:val="superscript"/>
        </w:rPr>
        <w:t>◦</w:t>
      </w:r>
      <w:r>
        <w:t>.</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rPr>
          <w:vertAlign w:val="superscript"/>
        </w:rPr>
        <w:t>◦</w:t>
      </w:r>
      <w:r>
        <w:t>. En hebreo, el verbo de labrar es el mismo de servir a Dios: «escogeos hoy á quién sirváis […] que yo y mi casa serviremos á Jehová»</w:t>
      </w:r>
      <w:r>
        <w:rPr>
          <w:vertAlign w:val="superscript"/>
        </w:rPr>
        <w:t>◦</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rPr>
          <w:vertAlign w:val="superscript"/>
        </w:rPr>
        <w:t>◦</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rPr>
          <w:vertAlign w:val="superscript"/>
        </w:rPr>
        <w:t>◦</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rPr>
          <w:vertAlign w:val="superscript"/>
        </w:rPr>
        <w:t>◦</w:t>
      </w:r>
      <w:r>
        <w:t>;</w:t>
      </w:r>
    </w:p>
    <w:p>
      <w:pPr>
        <w:pStyle w:val="ListBullet2"/>
      </w:pPr>
      <w:r>
        <w:t>la India: hay que obrar «mirando también por el bien del mundo»</w:t>
      </w:r>
      <w:r>
        <w:rPr>
          <w:vertAlign w:val="superscript"/>
        </w:rPr>
        <w:t>◦</w:t>
      </w:r>
      <w:r>
        <w:t>; y el Buda envía a sus monjes «por el bien de muchos, por la felicidad de muchos, por compasión del mundo»</w:t>
      </w:r>
      <w:r>
        <w:rPr>
          <w:vertAlign w:val="superscript"/>
        </w:rPr>
        <w:t>◦</w:t>
      </w:r>
      <w:r>
        <w:t>;</w:t>
      </w:r>
    </w:p>
    <w:p>
      <w:pPr>
        <w:pStyle w:val="ListBullet2"/>
      </w:pPr>
      <w:r>
        <w:t>el islam: «Ayudaos unos a otros a practicar la piedad y el temor de Alá, no el pecado y la violación de la ley»</w:t>
      </w:r>
      <w:r>
        <w:rPr>
          <w:vertAlign w:val="superscript"/>
        </w:rPr>
        <w:t>◦</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rPr>
          <w:vertAlign w:val="superscript"/>
        </w:rPr>
        <w:t>◦</w:t>
      </w:r>
      <w:r>
        <w:t>; «allegará su trigo en el alfolí, y quemará la paja»</w:t>
      </w:r>
      <w:r>
        <w:rPr>
          <w:vertAlign w:val="superscript"/>
        </w:rPr>
        <w:t>◦</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rPr>
          <w:vertAlign w:val="superscript"/>
        </w:rPr>
        <w:t>◦</w:t>
      </w:r>
      <w:r>
        <w:t>.</w:t>
      </w:r>
    </w:p>
    <w:p>
      <w:r>
        <w:rPr>
          <w:b/>
        </w:rPr>
        <w:t>La pata coja.</w:t>
      </w:r>
      <w:r>
        <w:t xml:space="preserve"> Lo contrario también está escrito: «pueblo débil, Estado fuerte» (</w:t>
      </w:r>
      <w:r>
        <w:t>3.2</w:t>
      </w:r>
      <w:r>
        <w:t>). Y casi siempre lo escribió quien mandaba (</w:t>
      </w:r>
      <w:r>
        <w:t>3.4</w:t>
      </w:r>
      <w:r>
        <w: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rPr>
          <w:vertAlign w:val="superscript"/>
        </w:rPr>
        <w:t>◦</w:t>
      </w:r>
      <w:r>
        <w:t>; lo dice la primera carta a los corintios para que sus pleitos no vayan «delante de los injustos»</w:t>
      </w:r>
      <w:r>
        <w:rPr>
          <w:vertAlign w:val="superscript"/>
        </w:rPr>
        <w:t>◦</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rPr>
          <w:vertAlign w:val="superscript"/>
        </w:rPr>
        <w:t>◦</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rPr>
          <w:vertAlign w:val="superscript"/>
        </w:rPr>
        <w:t>◦</w:t>
      </w:r>
      <w:r>
        <w:t>; lo abre «el león de la tribu de Judá, la raíz de David, que ha vencido»</w:t>
      </w:r>
      <w:r>
        <w:rPr>
          <w:vertAlign w:val="superscript"/>
        </w:rPr>
        <w:t>◦</w:t>
      </w:r>
      <w:r>
        <w:t>, y lo que se ve entonces es «un Cordero como inmolado»</w:t>
      </w:r>
      <w:r>
        <w:rPr>
          <w:vertAlign w:val="superscript"/>
        </w:rPr>
        <w:t>◦</w:t>
      </w:r>
      <w:r>
        <w:t>. En la Reina-Valera ha vencido «para abrir el libro, y desatar sus siete sellos»; el griego dice «abrir el libro y sus siete sellos», sin «desatar»</w:t>
      </w:r>
      <w:r>
        <w:rPr>
          <w:vertAlign w:val="superscript"/>
        </w:rPr>
        <w:t>◦</w:t>
      </w:r>
      <w:r>
        <w:t>. Al abrir los sellos, el verbo es «abrió»</w:t>
      </w:r>
      <w:r>
        <w:rPr>
          <w:vertAlign w:val="superscript"/>
        </w:rPr>
        <w:t>◦</w:t>
      </w:r>
      <w:r>
        <w:t>.</w:t>
      </w:r>
    </w:p>
    <w:p>
      <w:pPr>
        <w:pStyle w:val="ListBullet"/>
      </w:pPr>
      <w:r>
        <w:rPr>
          <w:b/>
        </w:rPr>
        <w:t>El séptimo sello es un silencio, no el final.</w:t>
      </w:r>
      <w:r>
        <w:t xml:space="preserve"> «Y CUANDO él abrió el séptimo sello, fué hecho silencio en el cielo casi por media hora»</w:t>
      </w:r>
      <w:r>
        <w:rPr>
          <w:vertAlign w:val="superscript"/>
        </w:rPr>
        <w:t>◦</w:t>
      </w:r>
      <w:r>
        <w:t>. Detrás vienen «los siete ángeles que estaban delante de Dios; y les fueron dadas siete trompetas»</w:t>
      </w:r>
      <w:r>
        <w:rPr>
          <w:vertAlign w:val="superscript"/>
        </w:rPr>
        <w:t>◦</w:t>
      </w:r>
      <w:r>
        <w:t>, y con la séptima llega «el tiempo de los muertos, para que sean juzgados»</w:t>
      </w:r>
      <w:r>
        <w:rPr>
          <w:vertAlign w:val="superscript"/>
        </w:rPr>
        <w:t>◦</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rPr>
          <w:vertAlign w:val="superscript"/>
        </w:rPr>
        <w:t>◦</w:t>
      </w:r>
      <w:r>
        <w:t>; los que se esconden piden que se los esconda «de la cara de aquél que está sentado sobre el trono, y de la ira del Cordero»</w:t>
      </w:r>
      <w:r>
        <w:rPr>
          <w:vertAlign w:val="superscript"/>
        </w:rPr>
        <w:t>◦</w:t>
      </w:r>
      <w:r>
        <w:t>; y de los muertos, «fué hecho juicio de cada uno según sus obras»</w:t>
      </w:r>
      <w:r>
        <w:rPr>
          <w:vertAlign w:val="superscript"/>
        </w:rPr>
        <w:t>◦</w:t>
      </w:r>
      <w:r>
        <w:t>. En la serie de los sellos y las trompetas no juzga ningún hombre. La otra cara: el mismo libro dice también «Y vi tronos, y se sentaron sobre ellos, y les fué dado juicio»</w:t>
      </w:r>
      <w:r>
        <w:rPr>
          <w:vertAlign w:val="superscript"/>
        </w:rPr>
        <w:t>◦</w:t>
      </w:r>
      <w:r>
        <w:t>. Converge con lo de arriba: la siega es de los ángeles (Mt 13:39).</w:t>
      </w:r>
    </w:p>
    <w:p>
      <w:pPr>
        <w:pStyle w:val="ListBullet"/>
      </w:pPr>
      <w:r>
        <w:rPr>
          <w:b/>
        </w:rPr>
        <w:t>El cuándo, en sus dos caras.</w:t>
      </w:r>
      <w:r>
        <w:t xml:space="preserve"> «el tiempo está cerca»</w:t>
      </w:r>
      <w:r>
        <w:rPr>
          <w:vertAlign w:val="superscript"/>
        </w:rPr>
        <w:t>◦</w:t>
      </w:r>
      <w:r>
        <w:t>; y, en el Evangelio, «del día y hora nadie sabe, ni aun los ángeles de los cielos, sino mi Padre solo»</w:t>
      </w:r>
      <w:r>
        <w:rPr>
          <w:vertAlign w:val="superscript"/>
        </w:rPr>
        <w:t>◦</w:t>
      </w:r>
      <w:r>
        <w:t>. De no saber la hora el texto no saca una fecha, sino velar: «Velad pues, porque no sabéis á qué hora ha de venir vuestro Señor»</w:t>
      </w:r>
      <w:r>
        <w:rPr>
          <w:vertAlign w:val="superscript"/>
        </w:rPr>
        <w:t>◦</w:t>
      </w:r>
      <w:r>
        <w:t>.</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rPr>
          <w:vertAlign w:val="superscript"/>
        </w:rPr>
        <w:t>◦</w:t>
      </w:r>
      <w:r>
        <w:t>; de Jesús dice que Dios lo «ha hecho Señor y Cristo»</w:t>
      </w:r>
      <w:r>
        <w:rPr>
          <w:vertAlign w:val="superscript"/>
        </w:rPr>
        <w:t>◦</w:t>
      </w:r>
      <w:r>
        <w:t xml:space="preserve"> y que «le ungió Dios de Espíritu Santo y de potencia»</w:t>
      </w:r>
      <w:r>
        <w:rPr>
          <w:vertAlign w:val="superscript"/>
        </w:rPr>
        <w:t>◦</w:t>
      </w:r>
      <w:r>
        <w:t>. En la Biblia hebrea, «ungido» se dice del sacerdote (Lv 4:3), del rey, «el ungido de Jehová»</w:t>
      </w:r>
      <w:r>
        <w:rPr>
          <w:vertAlign w:val="superscript"/>
        </w:rPr>
        <w:t>◦</w:t>
      </w:r>
      <w:r>
        <w:t>, y hasta de Ciro, rey de Persia: «á su ungido, á Ciro»</w:t>
      </w:r>
      <w:r>
        <w:rPr>
          <w:vertAlign w:val="superscript"/>
        </w:rPr>
        <w:t>◦</w:t>
      </w:r>
      <w:r>
        <w:t>, «aunque no me conociste»</w:t>
      </w:r>
      <w:r>
        <w:rPr>
          <w:vertAlign w:val="superscript"/>
        </w:rPr>
        <w:t>◦</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rPr>
          <w:vertAlign w:val="superscript"/>
        </w:rPr>
        <w:t>◦</w:t>
      </w:r>
      <w:r>
        <w:t>, al rey (1 S 10:1) y, por mandato, al profeta (1 R 19:16).</w:t>
      </w:r>
    </w:p>
    <w:p>
      <w:pPr>
        <w:pStyle w:val="ListBullet"/>
      </w:pPr>
      <w:r>
        <w:rPr>
          <w:b/>
        </w:rPr>
        <w:t>El Espíritu lo muda.</w:t>
      </w:r>
      <w:r>
        <w:t xml:space="preserve"> A Saúl, al ungirlo: «serás mudado en otro hombre»</w:t>
      </w:r>
      <w:r>
        <w:rPr>
          <w:vertAlign w:val="superscript"/>
        </w:rPr>
        <w:t>◦</w:t>
      </w:r>
      <w:r>
        <w:t>; a David, «desde aquel día en adelante el espíritu de Jehová tomó á David»</w:t>
      </w:r>
      <w:r>
        <w:rPr>
          <w:vertAlign w:val="superscript"/>
        </w:rPr>
        <w:t>◦</w:t>
      </w:r>
      <w:r>
        <w:t>. Y Isaías une unción, Espíritu y tarea: «EL espíritu del Señor Jehová es sobre mí, porque me ungió Jehová»</w:t>
      </w:r>
      <w:r>
        <w:rPr>
          <w:vertAlign w:val="superscript"/>
        </w:rPr>
        <w:t>◦</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rPr>
          <w:vertAlign w:val="superscript"/>
        </w:rPr>
        <w:t>◦</w:t>
      </w:r>
      <w:r>
        <w:t>, y la promesa, «derramaré mi Espíritu sobre toda carne»</w:t>
      </w:r>
      <w:r>
        <w:rPr>
          <w:vertAlign w:val="superscript"/>
        </w:rPr>
        <w:t>◦</w:t>
      </w:r>
      <w:r>
        <w:t>, que Pedro cita (Hch 2:17). En el Nuevo Testamento, de todos los que creen: «la unción que vosotros habéis recibido de él, mora en vosotros»</w:t>
      </w:r>
      <w:r>
        <w:rPr>
          <w:vertAlign w:val="superscript"/>
        </w:rPr>
        <w:t>◦</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rPr>
          <w:vertAlign w:val="superscript"/>
        </w:rPr>
        <w:t>◦</w:t>
      </w:r>
      <w:r>
        <w:t>, y la prueba del que habla en nombre de Dios es que se cumpla (Dt 18:22); el Cielo ayuda solo al virtuoso (Shujing); y el sabio es difícil de hallar (Bhagavad Gita 7.19).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rPr>
          <w:vertAlign w:val="superscript"/>
        </w:rPr>
        <w:t>◦</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rPr>
          <w:vertAlign w:val="superscript"/>
        </w:rPr>
        <w:t>◦</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rPr>
          <w:vertAlign w:val="superscript"/>
        </w:rPr>
        <w:t>◦</w:t>
      </w:r>
      <w:r>
        <w:t>. En el libro de Job, Satán dice de dónde viene: «De rodear la tierra, y de andar por ella»</w:t>
      </w:r>
      <w:r>
        <w:rPr>
          <w:vertAlign w:val="superscript"/>
        </w:rPr>
        <w:t>◦</w:t>
      </w:r>
      <w:r>
        <w:t>.</w:t>
      </w:r>
    </w:p>
    <w:p>
      <w:pPr>
        <w:pStyle w:val="ListBullet"/>
      </w:pPr>
      <w:r>
        <w:rPr>
          <w:b/>
        </w:rPr>
        <w:t>Legión.</w:t>
      </w:r>
      <w:r>
        <w:t xml:space="preserve"> El espíritu que habla por boca de un hombre responde: «Legión me llamo; porque somos muchos»</w:t>
      </w:r>
      <w:r>
        <w:rPr>
          <w:vertAlign w:val="superscript"/>
        </w:rPr>
        <w:t>◦</w:t>
      </w:r>
      <w:r>
        <w:t>.</w:t>
      </w:r>
    </w:p>
    <w:p>
      <w:pPr>
        <w:pStyle w:val="ListBullet"/>
      </w:pPr>
      <w:r>
        <w:rPr>
          <w:b/>
        </w:rPr>
        <w:t>Mammón.</w:t>
      </w:r>
      <w:r>
        <w:t xml:space="preserve"> La riqueza puesta como un señor al que se sirve: «no podéis servir á Dios y á Mammón»</w:t>
      </w:r>
      <w:r>
        <w:rPr>
          <w:vertAlign w:val="superscript"/>
        </w:rPr>
        <w:t>◦</w:t>
      </w:r>
      <w:r>
        <w:t>.</w:t>
      </w:r>
    </w:p>
    <w:p>
      <w:pPr>
        <w:pStyle w:val="ListBullet"/>
      </w:pPr>
      <w:r>
        <w:rPr>
          <w:b/>
        </w:rPr>
        <w:t>Los ejércitos de Mara.</w:t>
      </w:r>
      <w:r>
        <w:t xml:space="preserve"> En el budismo, al tentador se le dice: «los deseos son tu primer ejército» y «este es tu ejército, Namuci»</w:t>
      </w:r>
      <w:r>
        <w:rPr>
          <w:vertAlign w:val="superscript"/>
        </w:rPr>
        <w:t>◦</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rPr>
          <w:vertAlign w:val="superscript"/>
        </w:rPr>
        <w:t>◦</w:t>
      </w:r>
      <w:r>
        <w:t>. El que susurra puede ser también un hombre.</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w:t>
      </w:r>
    </w:p>
    <w:p>
      <w:pPr>
        <w:pStyle w:val="ListBullet"/>
      </w:pPr>
      <w:r>
        <w:t>«¿de dónde ha sacado tantos ojos con los que os espía, si no se los dais vosotros?»</w:t>
      </w:r>
      <w:r>
        <w:t>;</w:t>
      </w:r>
    </w:p>
    <w:p>
      <w:pPr>
        <w:pStyle w:val="ListBullet"/>
      </w:pPr>
      <w:r>
        <w:t>y lo que más enseña a servir es la costumbre, que «en nada tiene tanta fuerza como en enseñarnos a servir»</w:t>
      </w:r>
      <w:r>
        <w:rPr>
          <w:vertAlign w:val="superscript"/>
        </w:rPr>
        <w:t>◦</w:t>
      </w:r>
      <w:r>
        <w:t>.</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rPr>
          <w:vertAlign w:val="superscript"/>
        </w:rPr>
        <w:t>◦</w:t>
      </w:r>
      <w:r>
        <w:t>.</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rPr>
          <w:vertAlign w:val="superscript"/>
        </w:rPr>
        <w:t>◦</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rPr>
          <w:vertAlign w:val="superscript"/>
        </w:rPr>
        <w:t>◦</w:t>
      </w:r>
      <w:r>
        <w:t>.</w:t>
      </w:r>
    </w:p>
    <w:p>
      <w:pPr>
        <w:pStyle w:val="ListBullet"/>
      </w:pPr>
      <w:r>
        <w:rPr>
          <w:b/>
        </w:rPr>
        <w:t>El islam.</w:t>
      </w:r>
      <w:r>
        <w:t xml:space="preserve"> El Demonio engañó a la primera pareja: «Les hizo, pues, caer dolosamente»</w:t>
      </w:r>
      <w:r>
        <w:rPr>
          <w:vertAlign w:val="superscript"/>
        </w:rPr>
        <w:t>◦</w:t>
      </w:r>
      <w:r>
        <w:t>. Y el aviso: «El Demonio es para vosotros un enemigo. Tenedle, pues, por tal»</w:t>
      </w:r>
      <w:r>
        <w:rPr>
          <w:vertAlign w:val="superscript"/>
        </w:rPr>
        <w:t>◦</w:t>
      </w:r>
      <w:r>
        <w:t>.</w:t>
      </w:r>
    </w:p>
    <w:p>
      <w:pPr>
        <w:pStyle w:val="ListBullet"/>
      </w:pPr>
      <w:r>
        <w:rPr>
          <w:b/>
        </w:rPr>
        <w:t>La India.</w:t>
      </w:r>
      <w:r>
        <w:t xml:space="preserve"> La Gita distingue dos condiciones en los seres: «la divina es para la liberación; la demoníaca, para la atadura»</w:t>
      </w:r>
      <w:r>
        <w:rPr>
          <w:vertAlign w:val="superscript"/>
        </w:rPr>
        <w:t>◦</w:t>
      </w:r>
      <w:r>
        <w:t>.</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w:t>
      </w:r>
    </w:p>
    <w:p>
      <w:r>
        <w:rPr>
          <w:b/>
        </w:rPr>
        <w:t>La pata coja: no toda guerra antigua es moral.</w:t>
      </w:r>
      <w:r>
        <w:t xml:space="preserve"> En Mesopotamia, los dioses dan a Marduk «la realeza sobre todo y sobre todos»</w:t>
      </w:r>
      <w:r>
        <w:rPr>
          <w:vertAlign w:val="superscript"/>
        </w:rPr>
        <w:t>◦</w:t>
      </w:r>
      <w:r>
        <w:t xml:space="preserve"> para que venza a Tiamat. En la India, Indra «mató al dragón y abrió paso a las aguas»</w:t>
      </w:r>
      <w:r>
        <w:rPr>
          <w:vertAlign w:val="superscript"/>
        </w:rPr>
        <w:t>◦</w:t>
      </w:r>
      <w:r>
        <w:t>. Son guerras de dioses por el orden del mundo y por el poder, no una elección del ser humano entre el bien y el mal.</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rPr>
          <w:vertAlign w:val="superscript"/>
        </w:rPr>
        <w:t>◦</w:t>
      </w:r>
      <w:r>
        <w:t>: un príncipe por cada reino.</w:t>
      </w:r>
    </w:p>
    <w:p>
      <w:pPr>
        <w:pStyle w:val="ListBullet"/>
      </w:pPr>
      <w:r>
        <w:rPr>
          <w:b/>
        </w:rPr>
        <w:t>El Evangelio.</w:t>
      </w:r>
      <w:r>
        <w:t xml:space="preserve"> Llama al diablo «el príncipe de este mundo»</w:t>
      </w:r>
      <w:r>
        <w:rPr>
          <w:vertAlign w:val="superscript"/>
        </w:rPr>
        <w:t>◦</w:t>
      </w:r>
      <w:r>
        <w:t>.</w:t>
      </w:r>
    </w:p>
    <w:p>
      <w:pPr>
        <w:pStyle w:val="ListBullet"/>
      </w:pPr>
      <w:r>
        <w:rPr>
          <w:b/>
        </w:rPr>
        <w:t>Pablo.</w:t>
      </w:r>
      <w:r>
        <w:t xml:space="preserve"> «el dios de este siglo cegó los entendimientos de los incrédulos»</w:t>
      </w:r>
      <w:r>
        <w:rPr>
          <w:vertAlign w:val="superscript"/>
        </w:rPr>
        <w:t>◦</w:t>
      </w:r>
      <w:r>
        <w:t>. Y: «no tenemos lucha contra sangre y carne; sino contra principados, contra potestades, contra señores del mundo, gobernadores de estas tinieblas, contra malicias espirituales en los aires»</w:t>
      </w:r>
      <w:r>
        <w:rPr>
          <w:vertAlign w:val="superscript"/>
        </w:rPr>
        <w:t>◦</w:t>
      </w:r>
      <w:r>
        <w:t>.</w:t>
      </w:r>
    </w:p>
    <w:p>
      <w:pPr>
        <w:pStyle w:val="ListBullet"/>
      </w:pPr>
      <w:r>
        <w:rPr>
          <w:b/>
        </w:rPr>
        <w:t>Persia.</w:t>
      </w:r>
      <w:r>
        <w:t xml:space="preserve"> Tampoco los daevas eligieron bien, y «se lanzaron juntos a la violencia, para debilitar el mundo de los hombres»</w:t>
      </w:r>
      <w:r>
        <w:rPr>
          <w:vertAlign w:val="superscript"/>
        </w:rPr>
        <w:t>◦</w:t>
      </w:r>
      <w:r>
        <w:t>.</w:t>
      </w:r>
    </w:p>
    <w:p>
      <w:pPr>
        <w:pStyle w:val="ListBullet"/>
      </w:pPr>
      <w:r>
        <w:rPr>
          <w:b/>
        </w:rPr>
        <w:t>La India.</w:t>
      </w:r>
      <w:r>
        <w:t xml:space="preserve"> El de condición demoníaca se ensalza a sí mismo: «yo soy señor, yo el que disfruta; soy perfecto, fuerte y feliz» y «¿quién hay igual a mí?»</w:t>
      </w:r>
      <w:r>
        <w:rPr>
          <w:vertAlign w:val="superscript"/>
        </w:rPr>
        <w:t>◦</w:t>
      </w:r>
      <w:r>
        <w:t>.</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w:t>
      </w:r>
    </w:p>
    <w:p>
      <w:r>
        <w:rPr>
          <w:b/>
        </w:rPr>
        <w:t>El relato de la caída, tal como está escrito.</w:t>
      </w:r>
      <w:r>
        <w:t xml:space="preserve"> El Génesis cuenta que había dos árboles en medio del huerto: «también el árbol de vida en medio del huerto, y el árbol de ciencia del bien y del mal»</w:t>
      </w:r>
      <w:r>
        <w:rPr>
          <w:vertAlign w:val="superscript"/>
        </w:rPr>
        <w:t>◦</w:t>
      </w:r>
      <w:r>
        <w:t>. La orden era una sola: «De todo árbol del huerto comerás»</w:t>
      </w:r>
      <w:r>
        <w:rPr>
          <w:vertAlign w:val="superscript"/>
        </w:rPr>
        <w:t>◦</w:t>
      </w:r>
      <w:r>
        <w:t>; «Mas del árbol de ciencia del bien y del mal no comerás de él; porque el día que de él comieres, morirás»</w:t>
      </w:r>
      <w:r>
        <w:rPr>
          <w:vertAlign w:val="superscript"/>
        </w:rPr>
        <w:t>◦</w:t>
      </w:r>
      <w:r>
        <w:t>. La serpiente empieza por darle la vuelta: «¿Conque Dios os ha dicho: No comáis de todo árbol del huerto?»</w:t>
      </w:r>
      <w:r>
        <w:rPr>
          <w:vertAlign w:val="superscript"/>
        </w:rPr>
        <w:t>◦</w:t>
      </w:r>
      <w:r>
        <w:t>. La mujer responde, y añade algo que en la orden no estaba: «ni le tocaréis»</w:t>
      </w:r>
      <w:r>
        <w:rPr>
          <w:vertAlign w:val="superscript"/>
        </w:rPr>
        <w:t>◦</w:t>
      </w:r>
      <w:r>
        <w:t>. La serpiente niega la consecuencia sin dar un dato, «No moriréis»</w:t>
      </w:r>
      <w:r>
        <w:rPr>
          <w:vertAlign w:val="superscript"/>
        </w:rPr>
        <w:t>◦</w:t>
      </w:r>
      <w:r>
        <w:t>, y atribuye un motivo: «Mas sabe Dios que el día que comiereis de él, serán abiertos vuestros ojos, y seréis como dioses sabiendo el bien y el mal»</w:t>
      </w:r>
      <w:r>
        <w:rPr>
          <w:vertAlign w:val="superscript"/>
        </w:rPr>
        <w:t>◦</w:t>
      </w:r>
      <w:r>
        <w:t>. La mujer decide por lo que ve: el árbol era «bueno para comer, y que era agradable á los ojos, y árbol codiciable para alcanzar la sabiduría»</w:t>
      </w:r>
      <w:r>
        <w:rPr>
          <w:vertAlign w:val="superscript"/>
        </w:rPr>
        <w:t>◦</w:t>
      </w:r>
      <w:r>
        <w:t>. Los frutos vienen enseguida: «tuve miedo, porque estaba desnudo; y escondíme»</w:t>
      </w:r>
      <w:r>
        <w:rPr>
          <w:vertAlign w:val="superscript"/>
        </w:rPr>
        <w:t>◦</w:t>
      </w:r>
      <w:r>
        <w:t>; el hombre culpa a la mujer, y la mujer, a la serpiente</w:t>
      </w:r>
      <w:r>
        <w:rPr>
          <w:vertAlign w:val="superscript"/>
        </w:rPr>
        <w:t>◦</w:t>
      </w:r>
      <w:r>
        <w:t>. Y Dios dice: «He aquí el hombre es como uno de Nos sabiendo el bien y el mal: ahora, pues, porque no alargue su mano, y tome también del árbol de la vida, y coma, y viva para siempre»</w:t>
      </w:r>
      <w:r>
        <w:rPr>
          <w:vertAlign w:val="superscript"/>
        </w:rPr>
        <w:t>◦</w:t>
      </w:r>
      <w:r>
        <w:t>. Echó al hombre del huerto y puso «querubines, y una espada encendida que se revolvía á todos lados, para guardar el camino del árbol de la vida»</w:t>
      </w:r>
      <w:r>
        <w:rPr>
          <w:vertAlign w:val="superscript"/>
        </w:rPr>
        <w:t>◦</w:t>
      </w:r>
      <w:r>
        <w:t>.</w:t>
      </w:r>
    </w:p>
    <w:p>
      <w:r>
        <w:rPr>
          <w:b/>
        </w:rPr>
        <w:t>Lo que el texto no dice.</w:t>
      </w:r>
      <w:r>
        <w:t xml:space="preserve"> No dice «manzana»: dice «del fruto del árbol que está en medio del huerto»</w:t>
      </w:r>
      <w:r>
        <w:rPr>
          <w:vertAlign w:val="superscript"/>
        </w:rPr>
        <w:t>◦</w:t>
      </w:r>
      <w:r>
        <w:t>. No llama diablo ni Satanás a la serpiente: esa identificación es posterior (Ap 12:9, arriba). Tampoco está la palabra «satán», que en hebreo es «adversario» (</w:t>
      </w:r>
      <w:r>
        <w:t>4.1</w:t>
      </w:r>
      <w:r>
        <w:t>): en todo el Génesis no aparece ni una vez</w:t>
      </w:r>
      <w:r>
        <w:rPr>
          <w:vertAlign w:val="superscript"/>
        </w:rPr>
        <w:t>◦</w:t>
      </w:r>
      <w:r>
        <w:t>; en los libros históricos nombra a adversarios de carne y hueso: «Jehová suscitó un adversario á Salomón, á Adad, Idumeo»</w:t>
      </w:r>
      <w:r>
        <w:rPr>
          <w:vertAlign w:val="superscript"/>
        </w:rPr>
        <w:t>◦</w:t>
      </w:r>
      <w:r>
        <w:t>, «Despertóle también Dios por adversario á Rezón»</w:t>
      </w:r>
      <w:r>
        <w:rPr>
          <w:vertAlign w:val="superscript"/>
        </w:rPr>
        <w:t>◦</w:t>
      </w:r>
      <w:r>
        <w:t>; y la Reina-Valera la traduce «adversario» seis veces</w:t>
      </w:r>
      <w:r>
        <w:rPr>
          <w:vertAlign w:val="superscript"/>
        </w:rPr>
        <w:t>◦</w:t>
      </w:r>
      <w:r>
        <w:t>. Y no dice que el hombre fuera inmortal por naturaleza: la vida para siempre depende del árbol de la vida</w:t>
      </w:r>
      <w:r>
        <w:rPr>
          <w:vertAlign w:val="superscript"/>
        </w:rPr>
        <w:t>◦</w:t>
      </w:r>
      <w:r>
        <w:t>, y la consecuencia anunciada es «morirás»</w:t>
      </w:r>
      <w:r>
        <w:rPr>
          <w:vertAlign w:val="superscript"/>
        </w:rPr>
        <w:t>◦</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rPr>
          <w:vertAlign w:val="superscript"/>
        </w:rPr>
        <w:t>◦</w:t>
      </w:r>
      <w:r>
        <w:t xml:space="preserve"> y le dice que el árbol se prohibió «por temor de que os convirtáis en ángeles u os hagáis inmortales»</w:t>
      </w:r>
      <w:r>
        <w:rPr>
          <w:vertAlign w:val="superscript"/>
        </w:rPr>
        <w:t>◦</w:t>
      </w:r>
      <w:r>
        <w:t xml:space="preserve"> es «el Demonio» que le insinúa el mal, como la serpiente con «No moriréis»</w:t>
      </w:r>
      <w:r>
        <w:rPr>
          <w:vertAlign w:val="superscript"/>
        </w:rPr>
        <w:t>◦</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rPr>
          <w:vertAlign w:val="superscript"/>
        </w:rPr>
        <w:t>◦</w:t>
      </w:r>
      <w:r>
        <w:t>, y vivir con un propósito se asocia a vivir algo más</w:t>
      </w:r>
      <w:r>
        <w:rPr>
          <w:vertAlign w:val="superscript"/>
        </w:rPr>
        <w:t>◦</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rPr>
          <w:vertAlign w:val="superscript"/>
        </w:rPr>
        <w:t>◦</w:t>
      </w:r>
      <w:r>
        <w:t>. El Nuevo Testamento recuerda a «los ángeles que no guardaron su dignidad, mas dejaron su habitación»</w:t>
      </w:r>
      <w:r>
        <w:rPr>
          <w:vertAlign w:val="superscript"/>
        </w:rPr>
        <w:t>◦</w:t>
      </w:r>
      <w:r>
        <w:t>, y que «Dios no perdonó á los ángeles que habían pecado»</w:t>
      </w:r>
      <w:r>
        <w:rPr>
          <w:vertAlign w:val="superscript"/>
        </w:rPr>
        <w:t>◦</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rPr>
          <w:vertAlign w:val="superscript"/>
        </w:rPr>
        <w:t>◦</w:t>
      </w:r>
      <w:r>
        <w:t>;</w:t>
      </w:r>
    </w:p>
    <w:p>
      <w:pPr>
        <w:pStyle w:val="ListBullet"/>
      </w:pPr>
      <w:r>
        <w:t>de los gigantes nacen espíritus que «afligen, oprimen, destruyen, atacan, hacen la guerra»</w:t>
      </w:r>
      <w:r>
        <w:rPr>
          <w:vertAlign w:val="superscript"/>
        </w:rPr>
        <w:t>◦</w:t>
      </w:r>
      <w:r>
        <w:t>;</w:t>
      </w:r>
    </w:p>
    <w:p>
      <w:pPr>
        <w:pStyle w:val="ListBullet"/>
      </w:pPr>
      <w:r>
        <w:t>y esos espíritus, «tomando muchas formas distintas», corrompen a la humanidad y la llevan a sacrificar a los demonios «como a dioses»</w:t>
      </w:r>
      <w:r>
        <w:rPr>
          <w:vertAlign w:val="superscript"/>
        </w:rPr>
        <w:t>◦</w:t>
      </w:r>
      <w:r>
        <w:t>;</w:t>
      </w:r>
    </w:p>
    <w:p>
      <w:pPr>
        <w:pStyle w:val="ListBullet"/>
      </w:pPr>
      <w:r>
        <w:t>en Jubileos, el jefe de los espíritus, Mastema, pide que algunos queden con él para obedecer su voz, y se le concede «la décima parte»</w:t>
      </w:r>
      <w:r>
        <w:rPr>
          <w:vertAlign w:val="superscript"/>
        </w:rPr>
        <w:t>◦</w:t>
      </w:r>
      <w:r>
        <w:t>.</w:t>
      </w:r>
    </w:p>
    <w:p>
      <w:r>
        <w:rPr>
          <w:b/>
        </w:rPr>
        <w:t>La Biblia común, con el mismo aviso:</w:t>
      </w:r>
    </w:p>
    <w:p>
      <w:pPr>
        <w:pStyle w:val="ListBullet"/>
      </w:pPr>
      <w:r>
        <w:t>«Sacrificaron á los diablos, no á Dios»</w:t>
      </w:r>
      <w:r>
        <w:rPr>
          <w:vertAlign w:val="superscript"/>
        </w:rPr>
        <w:t>◦</w:t>
      </w:r>
      <w:r>
        <w:t>;</w:t>
      </w:r>
    </w:p>
    <w:p>
      <w:pPr>
        <w:pStyle w:val="ListBullet"/>
      </w:pPr>
      <w:r>
        <w:t>«lo que los Gentiles sacrifican, á los demonios lo sacrifican, y no á Dios»</w:t>
      </w:r>
      <w:r>
        <w:rPr>
          <w:vertAlign w:val="superscript"/>
        </w:rPr>
        <w:t>◦</w:t>
      </w:r>
      <w:r>
        <w:t>;</w:t>
      </w:r>
    </w:p>
    <w:p>
      <w:pPr>
        <w:pStyle w:val="ListBullet"/>
      </w:pPr>
      <w:r>
        <w:t>«el mismo Satanás se transfigura en ángel de luz»</w:t>
      </w:r>
      <w:r>
        <w:rPr>
          <w:vertAlign w:val="superscript"/>
        </w:rPr>
        <w:t>◦</w:t>
      </w:r>
      <w:r>
        <w:t>.</w:t>
      </w:r>
    </w:p>
    <w:p>
      <w:r>
        <w:t>Por eso se pide probar los espíritus (</w:t>
      </w:r>
      <w:r>
        <w:t>1.3</w:t>
      </w:r>
      <w:r>
        <w:t>).</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rPr>
          <w:vertAlign w:val="superscript"/>
        </w:rPr>
        <w:t>◦</w:t>
      </w:r>
      <w:r>
        <w:t>. La Biblia común guarda el mismo aviso: cuando Israel pidió un rey, Dios dijo a Samuel: «no te han desechado á ti, sino á mí me han desechado, para que no reine sobre ellos»</w:t>
      </w:r>
      <w:r>
        <w:rPr>
          <w:vertAlign w:val="superscript"/>
        </w:rPr>
        <w:t>◦</w:t>
      </w:r>
      <w:r>
        <w:t>. Es el paso del aprendiz al ser superior: un poder humano que se pone en el lugar de la ley de Dios. Esto apunta hacia el padre de la mentira (Jn 8:44).</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rPr>
          <w:vertAlign w:val="superscript"/>
        </w:rPr>
        <w:t>◦</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rPr>
          <w:vertAlign w:val="superscript"/>
        </w:rPr>
        <w:t>◦</w:t>
      </w:r>
      <w:r>
        <w:t>; «se levantarán contra los hijos de los hombres y contra las mujeres»</w:t>
      </w:r>
      <w:r>
        <w:rPr>
          <w:vertAlign w:val="superscript"/>
        </w:rPr>
        <w:t>◦</w:t>
      </w:r>
      <w:r>
        <w:t>; y destruirán «hasta el día de la consumación»</w:t>
      </w:r>
      <w:r>
        <w:rPr>
          <w:vertAlign w:val="superscript"/>
        </w:rPr>
        <w:t>◦</w:t>
      </w:r>
      <w:r>
        <w:t>. En Jubileos, nueve partes fueron atadas, «y dejamos una décima parte de ellos, para que estuvieran sujetos a Satán en la tierra»</w:t>
      </w:r>
      <w:r>
        <w:rPr>
          <w:vertAlign w:val="superscript"/>
        </w:rPr>
        <w:t>◦</w:t>
      </w:r>
      <w:r>
        <w:t>.</w:t>
      </w:r>
    </w:p>
    <w:p>
      <w:pPr>
        <w:pStyle w:val="ListBullet"/>
      </w:pPr>
      <w:r>
        <w:rPr>
          <w:b/>
        </w:rPr>
        <w:t>Y Satán y sus ángeles fueron arrojados a la tierra.</w:t>
      </w:r>
      <w:r>
        <w:t xml:space="preserve"> El dragón «fué arrojado en tierra, y sus ángeles fueron arrojados con él»</w:t>
      </w:r>
      <w:r>
        <w:rPr>
          <w:vertAlign w:val="superscript"/>
        </w:rPr>
        <w:t>◦</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rPr>
          <w:vertAlign w:val="superscript"/>
        </w:rPr>
        <w:t>◦</w:t>
      </w:r>
      <w:r>
        <w:t>; y «Velad y orad, para que no entréis en tentación»</w:t>
      </w:r>
      <w:r>
        <w:rPr>
          <w:vertAlign w:val="superscript"/>
        </w:rPr>
        <w:t>◦</w:t>
      </w:r>
      <w:r>
        <w:t>;</w:t>
      </w:r>
    </w:p>
    <w:p>
      <w:pPr>
        <w:pStyle w:val="ListBullet"/>
      </w:pPr>
      <w:r>
        <w:rPr>
          <w:b/>
        </w:rPr>
        <w:t>no darle sitio:</w:t>
      </w:r>
      <w:r>
        <w:t xml:space="preserve"> «Ni deis lugar al diablo»</w:t>
      </w:r>
      <w:r>
        <w:rPr>
          <w:vertAlign w:val="superscript"/>
        </w:rPr>
        <w:t>◦</w:t>
      </w:r>
      <w:r>
        <w:t>; «resistid al diablo, y de vosotros huirá»</w:t>
      </w:r>
      <w:r>
        <w:rPr>
          <w:vertAlign w:val="superscript"/>
        </w:rPr>
        <w:t>◦</w:t>
      </w:r>
      <w:r>
        <w:t>;</w:t>
      </w:r>
    </w:p>
    <w:p>
      <w:pPr>
        <w:pStyle w:val="ListBullet"/>
      </w:pPr>
      <w:r>
        <w:rPr>
          <w:b/>
        </w:rPr>
        <w:t>conocer sus maniobras:</w:t>
      </w:r>
      <w:r>
        <w:t xml:space="preserve"> «no ignoramos sus maquinaciones»</w:t>
      </w:r>
      <w:r>
        <w:rPr>
          <w:vertAlign w:val="superscript"/>
        </w:rPr>
        <w:t>◦</w:t>
      </w:r>
      <w:r>
        <w:t>; y vestir «toda la armadura de Dios, para que podáis estar firmes contra las asechanzas del diablo»</w:t>
      </w:r>
      <w:r>
        <w:rPr>
          <w:vertAlign w:val="superscript"/>
        </w:rPr>
        <w:t>◦</w:t>
      </w:r>
      <w:r>
        <w:t>;</w:t>
      </w:r>
    </w:p>
    <w:p>
      <w:pPr>
        <w:pStyle w:val="ListBullet"/>
      </w:pPr>
      <w:r>
        <w:rPr>
          <w:b/>
        </w:rPr>
        <w:t>refugiarse en Dios:</w:t>
      </w:r>
      <w:r>
        <w:t xml:space="preserve"> «Si el Demonio te incita al mal, busca refugio en Alá»</w:t>
      </w:r>
      <w:r>
        <w:rPr>
          <w:vertAlign w:val="superscript"/>
        </w:rPr>
        <w:t>◦</w:t>
      </w:r>
      <w:r>
        <w:t>; y «Cuando los que temen a Alá sufren una aparición del Demonio, se dejan amonestar y ven claro»</w:t>
      </w:r>
      <w:r>
        <w:rPr>
          <w:vertAlign w:val="superscript"/>
        </w:rPr>
        <w:t>◦</w:t>
      </w:r>
      <w:r>
        <w:t>;</w:t>
      </w:r>
    </w:p>
    <w:p>
      <w:pPr>
        <w:pStyle w:val="ListBullet"/>
      </w:pPr>
      <w:r>
        <w:rPr>
          <w:b/>
        </w:rPr>
        <w:t>no consentir:</w:t>
      </w:r>
      <w:r>
        <w:t xml:space="preserve"> «Él no puede nada contra los que creen y confían en su Señor. Sólo tiene poder contra los que traban amistad con él»</w:t>
      </w:r>
      <w:r>
        <w:rPr>
          <w:vertAlign w:val="superscript"/>
        </w:rPr>
        <w:t>◦</w:t>
      </w:r>
      <w:r>
        <w:t>;</w:t>
      </w:r>
    </w:p>
    <w:p>
      <w:pPr>
        <w:pStyle w:val="ListBullet"/>
      </w:pPr>
      <w:r>
        <w:rPr>
          <w:b/>
        </w:rPr>
        <w:t>la sabiduría:</w:t>
      </w:r>
      <w:r>
        <w:t xml:space="preserve"> ante el ejército de Mara, que el mundo no vence, el Buda dice: «lo romperé con la sabiduría, como una piedra rompe una vasija sin cocer»</w:t>
      </w:r>
      <w:r>
        <w:rPr>
          <w:vertAlign w:val="superscript"/>
        </w:rPr>
        <w:t>◦</w:t>
      </w:r>
      <w:r>
        <w:t>;</w:t>
      </w:r>
    </w:p>
    <w:p>
      <w:pPr>
        <w:pStyle w:val="ListBullet"/>
      </w:pPr>
      <w:r>
        <w:rPr>
          <w:b/>
        </w:rPr>
        <w:t>cerrar las tres puertas:</w:t>
      </w:r>
      <w:r>
        <w:t xml:space="preserve"> «Triple es esta puerta del infierno, que destruye el alma: el deseo, la ira y la codicia; por eso hay que dejar las tres»</w:t>
      </w:r>
      <w:r>
        <w:rPr>
          <w:vertAlign w:val="superscript"/>
        </w:rPr>
        <w:t>◦</w:t>
      </w:r>
      <w:r>
        <w:t>;</w:t>
      </w:r>
    </w:p>
    <w:p>
      <w:pPr>
        <w:pStyle w:val="ListBullet"/>
      </w:pPr>
      <w:r>
        <w:rPr>
          <w:b/>
        </w:rPr>
        <w:t>y el conocimiento, como medicina:</w:t>
      </w:r>
      <w:r>
        <w:t xml:space="preserve"> a Noé se le explicaron «todas las medicinas de sus males, junto con sus seducciones», para que pudiera curarlos</w:t>
      </w:r>
      <w:r>
        <w:rPr>
          <w:vertAlign w:val="superscript"/>
        </w:rPr>
        <w:t>◦</w:t>
      </w:r>
      <w:r>
        <w:t>.</w:t>
      </w:r>
    </w:p>
    <w:p>
      <w:r>
        <w:t>Y el criterio de siempre: probar los espíritus (</w:t>
      </w:r>
      <w:r>
        <w:t>1.3</w:t>
      </w:r>
      <w:r>
        <w:t>) y mirar los frutos (</w:t>
      </w:r>
      <w:r>
        <w:t>0.5</w:t>
      </w:r>
      <w:r>
        <w:t>).</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rPr>
          <w:vertAlign w:val="superscript"/>
        </w:rPr>
        <w:t>◦</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rPr>
          <w:vertAlign w:val="superscript"/>
        </w:rPr>
        <w:t>◦</w:t>
      </w:r>
      <w:r>
        <w:t>. Dos: sin autoridad, porque quien propone no es el autor de la orden y promete lo que solo la autoridad original podría dar: «seréis como dioses»</w:t>
      </w:r>
      <w:r>
        <w:rPr>
          <w:vertAlign w:val="superscript"/>
        </w:rPr>
        <w:t>◦</w:t>
      </w:r>
      <w:r>
        <w:t>. Tres: un motivo atribuido y no comprobable, «Mas sabe Dios que…»</w:t>
      </w:r>
      <w:r>
        <w:rPr>
          <w:vertAlign w:val="superscript"/>
        </w:rPr>
        <w:t>◦</w:t>
      </w:r>
      <w:r>
        <w:t>. Cuatro: los frutos, que son miedo, escondite, acusación en cadena y expulsión</w:t>
      </w:r>
      <w:r>
        <w:rPr>
          <w:vertAlign w:val="superscript"/>
        </w:rPr>
        <w:t>◦</w:t>
      </w:r>
      <w:r>
        <w:t>: daña, y no hay reciprocidad ni beneficio mutuo. Además, el texto no muestra ninguna necesidad: tenían todos los demás árboles, «De todo árbol del huerto comerás»</w:t>
      </w:r>
      <w:r>
        <w:rPr>
          <w:vertAlign w:val="superscript"/>
        </w:rPr>
        <w:t>◦</w:t>
      </w:r>
      <w:r>
        <w:t>; lo que mueve es el deseo, «agradable á los ojos»</w:t>
      </w:r>
      <w:r>
        <w:rPr>
          <w:vertAlign w:val="superscript"/>
        </w:rPr>
        <w:t>◦</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rPr>
          <w:vertAlign w:val="superscript"/>
        </w:rPr>
        <w:t>◦</w:t>
      </w:r>
      <w:r>
        <w:t>. Un juego con criba selecciona por poder, que es la lógica de Nimrod, «vigoroso cazador delante de Jehová»</w:t>
      </w:r>
      <w:r>
        <w:rPr>
          <w:vertAlign w:val="superscript"/>
        </w:rPr>
        <w:t>◦</w:t>
      </w:r>
      <w:r>
        <w:t>, y la de Babel: «hagámonos un nombre»</w:t>
      </w:r>
      <w:r>
        <w:rPr>
          <w:vertAlign w:val="superscript"/>
        </w:rPr>
        <w:t>◦</w:t>
      </w:r>
      <w:r>
        <w:t>. Es lectura, no dato: el texto no habla de niveles ni de un juego.</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rPr>
          <w:vertAlign w:val="superscript"/>
        </w:rPr>
        <w:t>◦</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rPr>
          <w:vertAlign w:val="superscript"/>
        </w:rPr>
        <w:t>◦</w:t>
      </w:r>
      <w:r>
        <w:t>;</w:t>
      </w:r>
    </w:p>
    <w:p>
      <w:pPr>
        <w:pStyle w:val="ListBullet"/>
      </w:pPr>
      <w:r>
        <w:t>«errar es posible de muchas maneras […]; acertar, de una sola»</w:t>
      </w:r>
      <w:r>
        <w:rPr>
          <w:vertAlign w:val="superscript"/>
        </w:rPr>
        <w:t>◦</w:t>
      </w:r>
      <w:r>
        <w:t>;</w:t>
      </w:r>
    </w:p>
    <w:p>
      <w:pPr>
        <w:pStyle w:val="ListBullet"/>
      </w:pPr>
      <w:r>
        <w:t>y da dos ejemplos: en el miedo y la confianza, el término medio es la valentía, y los extremos, el temerario y el cobarde; en el dar y recibir dinero, es la generosidad, y los extremos, el derroche y la tacañería</w:t>
      </w:r>
      <w:r>
        <w:rPr>
          <w:vertAlign w:val="superscript"/>
        </w:rPr>
        <w:t>◦</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rPr>
          <w:vertAlign w:val="superscript"/>
        </w:rPr>
        <w:t>◦</w:t>
      </w:r>
      <w:r>
        <w:t>.</w:t>
      </w:r>
    </w:p>
    <w:p>
      <w:r>
        <w:rPr>
          <w:b/>
        </w:rPr>
        <w:t>La mentira, del lado del mal, en otras tradiciones:</w:t>
      </w:r>
    </w:p>
    <w:p>
      <w:pPr>
        <w:pStyle w:val="ListBullet"/>
      </w:pPr>
      <w:r>
        <w:rPr>
          <w:b/>
        </w:rPr>
        <w:t>Persia:</w:t>
      </w:r>
      <w:r>
        <w:t xml:space="preserve"> de los dos espíritus, «el que siguió la Mentira eligió hacer lo peor»</w:t>
      </w:r>
      <w:r>
        <w:rPr>
          <w:vertAlign w:val="superscript"/>
        </w:rPr>
        <w:t>◦</w:t>
      </w:r>
      <w:r>
        <w:t>;</w:t>
      </w:r>
    </w:p>
    <w:p>
      <w:pPr>
        <w:pStyle w:val="ListBullet"/>
      </w:pPr>
      <w:r>
        <w:rPr>
          <w:b/>
        </w:rPr>
        <w:t>la India:</w:t>
      </w:r>
      <w:r>
        <w:t xml:space="preserve"> los de condición demoníaca dicen que el mundo «no tiene verdad, ni fundamento, ni Señor»</w:t>
      </w:r>
      <w:r>
        <w:rPr>
          <w:vertAlign w:val="superscript"/>
        </w:rPr>
        <w:t>◦</w:t>
      </w:r>
      <w:r>
        <w:t>; y la Upanishad responde: «solo la verdad vence, no la mentira»</w:t>
      </w:r>
      <w:r>
        <w:rPr>
          <w:vertAlign w:val="superscript"/>
        </w:rPr>
        <w:t>◦</w:t>
      </w:r>
      <w:r>
        <w:t>;</w:t>
      </w:r>
    </w:p>
    <w:p>
      <w:pPr>
        <w:pStyle w:val="ListBullet"/>
      </w:pPr>
      <w:r>
        <w:rPr>
          <w:b/>
        </w:rPr>
        <w:t>el budismo:</w:t>
      </w:r>
      <w:r>
        <w:t xml:space="preserve"> «vence al mentiroso con la verdad»</w:t>
      </w:r>
      <w:r>
        <w:rPr>
          <w:vertAlign w:val="superscript"/>
        </w:rPr>
        <w:t>◦</w:t>
      </w:r>
      <w:r>
        <w:t>;</w:t>
      </w:r>
    </w:p>
    <w:p>
      <w:pPr>
        <w:pStyle w:val="ListBullet"/>
      </w:pPr>
      <w:r>
        <w:rPr>
          <w:b/>
        </w:rPr>
        <w:t>el islam:</w:t>
      </w:r>
      <w:r>
        <w:t xml:space="preserve"> «¡Ha venido la Verdad y se ha disipado lo falso! ¡Lo falso tiene que disiparse!»</w:t>
      </w:r>
      <w:r>
        <w:rPr>
          <w:vertAlign w:val="superscript"/>
        </w:rPr>
        <w:t>◦</w:t>
      </w:r>
      <w:r>
        <w:t>.</w:t>
      </w:r>
    </w:p>
    <w:p>
      <w:r>
        <w:t>Y la verdad libera, pero con una condición: «Si vosotros permaneciereis en mi palabra, seréis verdaderamente mis discípulos; Y conoceréis la verdad, y la verdad os libertará»</w:t>
      </w:r>
      <w:r>
        <w:rPr>
          <w:vertAlign w:val="superscript"/>
        </w:rPr>
        <w:t>◦</w:t>
      </w:r>
      <w:r>
        <w:t>.</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rPr>
          <w:vertAlign w:val="superscript"/>
        </w:rPr>
        <w:t>◦</w:t>
      </w:r>
      <w:r>
        <w:t>;</w:t>
      </w:r>
    </w:p>
    <w:p>
      <w:pPr>
        <w:pStyle w:val="ListBullet"/>
      </w:pPr>
      <w:r>
        <w:rPr>
          <w:b/>
        </w:rPr>
        <w:t>el Evangelio:</w:t>
      </w:r>
      <w:r>
        <w:t xml:space="preserve"> «todo aquel que hace pecado, es siervo de pecado»</w:t>
      </w:r>
      <w:r>
        <w:rPr>
          <w:vertAlign w:val="superscript"/>
        </w:rPr>
        <w:t>◦</w:t>
      </w:r>
      <w:r>
        <w:t>; y Pablo: «sois siervos de aquel á quien obedecéis»</w:t>
      </w:r>
      <w:r>
        <w:rPr>
          <w:vertAlign w:val="superscript"/>
        </w:rPr>
        <w:t>◦</w:t>
      </w:r>
      <w:r>
        <w:t>. De los que hablan mentira dice que acaban «teniendo cauterizada la conciencia»</w:t>
      </w:r>
      <w:r>
        <w:rPr>
          <w:vertAlign w:val="superscript"/>
        </w:rPr>
        <w:t>◦</w:t>
      </w:r>
      <w:r>
        <w:t>;</w:t>
      </w:r>
    </w:p>
    <w:p>
      <w:pPr>
        <w:pStyle w:val="ListBullet"/>
      </w:pPr>
      <w:r>
        <w:rPr>
          <w:b/>
        </w:rPr>
        <w:t>el islam:</w:t>
      </w:r>
      <w:r>
        <w:t xml:space="preserve"> «Lo que han cometido ha cubierto de herrumbre sus corazones»</w:t>
      </w:r>
      <w:r>
        <w:rPr>
          <w:vertAlign w:val="superscript"/>
        </w:rPr>
        <w:t>◦</w:t>
      </w:r>
      <w:r>
        <w:t>;</w:t>
      </w:r>
    </w:p>
    <w:p>
      <w:pPr>
        <w:pStyle w:val="ListBullet"/>
      </w:pPr>
      <w:r>
        <w:rPr>
          <w:b/>
        </w:rPr>
        <w:t>el budismo:</w:t>
      </w:r>
      <w:r>
        <w:t xml:space="preserve"> «No tengas en poco el mal […]: gota a gota se llena la jarra de agua; el necio se llena de mal, juntándolo poco a poco»</w:t>
      </w:r>
      <w:r>
        <w:rPr>
          <w:vertAlign w:val="superscript"/>
        </w:rPr>
        <w:t>◦</w:t>
      </w:r>
      <w:r>
        <w:t>.</w:t>
      </w:r>
    </w:p>
    <w:p>
      <w:r>
        <w:t>Y lo mismo vale para el bien: el grano, por repetición, hace el bien (</w:t>
      </w:r>
      <w:r>
        <w:t>2.5</w:t>
      </w:r>
      <w:r>
        <w:t>).</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rPr>
          <w:vertAlign w:val="superscript"/>
        </w:rPr>
        <w:t>◦</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p>
    <w:p>
      <w:pPr>
        <w:pStyle w:val="ListBullet"/>
      </w:pPr>
      <w:r>
        <w:rPr>
          <w:b/>
        </w:rPr>
        <w:t>El Estado actúa por cargos con nombre, y la ley prevé que respondan.</w:t>
      </w:r>
      <w:r>
        <w:t xml:space="preserve"> Esa defensa, con sus artículos, se oye en las cuestiones previas (</w:t>
      </w:r>
      <w:r>
        <w:t>11.2</w:t>
      </w:r>
      <w:r>
        <w:t xml:space="preserve">). </w:t>
      </w:r>
    </w:p>
    <w:p>
      <w:pPr>
        <w:pStyle w:val="ListBullet"/>
      </w:pPr>
      <w:r>
        <w:rPr>
          <w:b/>
        </w:rPr>
        <w:t>Que el Estado solo exista porque se cree en él es una posición doctrinal,</w:t>
      </w:r>
      <w:r>
        <w:t xml:space="preserve"> no un consenso. Las conclusiones de la obra no dependen de ella, sino de hechos que se pueden comprobar. </w:t>
      </w:r>
    </w:p>
    <w:p>
      <w:pPr>
        <w:pStyle w:val="ListBullet"/>
      </w:pPr>
      <w:r>
        <w:rPr>
          <w:b/>
        </w:rPr>
        <w:t>El dualismo puro es la excepción:</w:t>
      </w:r>
      <w:r>
        <w:t xml:space="preserve"> solo dos de las nueve tradiciones lo sostienen. Presentarlo todo como una guerra de dos poderes iguales sería falsear las fuentes. </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rPr>
          <w:vertAlign w:val="superscript"/>
        </w:rPr>
        <w:t>◦</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rPr>
          <w:vertAlign w:val="superscript"/>
        </w:rPr>
        <w:t>◦</w:t>
      </w:r>
      <w:r>
        <w:t>, y hoy «está compuesta, exclusivamente, por deuda pública española»</w:t>
      </w:r>
      <w:r>
        <w:rPr>
          <w:vertAlign w:val="superscript"/>
        </w:rPr>
        <w:t>◦</w:t>
      </w:r>
      <w:r>
        <w:t>. En el comité que decide se sienta el Director General del Tesoro</w:t>
      </w:r>
      <w:r>
        <w:rPr>
          <w:vertAlign w:val="superscript"/>
        </w:rPr>
        <w:t>◦</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rPr>
          <w:vertAlign w:val="superscript"/>
        </w:rPr>
        <w:t>◦</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rPr>
          <w:vertAlign w:val="superscript"/>
        </w:rPr>
        <w:t>◦</w:t>
      </w:r>
      <w:r>
        <w:t>, y «El mínimo del contribuyente será, con carácter general, de 5.550 euros anuales»</w:t>
      </w:r>
      <w:r>
        <w:rPr>
          <w:vertAlign w:val="superscript"/>
        </w:rPr>
        <w:t>◦</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rPr>
          <w:vertAlign w:val="superscript"/>
        </w:rPr>
        <w:t>◦</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rPr>
          <w:vertAlign w:val="superscript"/>
        </w:rPr>
        <w:t>◦</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rPr>
          <w:vertAlign w:val="superscript"/>
        </w:rPr>
        <w:t>◦</w:t>
      </w:r>
      <w:r>
        <w:t xml:space="preserve"> y el cálculo de la plusvalía municipal</w:t>
      </w:r>
      <w:r>
        <w:rPr>
          <w:vertAlign w:val="superscript"/>
        </w:rPr>
        <w:t>◦</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rPr>
          <w:vertAlign w:val="superscript"/>
        </w:rPr>
        <w:t>◦</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rPr>
          <w:vertAlign w:val="superscript"/>
        </w:rPr>
        <w:t>◦</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rPr>
          <w:vertAlign w:val="superscript"/>
        </w:rPr>
        <w:t>◦</w:t>
      </w:r>
      <w:r>
        <w:t>. (</w:t>
      </w:r>
      <w:r>
        <w:t>8.2</w:t>
      </w:r>
      <w:r>
        <w:t xml:space="preserve"> y </w:t>
      </w:r>
      <w:r>
        <w:t>8.3</w:t>
      </w:r>
      <w:r>
        <w:t>)</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rPr>
          <w:vertAlign w:val="superscript"/>
        </w:rPr>
        <w:t>◦</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rPr>
          <w:vertAlign w:val="superscript"/>
        </w:rPr>
        <w:t>◦</w:t>
      </w:r>
      <w:r>
        <w:t>, y el Constitucional ha anulado al menos cinco veces decretos-leyes por no justificar esa urgencia: uno entero, en 2007</w:t>
      </w:r>
      <w:r>
        <w:rPr>
          <w:vertAlign w:val="superscript"/>
        </w:rPr>
        <w:t>◦</w:t>
      </w:r>
      <w:r>
        <w:t>, y partes de otros cuatro: dos en 2011</w:t>
      </w:r>
      <w:r>
        <w:rPr>
          <w:vertAlign w:val="superscript"/>
        </w:rPr>
        <w:t>◦</w:t>
      </w:r>
      <w:r>
        <w:t>, uno en 2018</w:t>
      </w:r>
      <w:r>
        <w:rPr>
          <w:vertAlign w:val="superscript"/>
        </w:rPr>
        <w:t>◦</w:t>
      </w:r>
      <w:r>
        <w:t xml:space="preserve"> y otro en 2020</w:t>
      </w:r>
      <w:r>
        <w:rPr>
          <w:vertAlign w:val="superscript"/>
        </w:rPr>
        <w:t>◦</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rPr>
          <w:vertAlign w:val="superscript"/>
        </w:rPr>
        <w:t>◦</w:t>
      </w:r>
      <w:r>
        <w:t>, y ella misma puede ejecutarlos</w:t>
      </w:r>
      <w:r>
        <w:rPr>
          <w:vertAlign w:val="superscript"/>
        </w:rPr>
        <w:t>◦</w:t>
      </w:r>
      <w:r>
        <w:t>: embarga sin juez previo. Un particular necesita siempre un título, porque «La acción ejecutiva deberá fundarse en un título que tenga aparejada ejecución»</w:t>
      </w:r>
      <w:r>
        <w:rPr>
          <w:vertAlign w:val="superscript"/>
        </w:rPr>
        <w:t>◦</w:t>
      </w:r>
      <w:r>
        <w:t>: una sentencia, un laudo o una escritura. Al ciudadano que paga tarde se le aplica un recargo del 5, el 10 o el 20 %</w:t>
      </w:r>
      <w:r>
        <w:rPr>
          <w:vertAlign w:val="superscript"/>
        </w:rPr>
        <w:t>◦</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rPr>
          <w:vertAlign w:val="superscript"/>
        </w:rPr>
        <w:t>◦</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rPr>
          <w:vertAlign w:val="superscript"/>
        </w:rPr>
        <w:t>◦</w:t>
      </w:r>
      <w:r>
        <w:t>, y durante el mandato nadie los puede apartar, salvo en los casos tasados del Reglamento</w:t>
      </w:r>
      <w:r>
        <w:rPr>
          <w:vertAlign w:val="superscript"/>
        </w:rPr>
        <w:t>◦</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rPr>
          <w:vertAlign w:val="superscript"/>
        </w:rPr>
        <w:t>◦</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rPr>
          <w:vertAlign w:val="superscript"/>
        </w:rPr>
        <w:t>◦</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y llamaba «inflacionista» a quien «favorece una emisión aumentada o muy grande de papel moneda»</w:t>
      </w:r>
      <w:r>
        <w:rPr>
          <w:vertAlign w:val="superscript"/>
        </w:rPr>
        <w:t>◦</w:t>
      </w:r>
      <w:r>
        <w:t>.</w:t>
      </w:r>
    </w:p>
    <w:p>
      <w:pPr>
        <w:pStyle w:val="ListBullet2"/>
      </w:pPr>
      <w:r>
        <w:t>En español, en 1914, «inflación» solo era «Acción y efecto de inflar» y, en sentido figurado, «Engreimiento y vanidad»</w:t>
      </w:r>
      <w:r>
        <w:rPr>
          <w:vertAlign w:val="superscript"/>
        </w:rPr>
        <w:t>◦</w:t>
      </w:r>
      <w:r>
        <w:t>.</w:t>
      </w:r>
    </w:p>
    <w:p>
      <w:pPr>
        <w:pStyle w:val="ListBullet2"/>
      </w:pPr>
      <w:r>
        <w:t>En 2001, la Academia la definía en economía como «Elevación notable del nivel de precios con efectos desfavorables para la economía de un país»</w:t>
      </w:r>
      <w:r>
        <w:rPr>
          <w:vertAlign w:val="superscript"/>
        </w:rPr>
        <w:t>◦</w:t>
      </w:r>
      <w:r>
        <w:t>.</w:t>
      </w:r>
    </w:p>
    <w:p>
      <w:pPr>
        <w:pStyle w:val="ListBullet2"/>
      </w:pPr>
      <w:r>
        <w:t>Hoy, como «Elevación del nivel general de precios»</w:t>
      </w:r>
      <w:r>
        <w:rPr>
          <w:vertAlign w:val="superscript"/>
        </w:rPr>
        <w:t>◦</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rPr>
          <w:vertAlign w:val="superscript"/>
        </w:rPr>
        <w:t>◦</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rPr>
          <w:vertAlign w:val="superscript"/>
        </w:rPr>
        <w:t>◦</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rPr>
          <w:vertAlign w:val="superscript"/>
        </w:rPr>
        <w:t>◦</w:t>
      </w:r>
      <w:r>
        <w:t>, y una información de transparencia publicada «de una manera clara, estructurada y entendible» y «comprensible, de acceso fácil y gratuito»</w:t>
      </w:r>
      <w:r>
        <w:rPr>
          <w:vertAlign w:val="superscript"/>
        </w:rPr>
        <w:t>◦</w:t>
      </w:r>
      <w:r>
        <w:t>. La obra no ha buscado en todo el ordenamiento una obligación expresa de explicar las normas en lenguaje llano a quien no es jurista.</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y cargando a los que vienen con deudas que les roban el futuro. Si Dios es lo natural, lo que tuerce lo natural para protegerse va contra Él: esto apunta hacia el padre de la mentira (Jn 8:44). «Por sus frutos los conoceréis» (Mt 7:16).</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En el derecho es, además, una regla: la ley manda tener algo por cierto mientras no se pruebe lo contrario, y así decide quién tiene que probar. Por eso cada presunción reparte una carga: la de la prueba.</w:t>
      </w:r>
    </w:p>
    <w:p>
      <w:r>
        <w:rPr>
          <w:b/>
        </w:rPr>
        <w:t>Contra natura.</w:t>
      </w:r>
      <w:r>
        <w:t xml:space="preserve"> Desde aquí, la edición llama «contra natura» a lo que va contra la ley natural (</w:t>
      </w:r>
      <w:r>
        <w:t>1.4</w:t>
      </w:r>
      <w:r>
        <w:t>). Se dice solo de normas e instituciones, nunca de personas ni de la conducta de ningún colectivo.</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rPr>
          <w:vertAlign w:val="superscript"/>
        </w:rPr>
        <w:t>◦</w:t>
      </w:r>
      <w:r>
        <w:t>, y «Carecerán de validez las disposiciones que contradigan otra de rango superior»</w:t>
      </w:r>
      <w:r>
        <w:rPr>
          <w:vertAlign w:val="superscript"/>
        </w:rPr>
        <w:t>◦</w:t>
      </w:r>
      <w:r>
        <w:t>: la jerarquía termina en la Constitución. «Ninguna confesión tendrá carácter estatal»</w:t>
      </w:r>
      <w:r>
        <w:rPr>
          <w:vertAlign w:val="superscript"/>
        </w:rPr>
        <w:t>◦</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rPr>
          <w:vertAlign w:val="superscript"/>
        </w:rPr>
        <w:t>◦</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rPr>
          <w:vertAlign w:val="superscript"/>
        </w:rPr>
        <w:t>◦</w:t>
      </w:r>
      <w:r>
        <w:t>. La letra sin justicia deja fuera lo más importante.</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rPr>
          <w:vertAlign w:val="superscript"/>
        </w:rPr>
        <w:t>◦</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rPr>
          <w:vertAlign w:val="superscript"/>
        </w:rPr>
        <w:t>◦</w:t>
      </w:r>
      <w:r>
        <w:t xml:space="preserve">. </w:t>
      </w:r>
    </w:p>
    <w:p>
      <w:pPr>
        <w:pStyle w:val="ListBullet"/>
      </w:pPr>
      <w:r>
        <w:rPr>
          <w:b/>
        </w:rPr>
        <w:t>El contrato social.</w:t>
      </w:r>
      <w:r>
        <w:t xml:space="preserve"> Se presume que existe un pacto que todos aceptamos. Ya se vio: nadie lo firmó (</w:t>
      </w:r>
      <w:r>
        <w:t>5.1</w:t>
      </w:r>
      <w:r>
        <w:t xml:space="preserve">, n.º 13). </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rPr>
          <w:vertAlign w:val="superscript"/>
        </w:rPr>
        <w:t>◦</w:t>
      </w:r>
      <w:r>
        <w:t>. Y Mencio: el pueblo es lo más valioso; el gobernante, lo de menos (</w:t>
      </w:r>
      <w:r>
        <w:t>3.2</w:t>
      </w:r>
      <w:r>
        <w:t>, P1).</w:t>
      </w:r>
    </w:p>
    <w:p>
      <w:pPr>
        <w:pStyle w:val="ListBullet"/>
      </w:pPr>
      <w:r>
        <w:t>A la segunda: «Mas sea vuestro hablar: Sí, sí; No, no; porque lo que es más de esto, de mal procede»</w:t>
      </w:r>
      <w:r>
        <w:rPr>
          <w:vertAlign w:val="superscript"/>
        </w:rPr>
        <w:t>◦</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p>
    <w:p>
      <w:pPr>
        <w:pStyle w:val="ListBullet"/>
      </w:pPr>
      <w:r>
        <w:rPr>
          <w:b/>
        </w:rPr>
        <w:t>Todos conocen todas las leyes.</w:t>
      </w:r>
      <w:r>
        <w:t xml:space="preserve"> Se presume que cada persona conoce el ordenamiento entero. «La ignorancia de las leyes no excusa de su cumplimiento»</w:t>
      </w:r>
      <w:r>
        <w:rPr>
          <w:vertAlign w:val="superscript"/>
        </w:rPr>
        <w:t>◦</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rPr>
          <w:vertAlign w:val="superscript"/>
        </w:rPr>
        <w:t>◦</w:t>
      </w:r>
      <w:r>
        <w:t>. Y en China y en Roma, más leyes, más pobreza y más corrupción (</w:t>
      </w:r>
      <w:r>
        <w:t>3.2</w:t>
      </w:r>
      <w:r>
        <w:t>, P9).</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rPr>
          <w:vertAlign w:val="superscript"/>
        </w:rPr>
        <w:t>◦</w:t>
      </w:r>
      <w:r>
        <w:t xml:space="preserve">. </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rPr>
          <w:vertAlign w:val="superscript"/>
        </w:rPr>
        <w:t>◦</w:t>
      </w:r>
      <w:r>
        <w:t xml:space="preserve">: es el ciudadano quien tiene que demostrar que no es así. </w:t>
      </w:r>
    </w:p>
    <w:p>
      <w:pPr>
        <w:pStyle w:val="ListBullet"/>
      </w:pPr>
      <w:r>
        <w:rPr>
          <w:b/>
        </w:rPr>
        <w:t>El cobro sin juez.</w:t>
      </w:r>
      <w:r>
        <w:t xml:space="preserve"> Se presume que el Estado puede ejecutar por sí mismo lo que reclama. Ya se vio (</w:t>
      </w:r>
      <w:r>
        <w:t>5.1</w:t>
      </w:r>
      <w:r>
        <w:t xml:space="preserve">, n.º 15). </w:t>
      </w:r>
    </w:p>
    <w:p>
      <w:pPr>
        <w:pStyle w:val="ListBullet"/>
      </w:pPr>
      <w:r>
        <w:rPr>
          <w:b/>
        </w:rPr>
        <w:t>La urgencia.</w:t>
      </w:r>
      <w:r>
        <w:t xml:space="preserve"> Se presume que el Gobierno legisla por decreto solo cuando hay urgencia. Ya se vio (</w:t>
      </w:r>
      <w:r>
        <w:t>5.1</w:t>
      </w:r>
      <w:r>
        <w:t xml:space="preserve">, n.º 14). </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rPr>
          <w:vertAlign w:val="superscript"/>
        </w:rPr>
        <w:t>◦</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rPr>
          <w:vertAlign w:val="superscript"/>
        </w:rPr>
        <w:t>◦</w:t>
      </w:r>
      <w:r>
        <w:t>. La ley de Dios no deja ni al acreedor entrar en casa del deudor a tomar la prenda.</w:t>
      </w:r>
    </w:p>
    <w:p>
      <w:pPr>
        <w:pStyle w:val="ListBullet"/>
      </w:pPr>
      <w:r>
        <w:t>A la cuarta: «todo presuroso, indefectiblemente á pobreza»</w:t>
      </w:r>
      <w:r>
        <w:rPr>
          <w:vertAlign w:val="superscript"/>
        </w:rPr>
        <w:t>◦</w:t>
      </w:r>
      <w:r>
        <w:t>.</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rPr>
          <w:vertAlign w:val="superscript"/>
        </w:rPr>
        <w:t>◦</w:t>
      </w:r>
      <w:r>
        <w:t xml:space="preserve">. </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rPr>
          <w:vertAlign w:val="superscript"/>
        </w:rPr>
        <w:t>◦</w:t>
      </w:r>
      <w:r>
        <w:t>. Y Confucio pone el cuidado de las pesas y medidas como primera tarea del buen gobierno (</w:t>
      </w:r>
      <w:r>
        <w:t>3.2</w:t>
      </w:r>
      <w:r>
        <w:t>, P4).</w:t>
      </w:r>
    </w:p>
    <w:p>
      <w:pPr>
        <w:pStyle w:val="ListBullet"/>
      </w:pPr>
      <w:r>
        <w:t>A la inflación: «Tu plata se ha tornado escorias, tu vino mezclado está con agua»</w:t>
      </w:r>
      <w:r>
        <w:rPr>
          <w:vertAlign w:val="superscript"/>
        </w:rPr>
        <w:t>◦</w:t>
      </w:r>
      <w:r>
        <w:t>; y los que dicen: «achicaremos la medida, y engrandeceremos el precio, y falsearemos el peso engañoso; Para comprar los pobres por dinero»</w:t>
      </w:r>
      <w:r>
        <w:rPr>
          <w:vertAlign w:val="superscript"/>
        </w:rPr>
        <w:t>◦</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rPr>
          <w:vertAlign w:val="superscript"/>
        </w:rPr>
        <w:t>◦</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rPr>
          <w:vertAlign w:val="superscript"/>
        </w:rPr>
        <w:t>◦</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rPr>
          <w:vertAlign w:val="superscript"/>
        </w:rPr>
        <w:t>◦</w:t>
      </w:r>
      <w:r>
        <w:t>. La presunción da a la deuda prioridad absoluta y sin final; la ley de Dios le pone un límite.</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rPr>
          <w:vertAlign w:val="superscript"/>
        </w:rPr>
        <w:t>◦</w:t>
      </w:r>
      <w:r>
        <w:t>. La ley de Dios no hace pagar a los hijos lo que comieron los padres.</w:t>
      </w:r>
    </w:p>
    <w:p>
      <w:pPr>
        <w:pStyle w:val="ListBullet"/>
      </w:pPr>
      <w:r>
        <w:t>A la segunda: «Da cuenta de tu mayordomía, porque ya no podrás más ser mayordomo»</w:t>
      </w:r>
      <w:r>
        <w:rPr>
          <w:vertAlign w:val="superscript"/>
        </w:rPr>
        <w:t>◦</w:t>
      </w:r>
      <w:r>
        <w:t>. La ley de Dios pide cuentas al administrador, y lo aparta si no las da.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p>
    <w:p>
      <w:r>
        <w:rPr>
          <w:b/>
        </w:rPr>
        <w:t>Frente a ellas, la ley de Dios:</w:t>
      </w:r>
    </w:p>
    <w:p>
      <w:pPr>
        <w:pStyle w:val="ListBullet"/>
      </w:pPr>
      <w:r>
        <w:t>A la primera: «Porque nada hay encubierto, que no haya de ser descubierto; ni oculto, que no haya de ser sabido»</w:t>
      </w:r>
      <w:r>
        <w:rPr>
          <w:vertAlign w:val="superscript"/>
        </w:rPr>
        <w:t>◦</w:t>
      </w:r>
      <w:r>
        <w:t>.</w:t>
      </w:r>
    </w:p>
    <w:p>
      <w:pPr>
        <w:pStyle w:val="ListBullet"/>
      </w:pPr>
      <w:r>
        <w:t>A la segunda: «Delante de las canas te levantarás, y honrarás el rostro del anciano»</w:t>
      </w:r>
      <w:r>
        <w:rPr>
          <w:vertAlign w:val="superscript"/>
        </w:rPr>
        <w:t>◦</w:t>
      </w:r>
      <w:r>
        <w:t>. La presunción mezcla en la «vejez» lo que pagaron unos y lo que pagan otros; la ley de Dios manda honrar al anciano.</w:t>
      </w:r>
    </w:p>
    <w:p>
      <w:pPr>
        <w:pStyle w:val="ListBullet"/>
      </w:pPr>
      <w:r>
        <w:t>A la tercera: «Así también la fe, si no tuviere obras, es muerta en sí misma»</w:t>
      </w:r>
      <w:r>
        <w:rPr>
          <w:vertAlign w:val="superscript"/>
        </w:rPr>
        <w:t>◦</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con sus dos cautelas). Por eso el primer paso es devolver las leyes a su orden: la ley de Dios, la ley natural, la costumbre y, por último, la ley humana.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Su ejemplo: un trozo de papel cuenta como dinero. Del mismo modo, un territorio y una población cuentan como Estado</w:t>
      </w:r>
      <w:r>
        <w:rPr>
          <w:vertAlign w:val="superscript"/>
        </w:rPr>
        <w:t>◦</w:t>
      </w:r>
      <w:r>
        <w:t>.</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Es lo que 2.1 anunciaba: cómo llega el derecho a tratar como persona a lo que no tiene cuerpo.</w:t>
      </w:r>
    </w:p>
    <w:p>
      <w:r>
        <w:rPr>
          <w:b/>
        </w:rPr>
        <w:t>La máscara.</w:t>
      </w:r>
      <w:r>
        <w:t xml:space="preserve"> En latín, </w:t>
      </w:r>
      <w:r>
        <w:rPr>
          <w:i/>
        </w:rPr>
        <w:t>persona</w:t>
      </w:r>
      <w:r>
        <w:t xml:space="preserve"> era ante todo la máscara del actor</w:t>
      </w:r>
      <w:r>
        <w:rPr>
          <w:vertAlign w:val="superscript"/>
        </w:rPr>
        <w:t>◦</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es el mismo ser humano, visto por el derecho. Tiene una función legítima, porque permite actuar en derecho, heredar, contratar y ser protegido por la ley. Pero, como toda herramienta, tiene dos filos.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rPr>
          <w:vertAlign w:val="superscript"/>
        </w:rPr>
        <w:t>◦</w:t>
      </w:r>
      <w:r>
        <w:t>. Pascal lo dijo de la costumbre: «La costumbre hace toda la equidad, por la sola razón de que es recibida: es el fundamento místico de su autoridad. Quien la lleva a su principio, la aniquila»</w:t>
      </w:r>
      <w:r>
        <w:rPr>
          <w:vertAlign w:val="superscript"/>
        </w:rPr>
        <w:t>◦</w:t>
      </w:r>
      <w:r>
        <w:t>.</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rPr>
          <w:vertAlign w:val="superscript"/>
        </w:rPr>
        <w:t>◦</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Yo soy otro tú.</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rPr>
          <w:vertAlign w:val="superscript"/>
        </w:rPr>
        <w:t>◦</w:t>
      </w:r>
      <w:r>
        <w:t>.</w:t>
      </w:r>
    </w:p>
    <w:p>
      <w:pPr>
        <w:pStyle w:val="ListBullet"/>
      </w:pPr>
      <w:r>
        <w:rPr>
          <w:b/>
        </w:rPr>
        <w:t>En qué plazo.</w:t>
      </w:r>
      <w:r>
        <w:t xml:space="preserve"> Esa dirección «comunicará en el plazo de setenta y dos horas a la Oficina del Registro Civil» cada nacimiento</w:t>
      </w:r>
      <w:r>
        <w:rPr>
          <w:vertAlign w:val="superscript"/>
        </w:rPr>
        <w:t>◦</w:t>
      </w:r>
      <w:r>
        <w:t>.</w:t>
      </w:r>
    </w:p>
    <w:p>
      <w:pPr>
        <w:pStyle w:val="ListBullet"/>
      </w:pPr>
      <w:r>
        <w:rPr>
          <w:b/>
        </w:rPr>
        <w:t>Qué se abre.</w:t>
      </w:r>
      <w:r>
        <w:t xml:space="preserve"> «El registro individual se abrirá con la inscripción de nacimiento»</w:t>
      </w:r>
      <w:r>
        <w:rPr>
          <w:vertAlign w:val="superscript"/>
        </w:rPr>
        <w:t>◦</w:t>
      </w:r>
      <w:r>
        <w:t>, y a cada registro «se le asignará un código personal […] que será única e invariable en el tiempo»</w:t>
      </w:r>
      <w:r>
        <w:rPr>
          <w:vertAlign w:val="superscript"/>
        </w:rPr>
        <w:t>◦</w:t>
      </w:r>
      <w:r>
        <w:t>.</w:t>
      </w:r>
    </w:p>
    <w:p>
      <w:pPr>
        <w:pStyle w:val="ListBullet"/>
      </w:pPr>
      <w:r>
        <w:rPr>
          <w:b/>
        </w:rPr>
        <w:t>Ni el abandonado queda fuera.</w:t>
      </w:r>
      <w:r>
        <w:t xml:space="preserve"> Las entidades públicas «deberán promover sin demora la inscripción de menores en situación de desamparo por abandono»</w:t>
      </w:r>
      <w:r>
        <w:rPr>
          <w:vertAlign w:val="superscript"/>
        </w:rPr>
        <w:t>◦</w:t>
      </w:r>
      <w:r>
        <w:t>.</w:t>
      </w:r>
    </w:p>
    <w:p>
      <w:r>
        <w:t>Nadie preguntó. Y nadie podía preguntar: el interesado tenía cero días.</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rPr>
          <w:vertAlign w:val="superscript"/>
        </w:rPr>
        <w:t>◦</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Por eso, «la primera razón de la servidumbre voluntaria es la costumbre»</w:t>
      </w:r>
      <w:r>
        <w:rPr>
          <w:vertAlign w:val="superscript"/>
        </w:rPr>
        <w:t>◦</w:t>
      </w:r>
      <w:r>
        <w:t>. No la fuerza, sino no haber conocido nunca otra cosa (</w:t>
      </w:r>
      <w:r>
        <w:t>4.1</w:t>
      </w:r>
      <w:r>
        <w:t>).</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Esto apunta hacia el padre de la mentira (Jn 8:44). «Por sus frutos los conoceréis» (Mt 7:16).</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rPr>
          <w:vertAlign w:val="superscript"/>
        </w:rPr>
        <w:t>◦</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rPr>
          <w:vertAlign w:val="superscript"/>
        </w:rPr>
        <w:t>◦</w:t>
      </w:r>
      <w:r>
        <w:t>; y la casa sobre la arena, que «cayó, y fué grande su ruina»</w:t>
      </w:r>
      <w:r>
        <w:rPr>
          <w:vertAlign w:val="superscript"/>
        </w:rPr>
        <w:t>◦</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rPr>
          <w:vertAlign w:val="superscript"/>
        </w:rPr>
        <w:t>◦</w:t>
      </w:r>
      <w:r>
        <w:t>. El verbo de «yerran» es el de errar el blanco (</w:t>
      </w:r>
      <w:r>
        <w:t>3.2</w:t>
      </w:r>
      <w:r>
        <w:t>). La costumbre que da la ley forma: para el bien, o para lo contrario.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rPr>
          <w:vertAlign w:val="superscript"/>
        </w:rPr>
        <w:t>◦</w:t>
      </w:r>
      <w:r>
        <w:t xml:space="preserve">. Y sin consentimiento, objeto y causa no hay contrato (Código Civil, art. 1261; </w:t>
      </w:r>
      <w:r>
        <w:t>5.1</w:t>
      </w:r>
      <w:r>
        <w:t>, n.º 13).</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w:t>
      </w:r>
    </w:p>
    <w:p>
      <w:r>
        <w:t>Sirvió para dos cosas. Justificó el poder sin apelar al derecho divino de los reyes. Y dejó una consecuencia: si el poder nace de un pacto, se puede retirar cuando el pacto se rompe.</w:t>
      </w:r>
    </w:p>
    <w:p>
      <w:pPr>
        <w:pStyle w:val="Heading3"/>
      </w:pPr>
      <w:r>
        <w:t>Tres maneras de rellenar la misma idea</w:t>
      </w:r>
    </w:p>
    <w:p>
      <w:r>
        <w:t>Los tres autores parten del mismo problema, por qué obedecer, y llegan a soluciones que no casan entre sí, según cómo imaginaron el punto de partida.</w:t>
      </w:r>
    </w:p>
    <w:p>
      <w:r>
        <w:rPr>
          <w:b/>
        </w:rPr>
        <w:t>Hobbes (1651): el miedo.</w:t>
      </w:r>
      <w:r>
        <w:t xml:space="preserve"> Sin un poder común que los mantenga a raya, los hombres están en guerra, «una guerra de cada hombre contra cada hombre»</w:t>
      </w:r>
      <w:r>
        <w:t>, y la vida del hombre es «solitaria, pobre, desagradable, brutal y corta»</w:t>
      </w:r>
      <w:r>
        <w:rPr>
          <w:vertAlign w:val="superscript"/>
        </w:rPr>
        <w:t>◦</w:t>
      </w:r>
      <w:r>
        <w:t>.</w:t>
      </w:r>
    </w:p>
    <w:p>
      <w:pPr>
        <w:pStyle w:val="ListBullet"/>
      </w:pPr>
      <w:r>
        <w:rPr>
          <w:b/>
        </w:rPr>
        <w:t>El pacto.</w:t>
      </w:r>
      <w:r>
        <w:t xml:space="preserve"> Se hace «por pacto de cada hombre con cada hombre»</w:t>
      </w:r>
      <w:r>
        <w:rPr>
          <w:vertAlign w:val="superscript"/>
        </w:rPr>
        <w:t>◦</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rPr>
          <w:vertAlign w:val="superscript"/>
        </w:rPr>
        <w:t>◦</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rPr>
          <w:vertAlign w:val="superscript"/>
        </w:rPr>
        <w:t>◦</w:t>
      </w:r>
      <w:r>
        <w:t>. Desde la primera página lo había definido como «un hombre artificial»</w:t>
      </w:r>
      <w:r>
        <w:rPr>
          <w:vertAlign w:val="superscript"/>
        </w:rPr>
        <w:t>◦</w:t>
      </w:r>
      <w:r>
        <w:t>.</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w:t>
      </w:r>
    </w:p>
    <w:p>
      <w:r>
        <w:rPr>
          <w:b/>
        </w:rPr>
        <w:t>Rousseau (1762): la voluntad general.</w:t>
      </w:r>
      <w:r>
        <w:t xml:space="preserve"> «El hombre ha nacido libre, y en todas partes está encadenado»</w:t>
      </w:r>
      <w:r>
        <w:rPr>
          <w:vertAlign w:val="superscript"/>
        </w:rPr>
        <w:t>◦</w:t>
      </w:r>
      <w:r>
        <w:t>. Siete años antes había puesto el origen del mal en la propiedad: «El primero que, habiendo cercado un terreno, se le ocurrió decir "esto es mío", y encontró gentes lo bastante simples para creerle, fue el verdadero fundador de la sociedad civil»</w:t>
      </w:r>
      <w:r>
        <w:rPr>
          <w:vertAlign w:val="superscript"/>
        </w:rPr>
        <w:t>◦</w:t>
      </w:r>
      <w:r>
        <w:t>. En su pacto, nadie cede la libertad a un tercero: cada uno se somete a la voluntad general, y en ella recupera, según él, una libertad más alta. La expresión «buen salvaje», que suele atribuírsele, no está en El contrato social.</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rPr>
          <w:vertAlign w:val="superscript"/>
        </w:rPr>
        <w:t>◦</w:t>
      </w:r>
      <w:r>
        <w:t>. No es una votación cualquiera: es lo que queda cuando los intereses particulares se anulan entre sí. Es una condición exigente.</w:t>
      </w:r>
    </w:p>
    <w:p>
      <w:r>
        <w:rPr>
          <w:b/>
        </w:rPr>
        <w:t>La frase peligrosa.</w:t>
      </w:r>
      <w:r>
        <w:t xml:space="preserve"> Para que el pacto no sea «un formulario vano»</w:t>
      </w:r>
      <w:r>
        <w:t>, encierra un compromiso: «quien se niegue a obedecer a la voluntad general será obligado a ello por todo el cuerpo, lo cual no significa otra cosa sino que se le forzará a ser libre»</w:t>
      </w:r>
      <w:r>
        <w:rPr>
          <w:vertAlign w:val="superscript"/>
        </w:rPr>
        <w:t>◦</w:t>
      </w:r>
      <w:r>
        <w:t>. Rousseau la escribió como garantía. Separada de la condición anterior, abre la puerta a que quien se declare portavoz de la voluntad general use la fuerza en su nombre.</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Es «una mera idea de la razón, que tiene, sin embargo, su indudable realidad (práctica)»</w:t>
      </w:r>
      <w:r>
        <w:t>: obliga a cada legislador a dictar sus leyes como si hubieran podido nacer de la voluntad unida de todo un pueblo</w:t>
      </w:r>
      <w:r>
        <w:rPr>
          <w:vertAlign w:val="superscript"/>
        </w:rPr>
        <w:t>◦</w:t>
      </w:r>
      <w:r>
        <w:t>.</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rPr>
          <w:vertAlign w:val="superscript"/>
        </w:rPr>
        <w:t>◦</w:t>
      </w:r>
      <w:r>
        <w:t>. La palabra «ficción» no está en su ensayo.</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n.º 13).</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y también recaudar dinero para la Corona «sin concesión del Parlamento»</w:t>
      </w:r>
      <w:r>
        <w:rPr>
          <w:vertAlign w:val="superscript"/>
        </w:rPr>
        <w:t>◦</w:t>
      </w:r>
      <w:r>
        <w:t xml:space="preserve">. Al año siguiente, Locke publicó su tratado con el prefacio ya visto. </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Entre los agravios contra el rey, «imponernos impuestos sin nuestro consentimiento»</w:t>
      </w:r>
      <w:r>
        <w:rPr>
          <w:vertAlign w:val="superscript"/>
        </w:rPr>
        <w:t>◦</w:t>
      </w:r>
      <w:r>
        <w:t xml:space="preserve">. </w:t>
      </w:r>
    </w:p>
    <w:p>
      <w:pPr>
        <w:pStyle w:val="ListBullet"/>
      </w:pPr>
      <w:r>
        <w:rPr>
          <w:b/>
        </w:rPr>
        <w:t>Francia, 1789.</w:t>
      </w:r>
      <w:r>
        <w:t xml:space="preserve"> «Toda sociedad en la que la garantía de los derechos no está asegurada, ni la separación de poderes determinada, no tiene Constitución»</w:t>
      </w:r>
      <w:r>
        <w:rPr>
          <w:vertAlign w:val="superscript"/>
        </w:rPr>
        <w:t>◦</w:t>
      </w:r>
      <w:r>
        <w:t xml:space="preserve">. </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rPr>
          <w:vertAlign w:val="superscript"/>
        </w:rPr>
        <w:t>◦</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rPr>
          <w:vertAlign w:val="superscript"/>
        </w:rPr>
        <w:t>◦</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rPr>
          <w:vertAlign w:val="superscript"/>
        </w:rPr>
        <w:t>◦</w:t>
      </w:r>
      <w:r>
        <w:t>.</w:t>
      </w:r>
    </w:p>
    <w:p>
      <w:r>
        <w:t>El caso de 1793, con sus documentos, se ve en el nivel completo: una Constitución de derechos que se apartó, otra que nunca entró en vigor y la propuesta de un gobierno revolucionario «hasta la paz».</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r>
        <w:rPr>
          <w:b/>
        </w:rPr>
        <w:t>Lectura del autor:</w:t>
      </w:r>
      <w:r>
        <w:t xml:space="preserve"> el patrón de 1793, tomar la parte de una idea que legitima y dejar la que limita, no es solo de entonces. Es la forma de la maniobra camuflada (</w:t>
      </w:r>
      <w:r>
        <w:t>5.1</w:t>
      </w:r>
      <w:r>
        <w:t>): el nombre dice «voluntad del pueblo», y el hecho dice otra cosa.</w:t>
      </w:r>
    </w:p>
    <w:p>
      <w:r>
        <w:t>El caso de un pacto que sí se negoció, la Constitución española de 1978, se ve en el nivel completo.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rPr>
          <w:vertAlign w:val="superscript"/>
        </w:rPr>
        <w:t>◦</w:t>
      </w:r>
      <w:r>
        <w:t xml:space="preserve">. El </w:t>
      </w:r>
      <w:r>
        <w:rPr>
          <w:i/>
        </w:rPr>
        <w:t>auctor</w:t>
      </w:r>
      <w:r>
        <w:t xml:space="preserve"> era «el que da existencia a algo, o promueve su aumento o su prosperidad»</w:t>
      </w:r>
      <w:r>
        <w:rPr>
          <w:vertAlign w:val="superscript"/>
        </w:rPr>
        <w:t>◦</w:t>
      </w:r>
      <w:r>
        <w:t xml:space="preserve">. Desde aquí, la edición llama </w:t>
      </w:r>
      <w:r>
        <w:rPr>
          <w:i/>
        </w:rPr>
        <w:t>auctoritas</w:t>
      </w:r>
      <w:r>
        <w:t xml:space="preserve"> a la autoridad que se gana haciendo crecer a quienes la sostienen (</w:t>
      </w:r>
      <w:r>
        <w:t>H.7</w:t>
      </w:r>
      <w:r>
        <w:t>). Los registros son una herramienta real del poder; pero la palabra no nació para eso, sino para nombrar a quien hace prosperar.</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rPr>
          <w:vertAlign w:val="superscript"/>
        </w:rPr>
        <w:t>◦</w:t>
      </w:r>
      <w:r>
        <w:t>.</w:t>
      </w:r>
    </w:p>
    <w:p>
      <w:pPr>
        <w:pStyle w:val="ListBullet"/>
      </w:pPr>
      <w:r>
        <w:rPr>
          <w:b/>
        </w:rPr>
        <w:t>El reconocimiento.</w:t>
      </w:r>
      <w:r>
        <w:t xml:space="preserve"> «La existencia política del Estado es independiente de su reconocimiento por los demás Estados»</w:t>
      </w:r>
      <w:r>
        <w:rPr>
          <w:vertAlign w:val="superscript"/>
        </w:rPr>
        <w:t>◦</w:t>
      </w:r>
      <w:r>
        <w:t>. Reconocer a un Estado solo significa que quien lo reconoce «acepta la personalidad del otro»</w:t>
      </w:r>
      <w:r>
        <w:rPr>
          <w:vertAlign w:val="superscript"/>
        </w:rPr>
        <w:t>◦</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rPr>
          <w:vertAlign w:val="superscript"/>
        </w:rPr>
        <w:t>◦</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ahora entre Estados.</w:t>
      </w:r>
    </w:p>
    <w:p>
      <w:r>
        <w:rPr>
          <w:b/>
        </w:rPr>
        <w:t>Lo que la conquista dejó escrito.</w:t>
      </w:r>
      <w:r>
        <w:t xml:space="preserve"> En 1933, los Estados firmantes se obligaron a «no reconocer las adquisiciones territoriales o de ventajas especiales que se realicen por la fuerza»</w:t>
      </w:r>
      <w:r>
        <w:rPr>
          <w:vertAlign w:val="superscript"/>
        </w:rPr>
        <w:t>◦</w:t>
      </w:r>
      <w:r>
        <w:t>. En 1945, la Carta de las Naciones Unidas obligó a sus miembros a abstenerse «de recurrir a la amenaza o al uso de la fuerza contra la integridad territorial o la independencia política de cualquier Estado»</w:t>
      </w:r>
      <w:r>
        <w:rPr>
          <w:vertAlign w:val="superscript"/>
        </w:rPr>
        <w:t>◦</w:t>
      </w:r>
      <w:r>
        <w:t>. Que hiciera falta prohibirlo indica que antes era práctica habitual, como había escrito Hume (</w:t>
      </w:r>
      <w:r>
        <w:t>6.1</w:t>
      </w:r>
      <w:r>
        <w:t>).</w:t>
      </w:r>
    </w:p>
    <w:p>
      <w:r>
        <w:rPr>
          <w:b/>
        </w:rPr>
        <w:t>Lo mismo, dentro del orden de las leyes.</w:t>
      </w:r>
      <w:r>
        <w:t xml:space="preserve"> La norma que se declara superior a la costumbre también se da validez a sí misma. Se vio en 1.7: el Código Civil de 1889, art. 5, y el Ordenamiento de Alcalá, de 1348.</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rPr>
          <w:vertAlign w:val="superscript"/>
        </w:rPr>
        <w:t>◦</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rPr>
          <w:vertAlign w:val="superscript"/>
        </w:rPr>
        <w:t>◦</w:t>
      </w:r>
      <w:r>
        <w:t>. Es una sola fuente académica, hecha sobre prensa y libros divulgativos, y otra versión da el 24 de junio para la declaración de independencia. La obra no propone ese camino: lo descartó (</w:t>
      </w:r>
      <w:r>
        <w:t>2.6</w:t>
      </w:r>
      <w:r>
        <w:t xml:space="preserve">; </w:t>
      </w:r>
      <w:r>
        <w:t>anexo E</w:t>
      </w:r>
      <w:r>
        <w:t>).</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para colocarse en la de ser superior. El patrón está documentado, con fecha, en civilizaciones sin relación entre sí.</w:t>
      </w:r>
    </w:p>
    <w:p>
      <w:pPr>
        <w:pStyle w:val="ListBullet"/>
      </w:pPr>
      <w:r>
        <w:rPr>
          <w:b/>
        </w:rPr>
        <w:t>Egipto.</w:t>
      </w:r>
      <w:r>
        <w:t xml:space="preserve"> Desde el día de su coronación, el faraón llevaba entre sus títulos el de «Hijo de Ra»</w:t>
      </w:r>
      <w:r>
        <w:t>: así lo fija el decreto de coronación de Tutmosis I</w:t>
      </w:r>
      <w:r>
        <w:rPr>
          <w:vertAlign w:val="superscript"/>
        </w:rPr>
        <w:t>◦</w:t>
      </w:r>
      <w:r>
        <w:t>. Su título más antiguo, «Horus», lo presentaba como sucesor del dios que había gobernado el reino</w:t>
      </w:r>
      <w:r>
        <w:rPr>
          <w:vertAlign w:val="superscript"/>
        </w:rPr>
        <w:t>◦</w:t>
      </w:r>
      <w:r>
        <w:t>.</w:t>
      </w:r>
    </w:p>
    <w:p>
      <w:pPr>
        <w:pStyle w:val="ListBullet"/>
      </w:pPr>
      <w:r>
        <w:rPr>
          <w:b/>
        </w:rPr>
        <w:t>Roma.</w:t>
      </w:r>
      <w:r>
        <w:t xml:space="preserve"> Augusto escribió que, desde entonces, superó a todos «en dignidad», pero que no tuvo «más poder que los que fueron también mis colegas en cada magistratura»</w:t>
      </w:r>
      <w:r>
        <w:rPr>
          <w:vertAlign w:val="superscript"/>
        </w:rPr>
        <w:t>◦</w:t>
      </w:r>
      <w:r>
        <w:t>. Menos de un siglo después, Domiciano dictaba cartas que empezaban así: «Nuestro señor y dios ordena que se haga esto»</w:t>
      </w:r>
      <w:r>
        <w:rPr>
          <w:vertAlign w:val="superscript"/>
        </w:rPr>
        <w:t>◦</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rPr>
          <w:vertAlign w:val="superscript"/>
        </w:rPr>
        <w:t>◦</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rPr>
          <w:vertAlign w:val="superscript"/>
        </w:rPr>
        <w:t>◦</w:t>
      </w:r>
      <w:r>
        <w:t>. Y un documento auténtico, el Dictatus Papae de 1075, reclamó para el papa «que le es lícito deponer a los emperadores»</w:t>
      </w:r>
      <w:r>
        <w:rPr>
          <w:vertAlign w:val="superscript"/>
        </w:rPr>
        <w:t>◦</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rPr>
          <w:vertAlign w:val="superscript"/>
        </w:rPr>
        <w:t>◦</w:t>
      </w:r>
      <w:r>
        <w:t>.</w:t>
      </w:r>
    </w:p>
    <w:p>
      <w:pPr>
        <w:pStyle w:val="ListBullet"/>
      </w:pPr>
      <w:r>
        <w:rPr>
          <w:b/>
        </w:rPr>
        <w:t>El Estado moderno.</w:t>
      </w:r>
      <w:r>
        <w:t xml:space="preserve"> Su teórico fundacional lo llamó «Dios mortal» (</w:t>
      </w:r>
      <w:r>
        <w:t>6.1</w:t>
      </w:r>
      <w:r>
        <w:t>).</w:t>
      </w:r>
    </w:p>
    <w:p>
      <w:r>
        <w:rPr>
          <w:b/>
        </w:rPr>
        <w:t>El freno, dentro de las mismas tradiciones.</w:t>
      </w:r>
    </w:p>
    <w:p>
      <w:pPr>
        <w:pStyle w:val="ListBullet"/>
      </w:pPr>
      <w:r>
        <w:t>«Di: "Yo soy sólo un mortal como vosotros, a quien se ha revelado…"»</w:t>
      </w:r>
      <w:r>
        <w:rPr>
          <w:vertAlign w:val="superscript"/>
        </w:rPr>
        <w:t>◦</w:t>
      </w:r>
      <w:r>
        <w:t>.</w:t>
      </w:r>
    </w:p>
    <w:p>
      <w:pPr>
        <w:pStyle w:val="ListBullet"/>
      </w:pPr>
      <w:r>
        <w:t>«Mi reino no es de este mundo»</w:t>
      </w:r>
      <w:r>
        <w:rPr>
          <w:vertAlign w:val="superscript"/>
        </w:rPr>
        <w:t>◦</w:t>
      </w:r>
      <w:r>
        <w:t>.</w:t>
      </w:r>
    </w:p>
    <w:p>
      <w:pPr>
        <w:pStyle w:val="ListBullet"/>
      </w:pPr>
      <w:r>
        <w:t>Y el príncipe Siddhattha, el futuro Buda, dejó el palacio la noche que el texto llama «la Gran Renuncia»</w:t>
      </w:r>
      <w:r>
        <w:rPr>
          <w:vertAlign w:val="superscript"/>
        </w:rPr>
        <w:t>◦</w:t>
      </w:r>
      <w:r>
        <w:t>.</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rPr>
          <w:vertAlign w:val="superscript"/>
        </w:rPr>
        <w:t>◦</w:t>
      </w:r>
      <w:r>
        <w:t>.</w:t>
      </w:r>
    </w:p>
    <w:p>
      <w:pPr>
        <w:pStyle w:val="ListBullet"/>
      </w:pPr>
      <w:r>
        <w:rPr>
          <w:b/>
        </w:rPr>
        <w:t>Ciro</w:t>
      </w:r>
      <w:r>
        <w:t>, en su cilindro: «mis numerosas tropas marchaban en paz por Babilonia, y todo [Sumer] y Acad no tuvo nada que temer»</w:t>
      </w:r>
      <w:r>
        <w:rPr>
          <w:vertAlign w:val="superscript"/>
        </w:rPr>
        <w:t>◦</w:t>
      </w:r>
      <w:r>
        <w:t>. Es su propia versión: la de un conquistador.</w:t>
      </w:r>
    </w:p>
    <w:p>
      <w:pPr>
        <w:pStyle w:val="ListBullet"/>
      </w:pPr>
      <w:r>
        <w:rPr>
          <w:b/>
        </w:rPr>
        <w:t>Ashoka</w:t>
      </w:r>
      <w:r>
        <w:t xml:space="preserve"> describió su propia guerra: «cien mil fueron los que murieron allí, y muchas veces más los que perecieron»</w:t>
      </w:r>
      <w:r>
        <w:t>. Después, dice, vino «un estudio celoso de la moral»</w:t>
      </w:r>
      <w:r>
        <w:rPr>
          <w:vertAlign w:val="superscript"/>
        </w:rPr>
        <w:t>◦</w:t>
      </w:r>
      <w:r>
        <w:t>.</w:t>
      </w:r>
    </w:p>
    <w:p>
      <w:pPr>
        <w:pStyle w:val="ListBullet"/>
      </w:pPr>
      <w:r>
        <w:rPr>
          <w:b/>
        </w:rPr>
        <w:t>El Dalai Lama</w:t>
      </w:r>
      <w:r>
        <w:t>, en 2011, puso fin a la doble autoridad, espiritual y política, de su institución, «por propia iniciativa»</w:t>
      </w:r>
      <w:r>
        <w:rPr>
          <w:vertAlign w:val="superscript"/>
        </w:rPr>
        <w:t>◦</w:t>
      </w:r>
      <w:r>
        <w:t>. Su biografía oficial dice que «se describe a sí mismo como un simple monje budista»</w:t>
      </w:r>
      <w:r>
        <w:rPr>
          <w:vertAlign w:val="superscript"/>
        </w:rPr>
        <w:t>◦</w:t>
      </w:r>
      <w:r>
        <w:t>.</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rPr>
          <w:vertAlign w:val="superscript"/>
        </w:rPr>
        <w:t>◦</w:t>
      </w:r>
      <w:r>
        <w:t>. Lo que no prueba: siete casos no hacen una ley; son casos con fecha y fuente, con sus límites.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rPr>
          <w:vertAlign w:val="superscript"/>
        </w:rPr>
        <w:t>◦</w:t>
      </w:r>
      <w:r>
        <w:t>.</w:t>
      </w:r>
    </w:p>
    <w:p>
      <w:r>
        <w:rPr>
          <w:b/>
        </w:rPr>
        <w:t>Locke: la propiedad nace del trabajo.</w:t>
      </w:r>
      <w:r>
        <w:t xml:space="preserve"> «Todo hombre tiene una propiedad en su propia persona: a ella nadie tiene derecho sino él mismo»</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rPr>
          <w:vertAlign w:val="superscript"/>
        </w:rPr>
        <w:t>◦</w:t>
      </w:r>
      <w:r>
        <w:t>. Esa condición se conoce como «cláusula lockeana». Si la propiedad existe antes del gobierno, y por una razón propia, el gobierno no la crea: la protege, o la viola.</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rPr>
          <w:vertAlign w:val="superscript"/>
        </w:rPr>
        <w:t>◦</w:t>
      </w:r>
      <w:r>
        <w:t>.</w:t>
      </w:r>
    </w:p>
    <w:p>
      <w:pPr>
        <w:pStyle w:val="ListBullet"/>
      </w:pPr>
      <w:r>
        <w:rPr>
          <w:b/>
        </w:rPr>
        <w:t>El borrador de Jefferson.</w:t>
      </w:r>
      <w:r>
        <w:t xml:space="preserve"> «La preservación de la vida, y la libertad, y la búsqueda de la felicidad»</w:t>
      </w:r>
      <w:r>
        <w:rPr>
          <w:vertAlign w:val="superscript"/>
        </w:rPr>
        <w:t>◦</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rPr>
          <w:vertAlign w:val="superscript"/>
        </w:rPr>
        <w:t>◦</w:t>
      </w:r>
      <w:r>
        <w:t>.</w:t>
      </w:r>
    </w:p>
    <w:p>
      <w:r>
        <w:rPr>
          <w:b/>
        </w:rPr>
        <w:t>Bodino: el límite del poder absoluto.</w:t>
      </w:r>
      <w:r>
        <w:t xml:space="preserve"> El mismo autor que definió la soberanía moderna como «el poder absoluto y perpetuo de una república»</w:t>
      </w:r>
      <w:r>
        <w:rPr>
          <w:vertAlign w:val="superscript"/>
        </w:rPr>
        <w:t>◦</w:t>
      </w:r>
      <w:r>
        <w:t xml:space="preserve"> escribió en ese mismo capítulo: «si el príncipe soberano no tiene poder para traspasar los límites de las leyes de la naturaleza, que Dios, de quien es imagen, ha puesto, tampoco podrá tomar el bien ajeno sin causa justa y razonable»</w:t>
      </w:r>
      <w:r>
        <w:rPr>
          <w:vertAlign w:val="superscript"/>
        </w:rPr>
        <w:t>◦</w:t>
      </w:r>
      <w:r>
        <w:t>. Para su propio teórico, el poder más absoluto tenía encima la ley natural, y con ella, el bien ajeno: es el orden de las leyes (</w:t>
      </w:r>
      <w:r>
        <w:t>1.1</w:t>
      </w:r>
      <w:r>
        <w:t>).</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rPr>
          <w:vertAlign w:val="superscript"/>
        </w:rPr>
        <w:t>◦</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rPr>
          <w:vertAlign w:val="superscript"/>
        </w:rPr>
        <w:t>◦</w:t>
      </w:r>
      <w:r>
        <w:t>.</w:t>
      </w:r>
    </w:p>
    <w:p>
      <w:pPr>
        <w:pStyle w:val="ListBullet"/>
      </w:pPr>
      <w:r>
        <w:rPr>
          <w:b/>
        </w:rPr>
        <w:t>El juez, a nadie en particular.</w:t>
      </w:r>
      <w:r>
        <w:t xml:space="preserve"> «En adelante nadie podrá llamarse señor de vasallos, exercer jurisdiccion, nombrar jueces…»</w:t>
      </w:r>
      <w:r>
        <w:rPr>
          <w:vertAlign w:val="superscript"/>
        </w:rPr>
        <w:t>◦</w:t>
      </w:r>
      <w:r>
        <w:t>. La abolición del vasallaje (art. 4) ya se vio en 2.2.</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rPr>
          <w:vertAlign w:val="superscript"/>
        </w:rPr>
        <w:t>◦</w:t>
      </w:r>
      <w:r>
        <w:t>. Weber distinguió «tres tipos puros de dominación legítima»</w:t>
      </w:r>
      <w:r>
        <w:t>: la legal, la tradicional y la carismática. Y observó que ninguna dominación se conforma con motivos materiales o afectivos para durar: «cada una procura más bien despertar y cultivar la creencia en su "legitimidad"»</w:t>
      </w:r>
      <w:r>
        <w:rPr>
          <w:vertAlign w:val="superscript"/>
        </w:rPr>
        <w:t>◦</w:t>
      </w:r>
      <w:r>
        <w:t>. La frase que circula, «es la creencia la que constituye la legitimidad», no está así en su texto.</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r>
        <w:rPr>
          <w:b/>
        </w:rPr>
        <w:t>Lectura del autor:</w:t>
      </w:r>
      <w:r>
        <w:t xml:space="preserve"> si el poder procura que se crea en él, lo que se sostiene solo en la creencia se disuelve cuando se pide la prueba (</w:t>
      </w:r>
      <w:r>
        <w:t>5.5</w:t>
      </w:r>
      <w:r>
        <w:t>).</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rPr>
          <w:vertAlign w:val="superscript"/>
        </w:rPr>
        <w:t>◦</w:t>
      </w:r>
      <w:r>
        <w:t>.</w:t>
      </w:r>
    </w:p>
    <w:p>
      <w:pPr>
        <w:pStyle w:val="ListBullet"/>
      </w:pPr>
      <w:r>
        <w:rPr>
          <w:b/>
        </w:rPr>
        <w:t>Oppenheimer</w:t>
      </w:r>
      <w:r>
        <w:t xml:space="preserve"> (1907). Llamó «medio económico» al trabajo propio y al intercambio de lo equivalente, y «medio político» a «la apropiación no retribuida del trabajo ajeno»</w:t>
      </w:r>
      <w:r>
        <w:t>. Y escribió que el Estado, en su origen, es una institución «impuesta por un grupo humano vencedor a un grupo humano vencido»</w:t>
      </w:r>
      <w:r>
        <w:rPr>
          <w:vertAlign w:val="superscript"/>
        </w:rPr>
        <w:t>◦</w:t>
      </w:r>
      <w:r>
        <w:t>.</w:t>
      </w:r>
    </w:p>
    <w:p>
      <w:pPr>
        <w:pStyle w:val="ListBullet"/>
      </w:pPr>
      <w:r>
        <w:rPr>
          <w:b/>
        </w:rPr>
        <w:t>Michels</w:t>
      </w:r>
      <w:r>
        <w:t xml:space="preserve"> (1911). Estudiando los partidos socialistas, escribió: «quien dice organización dice, de todos modos, tendencia a la oligarquía»</w:t>
      </w:r>
      <w:r>
        <w:t>. Es lo que llamó «la ley de hierro de la oligarquía»</w:t>
      </w:r>
      <w:r>
        <w:rPr>
          <w:vertAlign w:val="superscript"/>
        </w:rPr>
        <w:t>◦</w:t>
      </w:r>
      <w:r>
        <w:t>.</w:t>
      </w:r>
    </w:p>
    <w:p>
      <w:pPr>
        <w:pStyle w:val="ListBullet"/>
      </w:pPr>
      <w:r>
        <w:rPr>
          <w:b/>
        </w:rPr>
        <w:t>Pareto y Mosca.</w:t>
      </w:r>
      <w:r>
        <w:t xml:space="preserve"> Pareto habló de la «circulación de las clases selectas»</w:t>
      </w:r>
      <w:r>
        <w:rPr>
          <w:vertAlign w:val="superscript"/>
        </w:rPr>
        <w:t>◦</w:t>
      </w:r>
      <w:r>
        <w:t>; Mosca, del predominio de «las minorías organizadas sobre las mayorías»</w:t>
      </w:r>
      <w:r>
        <w:rPr>
          <w:vertAlign w:val="superscript"/>
        </w:rPr>
        <w:t>◦</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los de acceso abierto se sostienen con la competencia política y económica, y en los últimos trescientos años se han desarrollado en «unas dos docenas de países»</w:t>
      </w:r>
      <w:r>
        <w:rPr>
          <w:vertAlign w:val="superscript"/>
        </w:rPr>
        <w:t>◦</w:t>
      </w:r>
      <w:r>
        <w:t>. Un estudio de 2023 lo midió: «treinta y cinco países de 161 fueron calificados en 2020 como órdenes de acceso abierto»</w:t>
      </w:r>
      <w:r>
        <w:t>, con Suiza en cabeza</w:t>
      </w:r>
      <w:r>
        <w:rPr>
          <w:vertAlign w:val="superscript"/>
        </w:rPr>
        <w:t>◦</w:t>
      </w:r>
      <w:r>
        <w:t>.</w:t>
      </w:r>
    </w:p>
    <w:p>
      <w:r>
        <w:t>El patrón de extracción es real y lo describen pensadores de épocas y lugares distintos. Pero no es universal ni inevitable: la pregunta útil no es si todo es igual, sino en qué punto de la escala está cada país, y con qué datos se comprueba.</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rPr>
          <w:vertAlign w:val="superscript"/>
        </w:rPr>
        <w:t>◦</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rPr>
          <w:vertAlign w:val="superscript"/>
        </w:rPr>
        <w:t>◦</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rPr>
          <w:vertAlign w:val="superscript"/>
        </w:rPr>
        <w:t>◦</w:t>
      </w:r>
      <w:r>
        <w:t>.</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rPr>
          <w:vertAlign w:val="superscript"/>
        </w:rPr>
        <w:t>◦</w:t>
      </w:r>
      <w:r>
        <w:t>. Las donaciones privadas no pueden superar 50.000 euros al año por persona, ni venir de personas jurídicas</w:t>
      </w:r>
      <w:r>
        <w:rPr>
          <w:vertAlign w:val="superscript"/>
        </w:rPr>
        <w:t>◦</w:t>
      </w:r>
      <w:r>
        <w:t>.</w:t>
      </w:r>
    </w:p>
    <w:p>
      <w:pPr>
        <w:pStyle w:val="ListBullet"/>
      </w:pPr>
      <w:r>
        <w:rPr>
          <w:b/>
        </w:rPr>
        <w:t>Quién controla.</w:t>
      </w:r>
      <w:r>
        <w:t xml:space="preserve"> El Tribunal de Cuentas puede sancionar a un partido</w:t>
      </w:r>
      <w:r>
        <w:rPr>
          <w:vertAlign w:val="superscript"/>
        </w:rPr>
        <w:t>◦</w:t>
      </w:r>
      <w:r>
        <w:t>, con la redacción de las Leyes Orgánicas 5/2012 y 3/2015. Pero si el partido recurre ante el Supremo, «la interposición del recurso suspenderá automáticamente la ejecución»</w:t>
      </w:r>
      <w:r>
        <w:rPr>
          <w:vertAlign w:val="superscript"/>
        </w:rPr>
        <w:t>◦</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rPr>
          <w:vertAlign w:val="superscript"/>
        </w:rPr>
        <w:t>◦</w:t>
      </w:r>
      <w:r>
        <w:t>. Es la media de los porcentajes de cada formación, no el reparto del dinero total.</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rPr>
          <w:vertAlign w:val="superscript"/>
        </w:rPr>
        <w:t>◦</w:t>
      </w:r>
      <w:r>
        <w:t>.</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rPr>
          <w:vertAlign w:val="superscript"/>
        </w:rPr>
        <w:t>◦</w:t>
      </w:r>
      <w:r>
        <w:t>. Es el mismo mecanismo que el del Consejo General del Poder Judicial: no son tres diseños distintos, sino uno, repetido. A su favor: si el nombramiento recae en un diputado o senador, «antes de tomar posesión, habrá de renunciar a su escaño»</w:t>
      </w:r>
      <w:r>
        <w:rPr>
          <w:vertAlign w:val="superscript"/>
        </w:rPr>
        <w:t>◦</w:t>
      </w:r>
      <w:r>
        <w:t>.</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rPr>
          <w:vertAlign w:val="superscript"/>
        </w:rPr>
        <w:t>◦</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rPr>
          <w:vertAlign w:val="superscript"/>
        </w:rPr>
        <w:t>◦</w:t>
      </w:r>
      <w:r>
        <w:t>. El Tribunal Europeo de Derechos Humanos, que el 0,1 % es «considerablemente más bajo que el máximo del 1%» que indica la Comisión de Venecia</w:t>
      </w:r>
      <w:r>
        <w:rPr>
          <w:vertAlign w:val="superscript"/>
        </w:rPr>
        <w:t>◦</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rPr>
          <w:vertAlign w:val="superscript"/>
        </w:rPr>
        <w:t>◦</w:t>
      </w:r>
      <w:r>
        <w:t>; los adelantos, solo a quien ya las obtuvo en las últimas elecciones</w:t>
      </w:r>
      <w:r>
        <w:rPr>
          <w:vertAlign w:val="superscript"/>
        </w:rPr>
        <w:t>◦</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rPr>
          <w:vertAlign w:val="superscript"/>
        </w:rPr>
        <w:t>◦</w:t>
      </w:r>
      <w:r>
        <w:t>.</w:t>
      </w:r>
    </w:p>
    <w:p>
      <w:pPr>
        <w:pStyle w:val="ListBullet"/>
      </w:pPr>
      <w:r>
        <w:rPr>
          <w:b/>
        </w:rPr>
        <w:t>El reparto de escaños.</w:t>
      </w:r>
      <w:r>
        <w:t xml:space="preserve"> No cuentan las candidaturas que no lleguen al «3 por 100 de los votos válidos emitidos en la circunscripción»</w:t>
      </w:r>
      <w:r>
        <w:rPr>
          <w:vertAlign w:val="superscript"/>
        </w:rPr>
        <w:t>◦</w:t>
      </w:r>
      <w:r>
        <w:t>. El legislador de 1977 declaró su fin: la regla d'Hondt «ya supone un poderoso corrector del excesivo fraccionamiento de las representaciones parlamentarias», y «a esta misma finalidad» responde el umbral</w:t>
      </w:r>
      <w:r>
        <w:rPr>
          <w:vertAlign w:val="superscript"/>
        </w:rPr>
        <w:t>◦</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rPr>
          <w:vertAlign w:val="superscript"/>
        </w:rPr>
        <w:t>◦</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rPr>
          <w:vertAlign w:val="superscript"/>
        </w:rPr>
        <w:t>◦</w:t>
      </w:r>
      <w:r>
        <w:t>. Los del Senado, «entre las candidaturas presentadas por las Asambleas Legislativas de las comunidades autónomas»</w:t>
      </w:r>
      <w:r>
        <w:rPr>
          <w:vertAlign w:val="superscript"/>
        </w:rPr>
        <w:t>◦</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rPr>
          <w:vertAlign w:val="superscript"/>
        </w:rPr>
        <w:t>◦</w:t>
      </w:r>
      <w:r>
        <w:t>. También cabe cuando un partido «vulnere de forma continuada, reiterada y grave la exigencia de una estructura interna y un funcionamiento democráticos»</w:t>
      </w:r>
      <w:r>
        <w:rPr>
          <w:vertAlign w:val="superscript"/>
        </w:rPr>
        <w:t>◦</w:t>
      </w:r>
      <w:r>
        <w:t>. Pero solo pueden pedirlo «el Gobierno y el Ministerio Fiscal»; el Congreso o el Senado pueden instar al Gobierno a pedirlo, y solo por las causas del art. 9</w:t>
      </w:r>
      <w:r>
        <w:rPr>
          <w:vertAlign w:val="superscript"/>
        </w:rPr>
        <w:t>◦</w:t>
      </w:r>
      <w:r>
        <w:t>. Ni los afiliados ni los ciudadanos. No se ha localizado ninguna sentencia por falta de democracia interna; la búsqueda no prueba que no exista.</w:t>
      </w:r>
    </w:p>
    <w:p>
      <w:r>
        <w:rPr>
          <w:b/>
        </w:rPr>
        <w:t>6. La iniciativa legislativa popular.</w:t>
      </w:r>
      <w:r>
        <w:t xml:space="preserve"> Hacen falta «al menos, 500.000 electores»</w:t>
      </w:r>
      <w:r>
        <w:rPr>
          <w:vertAlign w:val="superscript"/>
        </w:rPr>
        <w:t>◦</w:t>
      </w:r>
      <w:r>
        <w:t>. Pero están excluidas, entre otras, las materias que «según la Constitución, son propias de Leyes Orgánicas» y «las de naturaleza tributaria»</w:t>
      </w:r>
      <w:r>
        <w:rPr>
          <w:vertAlign w:val="superscript"/>
        </w:rPr>
        <w:t>◦</w:t>
      </w:r>
      <w:r>
        <w:t>. La ley electoral y la del poder judicial son orgánicas: ningún ciudadano puede proponer por esta vía cambiar cómo se elige a sus representantes ni cómo se elige al Consejo General del Poder Judicial. Tampoco un impuesto.</w:t>
      </w:r>
    </w:p>
    <w:p>
      <w:r>
        <w:rPr>
          <w:b/>
        </w:rPr>
        <w:t>7. Lo público tratado como propio, medido de lejos.</w:t>
      </w:r>
    </w:p>
    <w:p>
      <w:pPr>
        <w:pStyle w:val="ListBullet"/>
      </w:pPr>
      <w:r>
        <w:rPr>
          <w:b/>
        </w:rPr>
        <w:t>El concepto.</w:t>
      </w:r>
      <w:r>
        <w:t xml:space="preserve"> Weber llamó patrimonialismo a una de las formas de la dominación tradicional</w:t>
      </w:r>
      <w:r>
        <w:rPr>
          <w:vertAlign w:val="superscript"/>
        </w:rPr>
        <w:t>◦</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rPr>
          <w:vertAlign w:val="superscript"/>
        </w:rPr>
        <w:t>◦</w:t>
      </w:r>
      <w:r>
        <w:t>. Transparencia Internacional, 55 sobre 100 en 2025, «un punto menos que en el IPC 2024 y cinco menos que en el IPC 2023», en el puesto 49 de 182</w:t>
      </w:r>
      <w:r>
        <w:rPr>
          <w:vertAlign w:val="superscript"/>
        </w:rPr>
        <w:t>◦</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rPr>
          <w:vertAlign w:val="superscript"/>
        </w:rPr>
        <w:t>◦</w:t>
      </w:r>
      <w:r>
        <w:t>.</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rPr>
          <w:vertAlign w:val="superscript"/>
        </w:rPr>
        <w:t>◦</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A este último lo llamará, enseguida, «el poder de juzgar»</w:t>
      </w:r>
      <w:r>
        <w:rPr>
          <w:vertAlign w:val="superscript"/>
        </w:rPr>
        <w:t>◦</w:t>
      </w:r>
      <w:r>
        <w:t>.</w:t>
      </w:r>
    </w:p>
    <w:p>
      <w:pPr>
        <w:pStyle w:val="ListBullet"/>
      </w:pPr>
      <w:r>
        <w:rPr>
          <w:b/>
        </w:rPr>
        <w:t>Por qué separados.</w:t>
      </w:r>
      <w:r>
        <w:t xml:space="preserve"> Si el legislativo y el ejecutivo se reúnen en la misma persona o en el mismo cuerpo, «no hay libertad»</w:t>
      </w:r>
      <w:r>
        <w:t>; si el de juzgar se une al legislativo, «el poder sobre la vida y la libertad de los ciudadanos sería arbitrario, porque el juez sería legislador»</w:t>
      </w:r>
      <w:r>
        <w:t>; si se une al ejecutivo, «el juez podría tener la fuerza de un opresor»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rPr>
          <w:vertAlign w:val="superscript"/>
        </w:rPr>
        <w:t>◦</w:t>
      </w:r>
      <w:r>
        <w:t>.</w:t>
      </w:r>
    </w:p>
    <w:p>
      <w:pPr>
        <w:pStyle w:val="ListBullet"/>
      </w:pPr>
      <w:r>
        <w:rPr>
          <w:b/>
        </w:rPr>
        <w:t>Qué es la libertad política.</w:t>
      </w:r>
      <w:r>
        <w:t xml:space="preserve"> No la ausencia de poder: «la libertad es el derecho de hacer todo lo que las leyes permiten»</w:t>
      </w:r>
      <w:r>
        <w:rPr>
          <w:vertAlign w:val="superscript"/>
        </w:rPr>
        <w:t>◦</w:t>
      </w:r>
      <w:r>
        <w:t>.</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rPr>
          <w:vertAlign w:val="superscript"/>
        </w:rPr>
        <w:t>◦</w:t>
      </w:r>
      <w:r>
        <w:t>. Y la Declaración francesa de 1789 hizo de la separación de poderes una condición para que haya Constitución (</w:t>
      </w:r>
      <w:r>
        <w:t>6.1</w:t>
      </w:r>
      <w:r>
        <w:t xml:space="preserve">). Cuántas veces ha frenado de verdad en España, en los artículos auditados, se mide en </w:t>
      </w:r>
      <w:r>
        <w:t>7.4</w:t>
      </w:r>
      <w:r>
        <w:t>.</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usar el poder no para el bien de los gobernados, sino «para su propia ventaja privada y separada»</w:t>
      </w:r>
      <w:r>
        <w:rPr>
          <w:vertAlign w:val="superscript"/>
        </w:rPr>
        <w:t>◦</w:t>
      </w:r>
      <w:r>
        <w:t>.</w:t>
      </w:r>
    </w:p>
    <w:p>
      <w:pPr>
        <w:pStyle w:val="ListBullet"/>
      </w:pPr>
      <w:r>
        <w:rPr>
          <w:b/>
        </w:rPr>
        <w:t>No es vicio solo de reyes.</w:t>
      </w:r>
      <w:r>
        <w:t xml:space="preserve"> «Es un error pensar que esta falta es propia solo de las monarquías; otras formas de gobierno están expuestas a ella igual que esa»</w:t>
      </w:r>
      <w:r>
        <w:rPr>
          <w:vertAlign w:val="superscript"/>
        </w:rPr>
        <w:t>◦</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rPr>
          <w:vertAlign w:val="superscript"/>
        </w:rPr>
        <w:t>◦</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rPr>
          <w:vertAlign w:val="superscript"/>
        </w:rPr>
        <w:t>◦</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rPr>
          <w:vertAlign w:val="superscript"/>
        </w:rPr>
        <w:t>◦</w:t>
      </w:r>
      <w:r>
        <w:t>.</w:t>
      </w:r>
    </w:p>
    <w:p>
      <w:pPr>
        <w:pStyle w:val="ListBullet"/>
      </w:pPr>
      <w:r>
        <w:rPr>
          <w:b/>
        </w:rPr>
        <w:t>Cuando no queda juez en la tierra.</w:t>
      </w:r>
      <w:r>
        <w:t xml:space="preserve"> «La apelación no está entonces en ninguna parte sino en el cielo»</w:t>
      </w:r>
      <w:r>
        <w:rPr>
          <w:vertAlign w:val="superscript"/>
        </w:rPr>
        <w:t>◦</w:t>
      </w:r>
      <w:r>
        <w:t>. Lo escribe casi al cerrar su tratado; el último párrafo (§ 243) recuerda que el poder que cada uno dio a la sociedad no vuelve a los individuos mientras la sociedad dure.</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w:t>
      </w:r>
    </w:p>
    <w:p>
      <w:pPr>
        <w:pStyle w:val="ListBullet"/>
      </w:pPr>
      <w:r>
        <w:rPr>
          <w:b/>
        </w:rPr>
        <w:t>Las declaraciones francesas.</w:t>
      </w:r>
      <w:r>
        <w:t xml:space="preserve"> La de 1789 lo puso entre los derechos naturales: «la libertad, la propiedad, la seguridad y la resistencia a la opresión»</w:t>
      </w:r>
      <w:r>
        <w:rPr>
          <w:vertAlign w:val="superscript"/>
        </w:rPr>
        <w:t>◦</w:t>
      </w:r>
      <w:r>
        <w:t>. La de 1793: «la resistencia a la opresión es la consecuencia de los demás derechos del hombre»</w:t>
      </w:r>
      <w:r>
        <w:rPr>
          <w:vertAlign w:val="superscript"/>
        </w:rPr>
        <w:t>◦</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rPr>
          <w:vertAlign w:val="superscript"/>
        </w:rPr>
        <w:t>◦</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rPr>
          <w:vertAlign w:val="superscript"/>
        </w:rPr>
        <w:t>◦</w:t>
      </w:r>
      <w:r>
        <w:t>. La Constitución española no lo recoge.</w:t>
      </w:r>
    </w:p>
    <w:p>
      <w:r>
        <w:rPr>
          <w:b/>
        </w:rPr>
        <w:t>Lo que la obra hace con esto.</w:t>
      </w:r>
      <w:r>
        <w:t xml:space="preserve"> La obra no propone la rebelión ni la desobediencia, y no exime de ninguna obligación vigente (</w:t>
      </w:r>
      <w:r>
        <w:t>0.2</w:t>
      </w:r>
      <w:r>
        <w:t>). Su vía está antes de cualquier último recurso: la constancia escrita, la petición documentada y el juicio de opinión (capítulos 10 y 11). Lo que toma de Montesquieu y de Locke es la medida: un gobierno se juzga por si se deja frenar y por si cumple su encargo.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«Por sus frutos los conoceréis» (Mt 7:16).</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la pregunta se descompone: «¿se cumple este mandato concreto, en los hechos, con fuente?». Y así, artículo por artículo, los 169.</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arts. 124 y 103.3). Ninguno de los 69 incumplimientos equivale a un rey que disuelve el Parlamento.</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rPr>
          <w:vertAlign w:val="superscript"/>
        </w:rPr>
        <w:t>◦</w:t>
      </w:r>
      <w:r>
        <w:t>. Y en su discurso de apertura dijo al tribunal: «No les pediremos que condenen a estos hombres por el testimonio de sus enemigos. No hay cargo de la acusación que no pueda probarse con libros y registros»</w:t>
      </w:r>
      <w:r>
        <w:rPr>
          <w:vertAlign w:val="superscript"/>
        </w:rPr>
        <w:t>◦</w:t>
      </w:r>
      <w:r>
        <w:t>. Uno de los fiscales lo contó después: Jackson pensaba llevar el juicio con testigos completados con documentos, y al ver la colección de documentos lo llevó «sobre todo con documentos completados con testigos»</w:t>
      </w:r>
      <w:r>
        <w:rPr>
          <w:vertAlign w:val="superscript"/>
        </w:rPr>
        <w:t>◦</w:t>
      </w:r>
      <w:r>
        <w: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rPr>
          <w:vertAlign w:val="superscript"/>
        </w:rPr>
        <w:t>◦</w:t>
      </w:r>
      <w:r>
        <w:t>. En 2026, la asignación «idéntica para todos los Diputados» es de 3.366,99 euros al mes, más complementos</w:t>
      </w:r>
      <w:r>
        <w:rPr>
          <w:vertAlign w:val="superscript"/>
        </w:rPr>
        <w:t>◦</w:t>
      </w:r>
      <w:r>
        <w:t>. El Reino Unido creó en 2009 un organismo independiente, la IPSA</w:t>
      </w:r>
      <w:r>
        <w:rPr>
          <w:vertAlign w:val="superscript"/>
        </w:rPr>
        <w:t>◦</w:t>
      </w:r>
      <w:r>
        <w:t xml:space="preserve">, que fija los sueldos de los diputados desde 2011. </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rPr>
          <w:vertAlign w:val="superscript"/>
        </w:rPr>
        <w:t>◦</w:t>
      </w:r>
      <w:r>
        <w:t>; hoy los veinte los eligen las Cortes (</w:t>
      </w:r>
      <w:r>
        <w:t>6.4</w:t>
      </w:r>
      <w:r>
        <w:t>). Su mandato caducó en diciembre de 2018 y no se renovó hasta junio de 2024 (</w:t>
      </w:r>
      <w:r>
        <w:t>anexo A</w:t>
      </w:r>
      <w:r>
        <w:t>, art. 122). El GRECO llamó a ese bloqueo «un asunto de preocupación crítica»</w:t>
      </w:r>
      <w:r>
        <w:rPr>
          <w:vertAlign w:val="superscript"/>
        </w:rPr>
        <w:t>◦</w:t>
      </w:r>
      <w:r>
        <w:t>. La reforma de 2024 encargó al nuevo Consejo una propuesta de reforma del sistema de elección en seis meses</w:t>
      </w:r>
      <w:r>
        <w:rPr>
          <w:vertAlign w:val="superscript"/>
        </w:rPr>
        <w:t>◦</w:t>
      </w:r>
      <w:r>
        <w:t xml:space="preserve">. </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rPr>
          <w:vertAlign w:val="superscript"/>
        </w:rPr>
        <w:t>◦</w:t>
      </w:r>
      <w:r>
        <w:t xml:space="preserve">: un filtro que no está en el art. 53.2 de la Constitución. </w:t>
      </w:r>
    </w:p>
    <w:p>
      <w:pPr>
        <w:spacing w:after="60"/>
        <w:ind w:left="510" w:hanging="397"/>
      </w:pPr>
      <w:r>
        <w:rPr>
          <w:b w:val="0"/>
        </w:rPr>
        <w:t xml:space="preserve">4. </w:t>
      </w:r>
      <w:r>
        <w:rPr>
          <w:b/>
        </w:rPr>
        <w:t>La deuda, primero.</w:t>
      </w:r>
      <w:r>
        <w:t xml:space="preserve"> El pago de la deuda pública «gozará de prioridad absoluta»</w:t>
      </w:r>
      <w:r>
        <w:rPr>
          <w:vertAlign w:val="superscript"/>
        </w:rPr>
        <w:t>◦</w:t>
      </w:r>
      <w:r>
        <w:t>, por la reforma de 2011, hecha sin referéndum. En 2025, las administraciones pagaron 40.314 millones en intereses e invirtieron 49.632</w:t>
      </w:r>
      <w:r>
        <w:rPr>
          <w:vertAlign w:val="superscript"/>
        </w:rPr>
        <w:t>◦</w:t>
      </w:r>
      <w:r>
        <w:t xml:space="preserve">: por cada 5 euros que se invierten, se pagan unos 4 en intereses, el 81 % (cálculo de la obra; </w:t>
      </w:r>
      <w:r>
        <w:t>8.6</w:t>
      </w:r>
      <w:r>
        <w:t xml:space="preserve">). </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rPr>
          <w:vertAlign w:val="superscript"/>
        </w:rPr>
        <w:t>◦</w:t>
      </w:r>
      <w:r>
        <w:t>. El rescate bancario costó, «a 31 de diciembre de 2021», 71.833 millones; los recursos públicos «ciertamente empleados» fueron 50.621 millones</w:t>
      </w:r>
      <w:r>
        <w:rPr>
          <w:vertAlign w:val="superscript"/>
        </w:rPr>
        <w:t>◦</w:t>
      </w:r>
      <w:r>
        <w:t>. En 2019, el Banco de España daba 5.225 millones recuperados</w:t>
      </w:r>
      <w:r>
        <w:rPr>
          <w:vertAlign w:val="superscript"/>
        </w:rPr>
        <w:t>◦</w:t>
      </w:r>
      <w:r>
        <w:t xml:space="preserve">. </w:t>
      </w:r>
    </w:p>
    <w:p>
      <w:pPr>
        <w:spacing w:after="60"/>
        <w:ind w:left="510" w:hanging="397"/>
      </w:pPr>
      <w:r>
        <w:rPr>
          <w:b w:val="0"/>
        </w:rPr>
        <w:t xml:space="preserve">6. </w:t>
      </w:r>
      <w:r>
        <w:rPr>
          <w:b/>
        </w:rPr>
        <w:t>La inviolabilidad.</w:t>
      </w:r>
      <w:r>
        <w:t xml:space="preserve"> «La persona del Rey es inviolable y no está sujeta a responsabilidad»</w:t>
      </w:r>
      <w:r>
        <w:rPr>
          <w:vertAlign w:val="superscript"/>
        </w:rPr>
        <w:t>◦</w:t>
      </w:r>
      <w:r>
        <w:t>. La Fiscalía del Supremo archivó en 2022 sus diligencias sobre el anterior Jefe del Estado: unas por prescripción, y lo anterior al 19 de junio de 2014 porque estaba «protegido por la inviolabilidad»</w:t>
      </w:r>
      <w:r>
        <w:rPr>
          <w:vertAlign w:val="superscript"/>
        </w:rPr>
        <w:t>◦</w:t>
      </w:r>
      <w:r>
        <w:t>; en 2025, el Supremo inadmitió una querella con el mismo límite</w:t>
      </w:r>
      <w:r>
        <w:rPr>
          <w:vertAlign w:val="superscript"/>
        </w:rPr>
        <w:t>◦</w:t>
      </w:r>
      <w:r>
        <w:t xml:space="preserve">. Ningún tribunal ha examinado nada anterior a esa fecha. </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rPr>
          <w:vertAlign w:val="superscript"/>
        </w:rPr>
        <w:t>◦</w:t>
      </w:r>
      <w:r>
        <w:t xml:space="preserve">. No una ley. </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rPr>
          <w:vertAlign w:val="superscript"/>
        </w:rPr>
        <w:t>◦</w:t>
      </w:r>
      <w:r>
        <w:t xml:space="preserve">. </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rPr>
          <w:vertAlign w:val="superscript"/>
        </w:rPr>
        <w:t>◦</w:t>
      </w:r>
      <w:r>
        <w:t>. Del segundo estado de alarma anuló, entre otros, la delegación en las autoridades autonómicas</w:t>
      </w:r>
      <w:r>
        <w:rPr>
          <w:vertAlign w:val="superscript"/>
        </w:rPr>
        <w:t>◦</w:t>
      </w:r>
      <w:r>
        <w:t xml:space="preserve">. </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rPr>
          <w:vertAlign w:val="superscript"/>
        </w:rPr>
        <w:t>◦</w:t>
      </w:r>
      <w:r>
        <w:t xml:space="preserve">. </w:t>
      </w:r>
    </w:p>
    <w:p>
      <w:pPr>
        <w:spacing w:after="60"/>
        <w:ind w:left="510" w:hanging="397"/>
      </w:pPr>
      <w:r>
        <w:rPr>
          <w:b w:val="0"/>
        </w:rPr>
        <w:t xml:space="preserve">11. </w:t>
      </w:r>
      <w:r>
        <w:rPr>
          <w:b/>
        </w:rPr>
        <w:t>La Administración.</w:t>
      </w:r>
      <w:r>
        <w:t xml:space="preserve"> La Administración «sirve con objetividad los intereses generales»</w:t>
      </w:r>
      <w:r>
        <w:rPr>
          <w:vertAlign w:val="superscript"/>
        </w:rPr>
        <w:t>◦</w:t>
      </w:r>
      <w:r>
        <w:t>. El Tribunal de Cuentas fiscalizó la contratación menor en 2026</w:t>
      </w:r>
      <w:r>
        <w:rPr>
          <w:vertAlign w:val="superscript"/>
        </w:rPr>
        <w:t>◦</w:t>
      </w:r>
      <w:r>
        <w:t>, y sobre la Cuenta General de 2024 advirtió que la Seguridad Social tiene un patrimonio neto negativo de 106.138,7 millones y que el resultado presupuestario consolidado está «sobrevalorado en 4.090,3 millones»</w:t>
      </w:r>
      <w:r>
        <w:rPr>
          <w:vertAlign w:val="superscript"/>
        </w:rPr>
        <w:t>◦</w:t>
      </w:r>
      <w:r>
        <w:t xml:space="preserve">. </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rPr>
          <w:vertAlign w:val="superscript"/>
        </w:rPr>
        <w:t>◦</w:t>
      </w:r>
      <w:r>
        <w:t>. La ley de financiación regula solo las comunidades «de régimen común»</w:t>
      </w:r>
      <w:r>
        <w:rPr>
          <w:vertAlign w:val="superscript"/>
        </w:rPr>
        <w:t>◦</w:t>
      </w:r>
      <w:r>
        <w:t xml:space="preserve">; el País Vasco y Navarra tienen su Concierto y su Convenio (Leyes 12/2002 y 28/1990). </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rPr>
          <w:vertAlign w:val="superscript"/>
        </w:rPr>
        <w:t>◦</w:t>
      </w:r>
      <w:r>
        <w:t xml:space="preserve">. </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rPr>
          <w:vertAlign w:val="superscript"/>
        </w:rPr>
        <w:t>◦</w:t>
      </w:r>
      <w:r>
        <w:t>. De la de 2024 dijo el Gobierno que era «la tercera desde la entrada en vigor de la Constitución, pero la primera de contenido social»</w:t>
      </w:r>
      <w:r>
        <w:rPr>
          <w:vertAlign w:val="superscript"/>
        </w:rPr>
        <w:t>◦</w:t>
      </w:r>
      <w:r>
        <w:t xml:space="preserve">. </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rPr>
          <w:vertAlign w:val="superscript"/>
        </w:rPr>
        <w:t>◦</w:t>
      </w:r>
      <w:r>
        <w:t>; y estimó en parte la cuestión del Supremo «en los términos ya establecidos» en esa sentencia</w:t>
      </w:r>
      <w:r>
        <w:rPr>
          <w:vertAlign w:val="superscript"/>
        </w:rPr>
        <w:t>◦</w:t>
      </w:r>
      <w:r>
        <w:t xml:space="preserve">. Aquí, el contrapeso funcionó. </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rPr>
          <w:vertAlign w:val="superscript"/>
        </w:rPr>
        <w:t>◦</w:t>
      </w:r>
      <w:r>
        <w:t>. No hace falta un monstruo diseñado en la sombra: basta con que cada pieza, una a una, parezca razonable, y con que nadie, en ninguna sala, se siente a mirarlas todas juntas.</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rPr>
          <w:vertAlign w:val="superscript"/>
        </w:rPr>
        <w:t>◦</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rPr>
          <w:vertAlign w:val="superscript"/>
        </w:rPr>
        <w:t>◦</w:t>
      </w:r>
      <w:r>
        <w:t>. Reunirse sin comunicarlo es una infracción leve, de 100 a 600 euros</w:t>
      </w:r>
      <w:r>
        <w:rPr>
          <w:vertAlign w:val="superscript"/>
        </w:rPr>
        <w:t>◦</w:t>
      </w:r>
      <w:r>
        <w:t>. El Constitucional anuló solo el inciso «no autorizado» del art. 36.23 y desestimó el resto del recurso</w:t>
      </w:r>
      <w:r>
        <w:rPr>
          <w:vertAlign w:val="superscript"/>
        </w:rPr>
        <w:t>◦</w:t>
      </w:r>
      <w:r>
        <w:t xml:space="preserve">. Leído en el original, este caso no muestra un incumplimiento: castiga la perturbación grave, no la protesta pacífica. </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rPr>
          <w:vertAlign w:val="superscript"/>
        </w:rPr>
        <w:t>◦</w:t>
      </w:r>
      <w:r>
        <w:t>; la de 2020 suprimió esa frase</w:t>
      </w:r>
      <w:r>
        <w:rPr>
          <w:vertAlign w:val="superscript"/>
        </w:rPr>
        <w:t>◦</w:t>
      </w:r>
      <w:r>
        <w:t>, y el Constitucional desestimó el recurso contra ella</w:t>
      </w:r>
      <w:r>
        <w:rPr>
          <w:vertAlign w:val="superscript"/>
        </w:rPr>
        <w:t>◦</w:t>
      </w:r>
      <w:r>
        <w:t xml:space="preserve">. </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rPr>
          <w:vertAlign w:val="superscript"/>
        </w:rPr>
        <w:t>◦</w:t>
      </w:r>
      <w:r>
        <w:t>. El Supremo ya había considerado razonable ese 25 % en 2015, en casos de familias concretas</w:t>
      </w:r>
      <w:r>
        <w:rPr>
          <w:vertAlign w:val="superscript"/>
        </w:rPr>
        <w:t>◦</w:t>
      </w:r>
      <w:r>
        <w:t>. La prueba del pleito fue una muestra: solo 5 de 184 centros impartían en castellano el 25 % de las materias</w:t>
      </w:r>
      <w:r>
        <w:rPr>
          <w:vertAlign w:val="superscript"/>
        </w:rPr>
        <w:t>◦</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rPr>
          <w:vertAlign w:val="superscript"/>
        </w:rPr>
        <w:t>◦</w:t>
      </w:r>
      <w:r>
        <w:t xml:space="preserve">. A 6 de octubre de 2026, el Constitucional no la ha resuelto. </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rPr>
          <w:vertAlign w:val="superscript"/>
        </w:rPr>
        <w:t>◦</w:t>
      </w:r>
      <w:r>
        <w:t xml:space="preserve">. Pasaron siete años entre el recurso y la sentencia. </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rPr>
          <w:vertAlign w:val="superscript"/>
        </w:rPr>
        <w:t>◦</w:t>
      </w:r>
      <w:r>
        <w:t>, adaptando la doctrina europea de la pena «reducible de derecho y de hecho»</w:t>
      </w:r>
      <w:r>
        <w:rPr>
          <w:vertAlign w:val="superscript"/>
        </w:rPr>
        <w:t>◦</w:t>
      </w:r>
      <w:r>
        <w:t>. Un estudio de 2023 se tituló «constitucionalidad declarada, inconstitucionalidad manifiesta»</w:t>
      </w:r>
      <w:r>
        <w:rPr>
          <w:vertAlign w:val="superscript"/>
        </w:rPr>
        <w:t>◦</w:t>
      </w:r>
      <w:r>
        <w:t xml:space="preserve">. </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rPr>
          <w:vertAlign w:val="superscript"/>
        </w:rPr>
        <w:t>◦</w:t>
      </w:r>
      <w:r>
        <w:t xml:space="preserve">. </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rPr>
          <w:vertAlign w:val="superscript"/>
        </w:rPr>
        <w:t>◦</w:t>
      </w:r>
      <w:r>
        <w:t>, y estimó íntegramente el recurso contra la ley catalana de consultas de 2010</w:t>
      </w:r>
      <w:r>
        <w:rPr>
          <w:vertAlign w:val="superscript"/>
        </w:rPr>
        <w:t>◦</w:t>
      </w:r>
      <w:r>
        <w:t>. Son intentos frenados (</w:t>
      </w:r>
      <w:r>
        <w:t>7.4</w:t>
      </w:r>
      <w:r>
        <w:t xml:space="preserve">). </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rPr>
          <w:vertAlign w:val="superscript"/>
        </w:rPr>
        <w:t>◦</w:t>
      </w:r>
      <w:r>
        <w:t>. Y pidió que las fundaciones vinculadas no se usen «como una vía paralela de financiación fraudulenta»</w:t>
      </w:r>
      <w:r>
        <w:rPr>
          <w:vertAlign w:val="superscript"/>
        </w:rPr>
        <w:t>◦</w:t>
      </w:r>
      <w:r>
        <w:t xml:space="preserve">. </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rPr>
          <w:vertAlign w:val="superscript"/>
        </w:rPr>
        <w:t>◦</w:t>
      </w:r>
      <w:r>
        <w:t xml:space="preserve">. No tiene otra sanción. </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rPr>
          <w:vertAlign w:val="superscript"/>
        </w:rPr>
        <w:t>◦</w:t>
      </w:r>
      <w:r>
        <w:t>. En el primer trimestre de 2026, 4.005 lanzamientos</w:t>
      </w:r>
      <w:r>
        <w:rPr>
          <w:vertAlign w:val="superscript"/>
        </w:rPr>
        <w:t>◦</w:t>
      </w:r>
      <w:r>
        <w:t xml:space="preserve">. </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rPr>
          <w:vertAlign w:val="superscript"/>
        </w:rPr>
        <w:t>◦</w:t>
      </w:r>
      <w:r>
        <w:t xml:space="preserve">. No se ha reformado. </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Cada artículo cuenta una vez: 66 + 103 = 169.</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rPr>
          <w:b/>
        </w:rPr>
        <w:t>El freno.</w:t>
      </w:r>
      <w:r>
        <w:t xml:space="preserve"> Montesquieu propuso un mecanismo, «que el poder frene al poder» (</w:t>
      </w:r>
      <w:r>
        <w:t>6.5</w:t>
      </w:r>
      <w:r>
        <w:t>),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sea un plan: doce correcciones reales lo contradicen. Y no mide la retórica: si el poder invocó la voluntad del pueblo mientras dejaba fuera la condición que la hacía general, eso exigiría leer discursos y debates caso por caso.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rPr>
          <w:vertAlign w:val="superscript"/>
        </w:rPr>
        <w:t>◦</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forma.</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y la cadena sigue hasta que el pueblo «no sabe dónde poner las manos ni los pies»</w:t>
      </w:r>
      <w:r>
        <w:rPr>
          <w:vertAlign w:val="superscript"/>
        </w:rPr>
        <w:t>◦</w:t>
      </w:r>
      <w:r>
        <w:t>. Es la rectificación de los nombres. Mencio llevó la idea al gobernante: el que daña la benevolencia y la justicia ya no es un soberano, sino «un simple individuo» (</w:t>
      </w:r>
      <w:r>
        <w:t>3.2</w:t>
      </w:r>
      <w:r>
        <w:t xml:space="preserve">, P1). </w:t>
      </w:r>
    </w:p>
    <w:p>
      <w:pPr>
        <w:pStyle w:val="ListBullet"/>
      </w:pPr>
      <w:r>
        <w:rPr>
          <w:b/>
        </w:rPr>
        <w:t>Roma.</w:t>
      </w:r>
      <w:r>
        <w:t xml:space="preserve"> Séneca, a Nerón: «el tirano se distingue del rey por los hechos, no por el nombre»</w:t>
      </w:r>
      <w:r>
        <w:rPr>
          <w:vertAlign w:val="superscript"/>
        </w:rPr>
        <w:t>◦</w:t>
      </w:r>
      <w:r>
        <w:t xml:space="preserve">. No es una pata independiente: viene de la tradición griega. </w:t>
      </w:r>
    </w:p>
    <w:p>
      <w:pPr>
        <w:pStyle w:val="ListBullet"/>
      </w:pPr>
      <w:r>
        <w:rPr>
          <w:b/>
        </w:rPr>
        <w:t>El Nuevo Testamento.</w:t>
      </w:r>
      <w:r>
        <w:t xml:space="preserve"> «Teniendo apariencia de piedad, mas habiendo negado la eficacia de ella»</w:t>
      </w:r>
      <w:r>
        <w:rPr>
          <w:vertAlign w:val="superscript"/>
        </w:rPr>
        <w:t>◦</w:t>
      </w:r>
      <w:r>
        <w:t xml:space="preserve">. La palabra griega, </w:t>
      </w:r>
      <w:r>
        <w:rPr>
          <w:i/>
        </w:rPr>
        <w:t>mórphosis</w:t>
      </w:r>
      <w:r>
        <w:t xml:space="preserve">, es de la misma familia que la de Aristóteles. </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rPr>
          <w:vertAlign w:val="superscript"/>
        </w:rPr>
        <w:t>◦</w:t>
      </w:r>
      <w:r>
        <w:t>. Alcanzaba a la cúspide: el rey Kofi Karikari fue depuesto en 1874, cuando se descubrió que había profanado las tumbas de sus antepasados</w:t>
      </w:r>
      <w:r>
        <w:rPr>
          <w:vertAlign w:val="superscript"/>
        </w:rPr>
        <w:t>◦</w:t>
      </w:r>
      <w:r>
        <w:t>. Y sigue vivo: en 2024, el Asantehene destituyó a tres jefes por su implicación en la minería ilegal; en 2025, a otro, con estas palabras: «Juraste con el Gran Juramento ser veraz, y fuiste contra él. No mereces seguir en el taburete»</w:t>
      </w:r>
      <w:r>
        <w:t>; y en julio de 2026, a un jefe que llevaba ochenta y nueve años en el cargo</w:t>
      </w:r>
      <w:r>
        <w:rPr>
          <w:vertAlign w:val="superscript"/>
        </w:rPr>
        <w:t>◦</w:t>
      </w:r>
      <w:r>
        <w:t xml:space="preserve">. </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rPr>
          <w:vertAlign w:val="superscript"/>
        </w:rPr>
        <w:t>◦</w:t>
      </w:r>
      <w:r>
        <w:t xml:space="preserve">. Vigilaban el poder delegado, no al Inca. </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rPr>
          <w:vertAlign w:val="superscript"/>
        </w:rPr>
        <w:t>◦</w:t>
      </w:r>
      <w:r>
        <w:t>. No es un mecanismo para deponer a un jefe, sino un código escrito para que la comunidad se corrija por dentro. La mayoría de los estudiosos la identifica con los esenios, aunque no es unánime</w:t>
      </w:r>
      <w:r>
        <w:rPr>
          <w:vertAlign w:val="superscript"/>
        </w:rPr>
        <w:t>◦</w:t>
      </w:r>
      <w:r>
        <w:t xml:space="preserve">. </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rPr>
          <w:vertAlign w:val="superscript"/>
        </w:rPr>
        <w:t>◦</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rPr>
          <w:vertAlign w:val="superscript"/>
        </w:rPr>
        <w:t>◦</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rPr>
          <w:vertAlign w:val="superscript"/>
        </w:rPr>
        <w:t>◦</w:t>
      </w:r>
      <w:r>
        <w:t>.</w:t>
      </w:r>
    </w:p>
    <w:p>
      <w:r>
        <w:t>Es decir: no por sus procedimientos, sino por sus frutos.</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rPr>
          <w:vertAlign w:val="superscript"/>
        </w:rPr>
        <w:t>◦</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rPr>
          <w:vertAlign w:val="superscript"/>
        </w:rPr>
        <w:t>◦</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rPr>
          <w:vertAlign w:val="superscript"/>
        </w:rPr>
        <w:t>◦</w:t>
      </w:r>
      <w:r>
        <w:t>, y el Constitucional extendió «con ciertos matices» los principios del orden penal al derecho administrativo sancionador</w:t>
      </w:r>
      <w:r>
        <w:rPr>
          <w:vertAlign w:val="superscript"/>
        </w:rPr>
        <w:t>◦</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rPr>
          <w:vertAlign w:val="superscript"/>
        </w:rPr>
        <w:t>◦</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rPr>
          <w:vertAlign w:val="superscript"/>
        </w:rPr>
        <w:t>◦</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rPr>
          <w:vertAlign w:val="superscript"/>
        </w:rPr>
        <w:t>◦</w:t>
      </w:r>
      <w:r>
        <w:t>. Si es así, el defecto no está en el acto, sino en una ley de setenta y dos años: forma envejecida.</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rPr>
          <w:vertAlign w:val="superscript"/>
        </w:rPr>
        <w:t>◦</w:t>
      </w:r>
      <w:r>
        <w:t>, «serán inmediatamente ejecutivos»</w:t>
      </w:r>
      <w:r>
        <w:rPr>
          <w:vertAlign w:val="superscript"/>
        </w:rPr>
        <w:t>◦</w:t>
      </w:r>
      <w:r>
        <w:t>, y puede ejecutarlos ella misma, incluido el «apremio sobre el patrimonio»</w:t>
      </w:r>
      <w:r>
        <w:rPr>
          <w:vertAlign w:val="superscript"/>
        </w:rPr>
        <w:t>◦</w:t>
      </w:r>
      <w:r>
        <w:t>. Es un poder real, con un fin declarado, el interés general, y sujeto a recurso: contra la providencia de apremio caben los motivos de oposición tasados de la ley</w:t>
      </w:r>
      <w:r>
        <w:rPr>
          <w:vertAlign w:val="superscript"/>
        </w:rPr>
        <w:t>◦</w:t>
      </w:r>
      <w:r>
        <w:t>.</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rPr>
          <w:vertAlign w:val="superscript"/>
        </w:rPr>
        <w:t>◦</w:t>
      </w:r>
      <w:r>
        <w:t>. Cuando es Hacienda la que devuelve tarde, «ésta abonará el interés de demora regulado en el artículo 26»</w:t>
      </w:r>
      <w:r>
        <w:rPr>
          <w:vertAlign w:val="superscript"/>
        </w:rPr>
        <w:t>◦</w:t>
      </w:r>
      <w:r>
        <w:t>: el mismo interés, pero ningún recargo. La asimetría está en el recargo, no en el interés.</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rPr>
          <w:vertAlign w:val="superscript"/>
        </w:rPr>
        <w:t>◦</w:t>
      </w:r>
      <w:r>
        <w:t>. Y una vez funcionó: la plusvalía municipal era inconstitucional cuando «la cuota a satisfacer es superior al incremento patrimonial realmente obtenido por el contribuyente»</w:t>
      </w:r>
      <w:r>
        <w:rPr>
          <w:vertAlign w:val="superscript"/>
        </w:rPr>
        <w:t>◦</w:t>
      </w:r>
      <w:r>
        <w:t>.</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w:t>
      </w:r>
    </w:p>
    <w:p>
      <w:r>
        <w:rPr>
          <w:b/>
        </w:rPr>
        <w:t>La palabra del inspector.</w:t>
      </w:r>
      <w:r>
        <w:t xml:space="preserve"> Las diligencias de la inspección «tienen naturaleza de documentos públicos y hacen prueba de los hechos que motiven su formalización, salvo que se acredite lo contrario»</w:t>
      </w:r>
      <w:r>
        <w:rPr>
          <w:vertAlign w:val="superscript"/>
        </w:rPr>
        <w:t>◦</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rPr>
          <w:vertAlign w:val="superscript"/>
        </w:rPr>
        <w:t>◦</w:t>
      </w:r>
      <w:r>
        <w:t>.</w:t>
      </w:r>
    </w:p>
    <w:p>
      <w:r>
        <w:rPr>
          <w:b/>
        </w:rPr>
        <w:t>Lo que queda para invertir.</w:t>
      </w:r>
      <w:r>
        <w:t xml:space="preserve"> En 2025, las administraciones pagaron 40.314 millones en intereses e invirtieron 49.632 (</w:t>
      </w:r>
      <w:r>
        <w:t>7.2</w:t>
      </w:r>
      <w:r>
        <w:t>, n.º 4). Además, el Estado aportó 13.347 millones a la Unión Europea</w:t>
      </w:r>
      <w:r>
        <w:rPr>
          <w:vertAlign w:val="superscript"/>
        </w:rPr>
        <w:t>◦</w:t>
      </w:r>
      <w:r>
        <w:t>. Para 2026, la Autoridad Fiscal estima que el gasto en intereses del conjunto de las administraciones «alcanzará los 43.300 millones, el 2,5 % del PIB»</w:t>
      </w:r>
      <w:r>
        <w:rPr>
          <w:vertAlign w:val="superscript"/>
        </w:rPr>
        <w:t>◦</w:t>
      </w:r>
      <w:r>
        <w:t>. El dato no prueba una intención: prueba que la capacidad de invertir está condicionada por el peso de la deuda.</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rPr>
          <w:vertAlign w:val="superscript"/>
        </w:rPr>
        <w:t>◦</w:t>
      </w:r>
      <w:r>
        <w:t>. Ya se vio con la vivienda (</w:t>
      </w:r>
      <w:r>
        <w:t>5.1</w:t>
      </w:r>
      <w:r>
        <w:t>, n.º 16). Esa diferencia de fuerza es el primer dato.</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rPr>
          <w:vertAlign w:val="superscript"/>
        </w:rPr>
        <w:t>◦</w:t>
      </w:r>
      <w:r>
        <w:t>, y un real decreto la adelantó: «Se adelanta al 31 de diciembre de 2001»</w:t>
      </w:r>
      <w:r>
        <w:rPr>
          <w:vertAlign w:val="superscript"/>
        </w:rPr>
        <w:t>◦</w:t>
      </w:r>
      <w:r>
        <w:t>.</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rPr>
          <w:vertAlign w:val="superscript"/>
        </w:rPr>
        <w:t>◦</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rPr>
          <w:vertAlign w:val="superscript"/>
        </w:rPr>
        <w:t>◦</w:t>
      </w:r>
      <w:r>
        <w:t>. Quien ha presidido el Gobierno tiene, además, una pensión indemnizatoria, una dotación de oficina «en la cuantía que se consigne» en los Presupuestos y dos puestos de trabajo (</w:t>
      </w:r>
      <w:r>
        <w:t>C.4</w:t>
      </w:r>
      <w:r>
        <w:t>)</w:t>
      </w:r>
      <w:r>
        <w:rPr>
          <w:vertAlign w:val="superscript"/>
        </w:rPr>
        <w:t>◦</w:t>
      </w:r>
      <w:r>
        <w:t>.</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r>
        <w:rPr>
          <w:b/>
        </w:rPr>
        <w:t>Lectura del autor:</w:t>
      </w:r>
      <w:r>
        <w:t xml:space="preserve"> el Estado cobra con la ley de los hechos consumados y paga con la ley de los hechos aplazados. Lo que para uno es inmediato, para el otro es un principio. «Por sus frutos los conoceréis» (Mt 7:16).</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rPr>
          <w:vertAlign w:val="superscript"/>
        </w:rPr>
        <w:t>◦</w:t>
      </w:r>
      <w:r>
        <w:t>. Ninguna ley ordena tratar al propietario como intruso; y la ley le da una vía rápida: pueden pedir «la inmediata recuperación de la plena posesión» de una vivienda «la persona física que sea propietaria o poseedora legítima por otro título»</w:t>
      </w:r>
      <w:r>
        <w:rPr>
          <w:vertAlign w:val="superscript"/>
        </w:rPr>
        <w:t>◦</w:t>
      </w:r>
      <w:r>
        <w:t>. El fallo está antes: en el primer contacto policial, hay que distinguir en minutos lo que un juzgado tarda meses en aclarar.</w:t>
      </w:r>
    </w:p>
    <w:p>
      <w:r>
        <w:rPr>
          <w:b/>
        </w:rPr>
        <w:t>2. La denuncia y la orden de protección.</w:t>
      </w:r>
      <w:r>
        <w:t xml:space="preserve"> No basta una denuncia, sin más. La ley convoca «una audiencia urgente» a la víctima y al presunto agresor, que «habrá de celebrarse en un plazo máximo de setenta y dos horas»</w:t>
      </w:r>
      <w:r>
        <w:rPr>
          <w:vertAlign w:val="superscript"/>
        </w:rPr>
        <w:t>◦</w:t>
      </w:r>
      <w:r>
        <w:t>. Y el juez deniega con frecuencia: en 2024 se solicitaron 49.268 órdenes de protección, «fueron acordadas 33.247 y se denegaron otras 15.827»</w:t>
      </w:r>
      <w:r>
        <w:rPr>
          <w:vertAlign w:val="superscript"/>
        </w:rPr>
        <w:t>◦</w:t>
      </w:r>
      <w:r>
        <w:t>; en el segundo trimestre de 2025 no se acordaron el 32,3 %</w:t>
      </w:r>
      <w:r>
        <w:rPr>
          <w:vertAlign w:val="superscript"/>
        </w:rPr>
        <w:t>◦</w:t>
      </w:r>
      <w:r>
        <w:t>.</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rPr>
          <w:vertAlign w:val="superscript"/>
        </w:rPr>
        <w:t>◦</w:t>
      </w:r>
      <w:r>
        <w:t>. El promedio de 2009 a 2025 es del 0,007 %</w:t>
      </w:r>
      <w:r>
        <w:rPr>
          <w:vertAlign w:val="superscript"/>
        </w:rPr>
        <w:t>◦</w:t>
      </w:r>
      <w:r>
        <w:t>. Hay una objeción metodológica legítima: la cifra mide también cuánto se persigue la denuncia falsa, y no solo cuántas hay. Pero es una hipótesis sobre lo que no se mide, no un dato alternativo.</w:t>
      </w:r>
    </w:p>
    <w:p>
      <w:r>
        <w:rPr>
          <w:b/>
        </w:rPr>
        <w:t>4. La pena por denunciar en falso.</w:t>
      </w:r>
      <w:r>
        <w:t xml:space="preserve"> La denuncia falsa probada se castiga con prisión de seis meses a dos años y multa, si lo imputado era un delito grave, y con multa en los demás casos</w:t>
      </w:r>
      <w:r>
        <w:rPr>
          <w:vertAlign w:val="superscript"/>
        </w:rPr>
        <w:t>◦</w:t>
      </w:r>
      <w:r>
        <w:t>. Pero las penas de prisión «no superiores a dos años» se pueden suspender</w:t>
      </w:r>
      <w:r>
        <w:rPr>
          <w:vertAlign w:val="superscript"/>
        </w:rPr>
        <w:t>◦</w:t>
      </w:r>
      <w:r>
        <w:t>. Y una absolución no equivale a una denuncia falsa: condenar exige probar que quien denunció sabía que mentía.</w:t>
      </w:r>
    </w:p>
    <w:p>
      <w:r>
        <w:rPr>
          <w:b/>
        </w:rPr>
        <w:t>5. Sin mediación.</w:t>
      </w:r>
      <w:r>
        <w:t xml:space="preserve"> En los asuntos de violencia sobre la mujer «está vedada la utilización de los medios adecuados de solución de controversias»</w:t>
      </w:r>
      <w:r>
        <w:rPr>
          <w:vertAlign w:val="superscript"/>
        </w:rPr>
        <w:t>◦</w:t>
      </w:r>
      <w:r>
        <w:t>. Todo va por la vía judicial contenciosa, también en los conflictos de baja intensidad. Es una decisión de diseño.</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rPr>
          <w:vertAlign w:val="superscript"/>
        </w:rPr>
        <w:t>◦</w:t>
      </w:r>
      <w:r>
        <w:t>. En 2024 se dictaron 4.155 suspensiones del régimen de visitas y 2.369 de la guarda y custodia</w:t>
      </w:r>
      <w:r>
        <w:rPr>
          <w:vertAlign w:val="superscript"/>
        </w:rPr>
        <w:t>◦</w:t>
      </w:r>
      <w:r>
        <w:t>. La regla protege al menor, y la letra no distingue por sexo: se aplica a quien resulte investigado. Lo que la crítica señala es el momento: se decide al inicio, cuando la prueba suele limitarse a las declaraciones de las partes.</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rPr>
          <w:vertAlign w:val="superscript"/>
        </w:rPr>
        <w:t>◦</w:t>
      </w:r>
      <w:r>
        <w:t xml:space="preserve">, y «moneda fiat», del latín </w:t>
      </w:r>
      <w:r>
        <w:rPr>
          <w:i/>
        </w:rPr>
        <w:t>fiat</w:t>
      </w:r>
      <w:r>
        <w:t>, «hágase».</w:t>
      </w:r>
    </w:p>
    <w:p>
      <w:r>
        <w:rPr>
          <w:b/>
        </w:rPr>
        <w:t>1971.</w:t>
      </w:r>
      <w:r>
        <w:t xml:space="preserve"> El 15 de agosto de 1971, el presidente de Estados Unidos anunció por televisión: «He ordenado al secretario Connally que suspenda temporalmente la convertibilidad del dólar en oro u otros activos de reserva»</w:t>
      </w:r>
      <w:r>
        <w:rPr>
          <w:vertAlign w:val="superscript"/>
        </w:rPr>
        <w:t>◦</w:t>
      </w:r>
      <w:r>
        <w:t>. Lo temporal no se revirtió. La historia oficial de la Reserva Federal lo resume así: «en la práctica, el sistema monetario internacional pasó a ser fiduciario»</w:t>
      </w:r>
      <w:r>
        <w:rPr>
          <w:vertAlign w:val="superscript"/>
        </w:rPr>
        <w:t>◦</w:t>
      </w:r>
      <w:r>
        <w:t>.</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«en vez de prestar los depósitos que reciben, el acto de prestar crea los depósitos: al revés de la secuencia que suelen describir los manuales»</w:t>
      </w:r>
      <w:r>
        <w:t>; y la teoría del multiplicador «no es una descripción exacta de cómo se crea el dinero en la realidad»</w:t>
      </w:r>
      <w:r>
        <w:rPr>
          <w:vertAlign w:val="superscript"/>
        </w:rPr>
        <w:t>◦</w:t>
      </w:r>
      <w:r>
        <w:t>. El mismo año, un economista pidió un préstamo a un banco que colaboró en el estudio y vigiló sus registros internos; su conclusión, en sus palabras: el estudio «establece por primera vez de forma empírica que los bancos, uno a uno, crean dinero de la nada»</w:t>
      </w:r>
      <w:r>
        <w:rPr>
          <w:vertAlign w:val="superscript"/>
        </w:rPr>
        <w:t>◦</w:t>
      </w:r>
      <w:r>
        <w:t>. Lo de «por primera vez» es afirmación del propio autor.</w:t>
      </w:r>
    </w:p>
    <w:p>
      <w:r>
        <w:rPr>
          <w:b/>
        </w:rPr>
        <w:t>La otra escala: el banco central.</w:t>
      </w:r>
      <w:r>
        <w:t xml:space="preserve"> El balance del Eurosistema pasó de 2,78 billones de euros a final de 2015 a 8,84 billones el 24 de junio de 2022, el máximo de su serie</w:t>
      </w:r>
      <w:r>
        <w:rPr>
          <w:vertAlign w:val="superscript"/>
        </w:rPr>
        <w:t>◦</w:t>
      </w:r>
      <w:r>
        <w:t>. Solo el programa de compra de activos tenía 3,12 billones en títulos a final de 2021, y el de emergencia por la pandemia sumó compras netas de 1,72 billones hasta marzo de 2022</w:t>
      </w:r>
      <w:r>
        <w:rPr>
          <w:vertAlign w:val="superscript"/>
        </w:rPr>
        <w:t>◦</w:t>
      </w:r>
      <w:r>
        <w:t>. La Reserva Federal pasó de unos 0,9 billones de dólares en 2007 a 8,97 billones el 13 de abril de 2022</w:t>
      </w:r>
      <w:r>
        <w:rPr>
          <w:vertAlign w:val="superscript"/>
        </w:rPr>
        <w:t>◦</w:t>
      </w:r>
      <w:r>
        <w:t>. El Tratado prohíbe al banco central «la adquisición directa» de deuda a los Estados</w:t>
      </w:r>
      <w:r>
        <w:rPr>
          <w:vertAlign w:val="superscript"/>
        </w:rPr>
        <w:t>◦</w:t>
      </w:r>
      <w:r>
        <w:t>; el Tribunal de Justicia declaró que sí le autoriza a comprarla «en los mercados secundarios»</w:t>
      </w:r>
      <w:r>
        <w:rPr>
          <w:vertAlign w:val="superscript"/>
        </w:rPr>
        <w:t>◦</w:t>
      </w:r>
      <w:r>
        <w:t>.</w:t>
      </w:r>
    </w:p>
    <w:p>
      <w:r>
        <w:rPr>
          <w:b/>
        </w:rPr>
        <w:t>La deuda mundial.</w:t>
      </w:r>
      <w:r>
        <w:t xml:space="preserve"> A 31 de marzo de 2026, la deuda mundial marcó un récord de casi 353 billones de dólares, y la proporción sobre el PIB mundial «se mantuvo estable en el 305 %»</w:t>
      </w:r>
      <w:r>
        <w:rPr>
          <w:vertAlign w:val="superscript"/>
        </w:rPr>
        <w:t>◦</w:t>
      </w:r>
      <w:r>
        <w:t>. El Banco Mundial describe cuatro olas de deuda desde 1970; en su gráfico, «la deuda mundial tiende a subir desde 1970 y alcanzó cerca del 230 % del PIB en 2018»</w:t>
      </w:r>
      <w:r>
        <w:rPr>
          <w:vertAlign w:val="superscript"/>
        </w:rPr>
        <w:t>◦</w:t>
      </w:r>
      <w:r>
        <w:t>.</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rPr>
          <w:vertAlign w:val="superscript"/>
        </w:rPr>
        <w:t>◦</w:t>
      </w:r>
      <w:r>
        <w:t>. Y la versión simple, «un banco privado controla la moneda», no resiste la fuente: «El Sistema de la Reserva Federal no es "propiedad" de nadie»</w:t>
      </w:r>
      <w:r>
        <w:t>; los bancos miembros tienen por ley acciones de su Banco de Reserva, pero los Bancos de Reserva no buscan beneficio y deben transferir sus ganancias netas al Tesoro</w:t>
      </w:r>
      <w:r>
        <w:rPr>
          <w:vertAlign w:val="superscript"/>
        </w:rPr>
        <w:t>◦</w:t>
      </w:r>
      <w:r>
        <w:t>. Es una estructura mixta, no una propiedad privada sin más.</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rPr>
          <w:vertAlign w:val="superscript"/>
        </w:rPr>
        <w:t>◦</w:t>
      </w:r>
      <w:r>
        <w:t>; en el Senado, el 7 de septiembre, con 236 emitidos, 233 a favor y 3 en contra</w:t>
      </w:r>
      <w:r>
        <w:rPr>
          <w:vertAlign w:val="superscript"/>
        </w:rPr>
        <w:t>◦</w:t>
      </w:r>
      <w:r>
        <w:t>. No hubo referéndum: la Constitución solo lo exige si lo piden, en quince días, «una décima parte de los miembros de cualquiera de las Cámaras»</w:t>
      </w:r>
      <w:r>
        <w:rPr>
          <w:vertAlign w:val="superscript"/>
        </w:rPr>
        <w:t>◦</w:t>
      </w:r>
      <w:r>
        <w:t>, y no se pidió.</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rPr>
          <w:vertAlign w:val="superscript"/>
        </w:rPr>
        <w:t>◦</w:t>
      </w:r>
      <w:r>
        <w:t>. Prefiere llamarlo extracción estructural regresiva.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Y si el príncipe dijera que destina ese lucro al bien público, «no se le ha de creer, porque con la misma razón podría quitarme la túnica y decir que la necesita para el bien común»</w:t>
      </w:r>
      <w:r>
        <w:rPr>
          <w:vertAlign w:val="superscript"/>
        </w:rPr>
        <w:t>◦</w:t>
      </w:r>
      <w:r>
        <w:t xml:space="preserve">. </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Y de la moneda nueva y peor dijo que «no solo contaminó a la antigua, sino que, por así decir, la expulsó»</w:t>
      </w:r>
      <w:r>
        <w:rPr>
          <w:vertAlign w:val="superscript"/>
        </w:rPr>
        <w:t>◦</w:t>
      </w:r>
      <w:r>
        <w:t xml:space="preserve">. Leyó una versión alemana del tratado ante la Dieta de la Prusia Real, en Grudziądz, el 21 de marzo de 1522. Es la idea que después se llamó ley de Gresham. </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rPr>
          <w:vertAlign w:val="superscript"/>
        </w:rPr>
        <w:t>◦</w:t>
      </w:r>
      <w:r>
        <w:t xml:space="preserve">. Es una de las primeras formulaciones de la relación entre la cantidad de dinero y los precios. </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rPr>
          <w:vertAlign w:val="superscript"/>
        </w:rPr>
        <w:t>◦</w:t>
      </w:r>
      <w:r>
        <w:t xml:space="preserve">. </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rPr>
          <w:vertAlign w:val="superscript"/>
        </w:rPr>
        <w:t>◦</w:t>
      </w:r>
      <w:r>
        <w:t xml:space="preserve">. </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Y: «No hay medio más sutil ni más seguro de trastocar las bases de la sociedad que envilecer la moneda»</w:t>
      </w:r>
      <w:r>
        <w:rPr>
          <w:vertAlign w:val="superscript"/>
        </w:rPr>
        <w:t>◦</w:t>
      </w:r>
      <w:r>
        <w:t>. Keynes atribuía la idea a Lenin con un «se dice que»; un estudio de 2009 rastreó su origen en una entrevista publicada por periódicos de Londres y de Nueva York en abril de 1919</w:t>
      </w:r>
      <w:r>
        <w:rPr>
          <w:vertAlign w:val="superscript"/>
        </w:rPr>
        <w:t>◦</w:t>
      </w:r>
      <w:r>
        <w:t xml:space="preserve">. </w:t>
      </w:r>
    </w:p>
    <w:p>
      <w:pPr>
        <w:spacing w:after="60"/>
        <w:ind w:left="510" w:hanging="397"/>
      </w:pPr>
      <w:r>
        <w:rPr>
          <w:b w:val="0"/>
        </w:rPr>
        <w:t xml:space="preserve">7. </w:t>
      </w:r>
      <w:r>
        <w:rPr>
          <w:b/>
        </w:rPr>
        <w:t>Greenspan, 1966.</w:t>
      </w:r>
      <w:r>
        <w:t xml:space="preserve"> «El gasto con déficit es simplemente un plan para la confiscación "oculta" de la riqueza»</w:t>
      </w:r>
      <w:r>
        <w:t>; «En ausencia del patrón oro, no hay forma de proteger el ahorro de la confiscación por la inflación. No hay un depósito de valor seguro»</w:t>
      </w:r>
      <w:r>
        <w:rPr>
          <w:vertAlign w:val="superscript"/>
        </w:rPr>
        <w:t>◦</w:t>
      </w:r>
      <w:r>
        <w:t>. Su autor presidió después la Reserva Federal</w:t>
      </w:r>
      <w:r>
        <w:rPr>
          <w:vertAlign w:val="superscript"/>
        </w:rPr>
        <w:t>◦</w:t>
      </w:r>
      <w:r>
        <w:t xml:space="preserve">. </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Y sobre la tentación de crear dinero a voluntad: «esa tentación existe sin duda, y muchos en la historia monetaria han sucumbido a ella»</w:t>
      </w:r>
      <w:r>
        <w:rPr>
          <w:vertAlign w:val="superscript"/>
        </w:rPr>
        <w:t>◦</w:t>
      </w:r>
      <w:r>
        <w:t xml:space="preserve">. </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r>
        <w:rPr>
          <w:b/>
        </w:rPr>
        <w:t>Lectura del autor:</w:t>
      </w:r>
      <w:r>
        <w:t xml:space="preserve"> no es un aviso nuevo. Es la pesa que se aligera, que la ley de Dios llama abominación (</w:t>
      </w:r>
      <w:r>
        <w:t>3.2</w:t>
      </w:r>
      <w:r>
        <w:t>, P4).</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w:t>
      </w:r>
    </w:p>
    <w:p>
      <w:r>
        <w:rPr>
          <w:b/>
        </w:rPr>
        <w:t>Un solo lenguaje.</w:t>
      </w:r>
      <w:r>
        <w:t xml:space="preserve"> Todo se da en euros, también los años de la peseta, al tipo fijo de «166,386 pesetas españolas»</w:t>
      </w:r>
      <w:r>
        <w:rPr>
          <w:vertAlign w:val="superscript"/>
        </w:rPr>
        <w:t>◦</w:t>
      </w:r>
      <w:r>
        <w:t>. El euro sustituyó a la peseta el 1 de enero de 1999, y sus billetes y monedas «serán los únicos de curso legal en el territorio nacional»</w:t>
      </w:r>
      <w:r>
        <w:rPr>
          <w:vertAlign w:val="superscript"/>
        </w:rPr>
        <w:t>◦</w:t>
      </w:r>
      <w:r>
        <w:t>. Convertir no cambia ninguna proporción.</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rPr>
          <w:vertAlign w:val="superscript"/>
        </w:rPr>
        <w:t>◦</w:t>
      </w:r>
      <w:r>
        <w:t>. Y ese 2 % es la meta oficial: los Tratados encargan a los bancos centrales «mantener la estabilidad de precios»</w:t>
      </w:r>
      <w:r>
        <w:rPr>
          <w:vertAlign w:val="superscript"/>
        </w:rPr>
        <w:t>◦</w:t>
      </w:r>
      <w:r>
        <w:t>, y el Banco Central Europeo la concreta así: «aspirar a una inflación del 2 % a medio plazo»</w:t>
      </w:r>
      <w:r>
        <w:rPr>
          <w:vertAlign w:val="superscript"/>
        </w:rPr>
        <w:t>◦</w:t>
      </w:r>
      <w:r>
        <w:t>. A eso se le llama estabilidad.</w:t>
      </w:r>
    </w:p>
    <w:p>
      <w:r>
        <w:rPr>
          <w:b/>
        </w:rPr>
        <w:t>Lo que compran 100 euros guardados, medido en pan.</w:t>
      </w:r>
      <w:r>
        <w:t xml:space="preserve"> Una barra de pan de unos 250 gramos es el producto de referencia que usó el Ministerio de Agricultura en su estudio del pan de 2009</w:t>
      </w:r>
      <w:r>
        <w:rPr>
          <w:vertAlign w:val="superscript"/>
        </w:rPr>
        <w:t>◦</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rPr>
          <w:vertAlign w:val="superscript"/>
        </w:rPr>
        <w:t>◦</w:t>
      </w:r>
      <w:r>
        <w:t>. La Academia la define hoy como «Elevación del nivel general de precios»</w:t>
      </w:r>
      <w:r>
        <w:rPr>
          <w:vertAlign w:val="superscript"/>
        </w:rPr>
        <w:t>◦</w:t>
      </w:r>
      <w:r>
        <w:t xml:space="preserve"> (</w:t>
      </w:r>
      <w:r>
        <w:t>5.1</w:t>
      </w:r>
      <w:r>
        <w:t>, n.º 22).</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rPr>
          <w:vertAlign w:val="superscript"/>
        </w:rPr>
        <w:t>◦</w:t>
      </w:r>
      <w:r>
        <w:t>.</w:t>
      </w:r>
    </w:p>
    <w:p>
      <w:r>
        <w:rPr>
          <w:b/>
        </w:rPr>
        <w:t>El salario mínimo y el salario medio.</w:t>
      </w:r>
      <w:r>
        <w:t xml:space="preserve"> El mínimo ha subido más que los precios: en 1970 era de «ciento veinte pesetas día o tres mil seiscientas pesetas mes»</w:t>
      </w:r>
      <w:r>
        <w:rPr>
          <w:vertAlign w:val="superscript"/>
        </w:rPr>
        <w:t>◦</w:t>
      </w:r>
      <w:r>
        <w:t>, unos 554 euros de 2025; en 2025, de 1.184 euros al mes</w:t>
      </w:r>
      <w:r>
        <w:rPr>
          <w:vertAlign w:val="superscript"/>
        </w:rPr>
        <w:t>◦</w:t>
      </w:r>
      <w:r>
        <w:t>. Pero no siempre: entre 1980 y 2005 bajó en euros de hoy, de 826 a 774, y el salto llegó en 2019, con «un incremento del 22,3 por ciento»</w:t>
      </w:r>
      <w:r>
        <w:rPr>
          <w:vertAlign w:val="superscript"/>
        </w:rPr>
        <w:t>◦</w:t>
      </w:r>
      <w:r>
        <w:t>. El medio, no: en 2008, 21.883,42 euros al año; en 2024, 29.540,26; subió un 35,0 %, y los precios, un 35,1 %</w:t>
      </w:r>
      <w:r>
        <w:rPr>
          <w:vertAlign w:val="superscript"/>
        </w:rPr>
        <w:t>◦</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rPr>
          <w:vertAlign w:val="superscript"/>
        </w:rPr>
        <w:t>◦</w:t>
      </w:r>
      <w:r>
        <w:t>.</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rPr>
          <w:vertAlign w:val="superscript"/>
        </w:rPr>
        <w:t>◦</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rPr>
          <w:vertAlign w:val="superscript"/>
        </w:rPr>
        <w:t>◦</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rPr>
          <w:vertAlign w:val="superscript"/>
        </w:rPr>
        <w:t>◦</w:t>
      </w:r>
      <w:r>
        <w:t>.</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rPr>
          <w:vertAlign w:val="superscript"/>
        </w:rPr>
        <w:t>◦</w:t>
      </w:r>
      <w:r>
        <w:t>.</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la carga futura del déficit. Siempre con los tres perfiles, el asalariado, el autónomo y el societario, y con los costes indirectos.</w:t>
      </w:r>
    </w:p>
    <w:p>
      <w:r>
        <w:rPr>
          <w:b/>
        </w:rPr>
        <w:t>La cifra oficial.</w:t>
      </w:r>
      <w:r>
        <w:t xml:space="preserve"> En 2024, los impuestos y cotizaciones fueron el 37,3 % del PIB en España, frente al 40,3 % de la UE</w:t>
      </w:r>
      <w:r>
        <w:rPr>
          <w:vertAlign w:val="superscript"/>
        </w:rPr>
        <w:t>◦</w:t>
      </w:r>
      <w:r>
        <w:t>. Es una media sobre toda la economía, no la carga de una persona.</w:t>
      </w:r>
    </w:p>
    <w:p>
      <w:r>
        <w:rPr>
          <w:b/>
        </w:rPr>
        <w:t>El asalariado medio.</w:t>
      </w:r>
      <w:r>
        <w:t xml:space="preserve"> Soltero, sin hijos, con datos de 2025: cuesta a su empresa 39.481 euros al año</w:t>
      </w:r>
      <w:r>
        <w:rPr>
          <w:vertAlign w:val="superscript"/>
        </w:rPr>
        <w:t>◦</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rPr>
          <w:vertAlign w:val="superscript"/>
        </w:rPr>
        <w:t>◦</w:t>
      </w:r>
      <w:r>
        <w:t>. Cuenta solo el IRPF y las cotizaciones del trabajador y de la empresa</w:t>
      </w:r>
      <w:r>
        <w:rPr>
          <w:vertAlign w:val="superscript"/>
        </w:rPr>
        <w:t>◦</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rPr>
          <w:vertAlign w:val="superscript"/>
        </w:rPr>
        <w:t>◦</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De cada 100 euros que paga la empresa, al menos 41 van a cotizaciones e IRPF; unos 48 con los demás impuestos de cada año; y hasta 53,6 con una hipótesis de reparto y una obligación futura. Le quedan 46,4.</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rPr>
          <w:vertAlign w:val="superscript"/>
        </w:rPr>
        <w:t>◦</w:t>
      </w:r>
      <w:r>
        <w:t>, y un tipo del 31,5 %: 28,30 de contingencias comunes, 1,30 de profesionales, 0,90 de equidad intergeneracional, 0,90 de cese de actividad y 0,10 de formación</w:t>
      </w:r>
      <w:r>
        <w:rPr>
          <w:vertAlign w:val="superscript"/>
        </w:rPr>
        <w:t>◦</w:t>
      </w:r>
      <w:r>
        <w:t>.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w:t>
      </w:r>
    </w:p>
    <w:p>
      <w:r>
        <w:rPr>
          <w:b/>
        </w:rPr>
        <w:t>El autónomo con sociedad.</w:t>
      </w:r>
      <w:r>
        <w:t xml:space="preserve"> Si administra una sociedad con al menos un 25 % o es socio con al menos un 33 %, su base no puede ser inferior a la mínima del grupo 7 del Régimen General</w:t>
      </w:r>
      <w:r>
        <w:rPr>
          <w:vertAlign w:val="superscript"/>
        </w:rPr>
        <w:t>◦</w:t>
      </w:r>
      <w:r>
        <w:t>: 1.424,40 euros al mes en 2026</w:t>
      </w:r>
      <w:r>
        <w:rPr>
          <w:vertAlign w:val="superscript"/>
        </w:rPr>
        <w:t>◦</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rPr>
          <w:vertAlign w:val="superscript"/>
        </w:rPr>
        <w:t>◦</w:t>
      </w:r>
      <w:r>
        <w:t>. Con el mismo valor generado, las cinco capas suman en torno al 42 % si todo se cobra como retribución, y al 48 % si se combina retribución y dividendos (cálculo de la obra).</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rPr>
          <w:vertAlign w:val="superscript"/>
        </w:rPr>
        <w:t>◦</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rPr>
          <w:vertAlign w:val="superscript"/>
        </w:rPr>
        <w:t>◦</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rPr>
          <w:vertAlign w:val="superscript"/>
        </w:rPr>
        <w:t>◦</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rPr>
          <w:vertAlign w:val="superscript"/>
        </w:rPr>
        <w:t>◦</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rPr>
          <w:vertAlign w:val="superscript"/>
        </w:rPr>
        <w:t>◦</w:t>
      </w:r>
      <w:r>
        <w:t>. Hacerlo cuesta tiempo, o el sueldo y la cotización de quien lo haga, o los honorarios de la gestoría; no se ha encontrado ninguna cifra oficial de ese coste.</w:t>
      </w:r>
    </w:p>
    <w:p>
      <w:r>
        <w:rPr>
          <w:b/>
        </w:rPr>
        <w:t>El tiempo de los trámites.</w:t>
      </w:r>
      <w:r>
        <w:t xml:space="preserve"> Una asociación de autónomos cifra en 226 horas al año el tiempo de cada autónomo en trámites, y, «Teniendo en cuenta un coste medio de 15 euros por hora», en 3.390 euros</w:t>
      </w:r>
      <w:r>
        <w:rPr>
          <w:vertAlign w:val="superscript"/>
        </w:rPr>
        <w:t>◦</w:t>
      </w:r>
      <w:r>
        <w:t>: unas cinco semanas y media de cuarenta horas. Para las pymes, otra fundación da 332 horas</w:t>
      </w:r>
      <w:r>
        <w:rPr>
          <w:vertAlign w:val="superscript"/>
        </w:rPr>
        <w:t>◦</w:t>
      </w:r>
      <w:r>
        <w:t>. Y el Banco Mundial midió 143 horas al año para que una empresa mediana pague sus impuestos, menos que las 158,8 de los países ricos de la OCDE, pero con una tasa total del 47,0 % del beneficio, frente al 39,9 %</w:t>
      </w:r>
      <w:r>
        <w:rPr>
          <w:vertAlign w:val="superscript"/>
        </w:rPr>
        <w:t>◦</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lo valora en euros.</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rPr>
          <w:vertAlign w:val="superscript"/>
        </w:rPr>
        <w:t>◦</w:t>
      </w:r>
      <w:r>
        <w:t>. La de jubilación se resolvió en abril de 2026 en 9,28 días de media, con un máximo legal de 90</w:t>
      </w:r>
      <w:r>
        <w:rPr>
          <w:vertAlign w:val="superscript"/>
        </w:rPr>
        <w:t>◦</w:t>
      </w:r>
      <w:r>
        <w:t>. Y la ley obliga a que las pensiones contributivas mantengan «su poder adquisitivo»</w:t>
      </w:r>
      <w:r>
        <w:rPr>
          <w:vertAlign w:val="superscript"/>
        </w:rPr>
        <w:t>◦</w:t>
      </w:r>
      <w:r>
        <w:t>.</w:t>
      </w:r>
    </w:p>
    <w:p>
      <w:pPr>
        <w:pStyle w:val="ListBullet"/>
      </w:pPr>
      <w:r>
        <w:rPr>
          <w:b/>
        </w:rPr>
        <w:t>Sanidad.</w:t>
      </w:r>
      <w:r>
        <w:t xml:space="preserve"> A 31 de diciembre de 2025, 853.509 pacientes esperaban una operación, con una espera media de 121 días, y el 21,6 % llevaba más de seis meses</w:t>
      </w:r>
      <w:r>
        <w:rPr>
          <w:vertAlign w:val="superscript"/>
        </w:rPr>
        <w:t>◦</w:t>
      </w:r>
      <w:r>
        <w:t>. La espera media era de 50 días en Madrid y de 173 en Andalucía</w:t>
      </w:r>
      <w:r>
        <w:rPr>
          <w:vertAlign w:val="superscript"/>
        </w:rPr>
        <w:t>◦</w:t>
      </w:r>
      <w:r>
        <w:t>. Para ver al médico de familia, 8,85 días. Aun así, valoran bien la atención el 78,5 % de los atendidos en primaria, el 77,8 % en el hospital y el 73,5 % en urgencias, y la satisfacción general es de 6,02 sobre 10</w:t>
      </w:r>
      <w:r>
        <w:rPr>
          <w:vertAlign w:val="superscript"/>
        </w:rPr>
        <w:t>◦</w:t>
      </w:r>
      <w:r>
        <w:t>. La esperanza de vida, 84,0 años, frente a 81,5 en la UE</w:t>
      </w:r>
      <w:r>
        <w:rPr>
          <w:vertAlign w:val="superscript"/>
        </w:rPr>
        <w:t>◦</w:t>
      </w:r>
      <w:r>
        <w:t>.</w:t>
      </w:r>
    </w:p>
    <w:p>
      <w:pPr>
        <w:pStyle w:val="ListBullet"/>
      </w:pPr>
      <w:r>
        <w:rPr>
          <w:b/>
        </w:rPr>
        <w:t>Educación.</w:t>
      </w:r>
      <w:r>
        <w:t xml:space="preserve"> En PISA 2022, 473 puntos en matemáticas, sin diferencia significativa con la media de la OCDE (472), y con una bajada de 8 puntos desde 2018</w:t>
      </w:r>
      <w:r>
        <w:rPr>
          <w:vertAlign w:val="superscript"/>
        </w:rPr>
        <w:t>◦</w:t>
      </w:r>
      <w:r>
        <w:t>.</w:t>
      </w:r>
    </w:p>
    <w:p>
      <w:pPr>
        <w:pStyle w:val="ListBullet"/>
      </w:pPr>
      <w:r>
        <w:rPr>
          <w:b/>
        </w:rPr>
        <w:t>La ayuda para hacer trámites.</w:t>
      </w:r>
      <w:r>
        <w:t xml:space="preserve"> Existe por ley, y la ley deja elegir: las personas físicas «podrán elegir en todo momento» si se comunican por medios electrónicos o no</w:t>
      </w:r>
      <w:r>
        <w:rPr>
          <w:vertAlign w:val="superscript"/>
        </w:rPr>
        <w:t>◦</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rPr>
          <w:vertAlign w:val="superscript"/>
        </w:rPr>
        <w:t>◦</w:t>
      </w:r>
      <w:r>
        <w:t>.</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que esa dispersión haya sido buscada, los hechos no lo demuestran ni lo descartan.</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rPr>
          <w:vertAlign w:val="superscript"/>
        </w:rPr>
        <w:t>◦</w:t>
      </w:r>
      <w:r>
        <w:t>.</w:t>
      </w:r>
    </w:p>
    <w:p>
      <w:r>
        <w:rPr>
          <w:b/>
        </w:rPr>
        <w:t>1. La obligación que entra estrecha y se ensancha.</w:t>
      </w:r>
    </w:p>
    <w:p>
      <w:pPr>
        <w:pStyle w:val="ListBullet"/>
      </w:pPr>
      <w:r>
        <w:rPr>
          <w:b/>
        </w:rPr>
        <w:t>El IVA</w:t>
      </w:r>
      <w:r>
        <w:t xml:space="preserve"> entró en 1986 con un tipo general del 12 %</w:t>
      </w:r>
      <w:r>
        <w:rPr>
          <w:vertAlign w:val="superscript"/>
        </w:rPr>
        <w:t>◦</w:t>
      </w:r>
      <w:r>
        <w:t>; pasó al 13 % el 1 de enero de 1992</w:t>
      </w:r>
      <w:r>
        <w:rPr>
          <w:vertAlign w:val="superscript"/>
        </w:rPr>
        <w:t>◦</w:t>
      </w:r>
      <w:r>
        <w:t>, al 15 % el 1 de agosto de 1992</w:t>
      </w:r>
      <w:r>
        <w:rPr>
          <w:vertAlign w:val="superscript"/>
        </w:rPr>
        <w:t>◦</w:t>
      </w:r>
      <w:r>
        <w:t>, al 16 % en 1995</w:t>
      </w:r>
      <w:r>
        <w:rPr>
          <w:vertAlign w:val="superscript"/>
        </w:rPr>
        <w:t>◦</w:t>
      </w:r>
      <w:r>
        <w:t>, al 18 % el 1 de julio de 2010</w:t>
      </w:r>
      <w:r>
        <w:rPr>
          <w:vertAlign w:val="superscript"/>
        </w:rPr>
        <w:t>◦</w:t>
      </w:r>
      <w:r>
        <w:t xml:space="preserve"> y al 21 % el 1 de septiembre de 2012</w:t>
      </w:r>
      <w:r>
        <w:rPr>
          <w:vertAlign w:val="superscript"/>
        </w:rPr>
        <w:t>◦</w:t>
      </w:r>
      <w:r>
        <w:t>.</w:t>
      </w:r>
    </w:p>
    <w:p>
      <w:pPr>
        <w:pStyle w:val="ListBullet"/>
      </w:pPr>
      <w:r>
        <w:rPr>
          <w:b/>
        </w:rPr>
        <w:t>El cinturón:</w:t>
      </w:r>
      <w:r>
        <w:t xml:space="preserve"> obligatorio de instalar en los asientos delanteros en 1972</w:t>
      </w:r>
      <w:r>
        <w:rPr>
          <w:vertAlign w:val="superscript"/>
        </w:rPr>
        <w:t>◦</w:t>
      </w:r>
      <w:r>
        <w:t>, de usar en vías interurbanas desde el 11 de noviembre de 1974</w:t>
      </w:r>
      <w:r>
        <w:rPr>
          <w:vertAlign w:val="superscript"/>
        </w:rPr>
        <w:t>◦</w:t>
      </w:r>
      <w:r>
        <w:t>, y en 1992 también en vías urbanas y, para los turismos nuevos, en los asientos traseros</w:t>
      </w:r>
      <w:r>
        <w:rPr>
          <w:vertAlign w:val="superscript"/>
        </w:rPr>
        <w:t>◦</w:t>
      </w:r>
      <w:r>
        <w:t>.</w:t>
      </w:r>
    </w:p>
    <w:p>
      <w:pPr>
        <w:pStyle w:val="ListBullet"/>
      </w:pPr>
      <w:r>
        <w:rPr>
          <w:b/>
        </w:rPr>
        <w:t>El casco:</w:t>
      </w:r>
      <w:r>
        <w:t xml:space="preserve"> desde 1982, para las motos de más de 125 centímetros cúbicos en todas las vías y para las demás solo en las interurbanas</w:t>
      </w:r>
      <w:r>
        <w:rPr>
          <w:vertAlign w:val="superscript"/>
        </w:rPr>
        <w:t>◦</w:t>
      </w:r>
      <w:r>
        <w:t>; desde 1992, para todas, en todas las vías</w:t>
      </w:r>
      <w:r>
        <w:rPr>
          <w:vertAlign w:val="superscript"/>
        </w:rPr>
        <w:t>◦</w:t>
      </w:r>
      <w:r>
        <w:t>.</w:t>
      </w:r>
    </w:p>
    <w:p>
      <w:pPr>
        <w:pStyle w:val="ListBullet"/>
      </w:pPr>
      <w:r>
        <w:rPr>
          <w:b/>
        </w:rPr>
        <w:t>Y las excepciones</w:t>
      </w:r>
      <w:r>
        <w:t>, que también se dicen: el tipo incrementado del IVA bajó del 33 % al 28 % en 1992 y se suprimió en 1993</w:t>
      </w:r>
      <w:r>
        <w:rPr>
          <w:vertAlign w:val="superscript"/>
        </w:rPr>
        <w:t>◦</w:t>
      </w:r>
      <w:r>
        <w:t>; y el cargo al autoconsumo eléctrico de 2015</w:t>
      </w:r>
      <w:r>
        <w:rPr>
          <w:vertAlign w:val="superscript"/>
        </w:rPr>
        <w:t>◦</w:t>
      </w:r>
      <w:r>
        <w:t xml:space="preserve"> se derogó en 2018: «se reconoce el derecho a autoconsumir energía eléctrica sin cargos»</w:t>
      </w:r>
      <w:r>
        <w:rPr>
          <w:vertAlign w:val="superscript"/>
        </w:rPr>
        <w:t>◦</w:t>
      </w:r>
      <w:r>
        <w:t>.</w:t>
      </w:r>
    </w:p>
    <w:p>
      <w:r>
        <w:t>La obligación suele entrar estrecha y ensancharse después. No siempre.</w:t>
      </w:r>
    </w:p>
    <w:p>
      <w:r>
        <w:rPr>
          <w:b/>
        </w:rPr>
        <w:t>2. Lo firme no se revisa, con una excepción.</w:t>
      </w:r>
      <w:r>
        <w:t xml:space="preserve"> La ley de los estados de alarma permite «Practicar requisas temporales de todo tipo de bienes e imponer prestaciones personales obligatorias»</w:t>
      </w:r>
      <w:r>
        <w:rPr>
          <w:vertAlign w:val="superscript"/>
        </w:rPr>
        <w:t>◦</w:t>
      </w:r>
      <w:r>
        <w:t>, y no se ha reformado desde 1981. Cuando terminan, caen las medidas, «salvo las que consistiesen en sanciones firmes»</w:t>
      </w:r>
      <w:r>
        <w:rPr>
          <w:vertAlign w:val="superscript"/>
        </w:rPr>
        <w:t>◦</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rPr>
          <w:vertAlign w:val="superscript"/>
        </w:rPr>
        <w:t>◦</w:t>
      </w:r>
      <w:r>
        <w:t>. Es el mismo patrón que la plusvalía (</w:t>
      </w:r>
      <w:r>
        <w:t>5.1</w:t>
      </w:r>
      <w:r>
        <w:t>, n.º 9) y que la Zona de Bajas Emisiones de Madrid (</w:t>
      </w:r>
      <w:r>
        <w:t>7.5</w:t>
      </w:r>
      <w:r>
        <w:t>, caso 2): el Supremo inadmitió el recurso del Ayuntamiento y la anulación es firme</w:t>
      </w:r>
      <w:r>
        <w:rPr>
          <w:vertAlign w:val="superscript"/>
        </w:rPr>
        <w:t>◦</w:t>
      </w:r>
      <w:r>
        <w:t>; la nueva ordenanza rige hacia delante</w:t>
      </w:r>
      <w:r>
        <w:rPr>
          <w:vertAlign w:val="superscript"/>
        </w:rPr>
        <w:t>◦</w:t>
      </w:r>
      <w:r>
        <w:t>, y el Ayuntamiento no devuelve lo cobrado, según la prensa</w:t>
      </w:r>
      <w:r>
        <w:rPr>
          <w:vertAlign w:val="superscript"/>
        </w:rPr>
        <w:t>◦</w:t>
      </w:r>
      <w:r>
        <w:t>.</w:t>
      </w:r>
    </w:p>
    <w:p>
      <w:r>
        <w:rPr>
          <w:b/>
        </w:rPr>
        <w:t>3. La gasolina.</w:t>
      </w:r>
      <w:r>
        <w:t xml:space="preserve"> Entre el 1 de enero de 2013 y el 1 de enero de 2019, las comunidades autónomas pudieron fijar un tramo propio del impuesto sobre hidrocarburos</w:t>
      </w:r>
      <w:r>
        <w:rPr>
          <w:vertAlign w:val="superscript"/>
        </w:rPr>
        <w:t>◦</w:t>
      </w:r>
      <w:r>
        <w:t>. El Tribunal de Justicia de la UE declaró que la directiva europea se opone a una norma que autoriza a las comunidades «a establecer tipos del impuesto especial diferenciados para un mismo producto y un mismo uso»</w:t>
      </w:r>
      <w:r>
        <w:rPr>
          <w:vertAlign w:val="superscript"/>
        </w:rPr>
        <w:t>◦</w:t>
      </w:r>
      <w:r>
        <w:t>. Antes ya había condenado a España por poner trabas a la indemnización de los daños causados por el legislador contra el derecho de la Unión</w:t>
      </w:r>
      <w:r>
        <w:rPr>
          <w:vertAlign w:val="superscript"/>
        </w:rPr>
        <w:t>◦</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rPr>
          <w:vertAlign w:val="superscript"/>
        </w:rPr>
        <w:t>◦</w:t>
      </w:r>
      <w:r>
        <w:t>. Es una victoria de acceso, no de cobro.</w:t>
      </w:r>
    </w:p>
    <w:p>
      <w:r>
        <w:rPr>
          <w:b/>
        </w:rPr>
        <w:t>4. La franquicia del IVA.</w:t>
      </w:r>
      <w:r>
        <w:t xml:space="preserve"> Ya se vio (</w:t>
      </w:r>
      <w:r>
        <w:t>7.5</w:t>
      </w:r>
      <w:r>
        <w:t>, caso 1). La Comisión lo dice así: España «Es el único Estado miembro que no lo ha hecho»</w:t>
      </w:r>
      <w:r>
        <w:rPr>
          <w:vertAlign w:val="superscript"/>
        </w:rPr>
        <w:t>◦</w:t>
      </w:r>
      <w:r>
        <w:t>. Pide que se calcule una suma a tanto alzado con 32.430 euros por día de retraso, con un mínimo de 7.540.000, y, si sigue sin transponer cuando haya sentencia, una multa de 135.811,20 euros al día</w:t>
      </w:r>
      <w:r>
        <w:rPr>
          <w:vertAlign w:val="superscript"/>
        </w:rPr>
        <w:t>◦</w:t>
      </w:r>
      <w:r>
        <w:t>. Está pedido, no impuesto. Y dentro de España hubo quien movió ficha: Canarias subió su franquicia del impuesto canario «del límite actual de 30.000 euros hasta los 50.000 euros»</w:t>
      </w:r>
      <w:r>
        <w:rPr>
          <w:vertAlign w:val="superscript"/>
        </w:rPr>
        <w:t>◦</w:t>
      </w:r>
      <w:r>
        <w:t>.</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rPr>
          <w:vertAlign w:val="superscript"/>
        </w:rPr>
        <w:t>◦</w:t>
      </w:r>
      <w:r>
        <w:t>. Entre la resolución del Consejo de Transparencia, de febrero de 2019, y la sentencia pasaron más de seis años.</w:t>
      </w:r>
    </w:p>
    <w:p>
      <w:r>
        <w:rPr>
          <w:b/>
        </w:rPr>
        <w:t>6. La medida que sanciona.</w:t>
      </w:r>
      <w:r>
        <w:t xml:space="preserve"> Un aparato que mide para sancionar debe pasar control metrológico: «lo determinante es si para la constancia de una conducta infractora miden cierto parámetro»</w:t>
      </w:r>
      <w:r>
        <w:rPr>
          <w:vertAlign w:val="superscript"/>
        </w:rPr>
        <w:t>◦</w:t>
      </w:r>
      <w:r>
        <w:t>; y el foto-rojo «sí hace mediciones»</w:t>
      </w:r>
      <w:r>
        <w:rPr>
          <w:vertAlign w:val="superscript"/>
        </w:rPr>
        <w:t>◦</w:t>
      </w:r>
      <w:r>
        <w:t>. Para los radares, el margen de error es del 5 % si miden desde una ubicación sin movimiento, y del 7 % si se mueven</w:t>
      </w:r>
      <w:r>
        <w:rPr>
          <w:vertAlign w:val="superscript"/>
        </w:rPr>
        <w:t>◦</w:t>
      </w:r>
      <w:r>
        <w:t>.</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rPr>
          <w:vertAlign w:val="superscript"/>
        </w:rPr>
        <w:t>◦</w:t>
      </w:r>
      <w:r>
        <w:t>. Una persona cada dieciséis minutos. A 31 de marzo de 2026 esperaban 271.556 personas: 118.716 sin valorar y 152.840 con la prestación reconocida</w:t>
      </w:r>
      <w:r>
        <w:rPr>
          <w:vertAlign w:val="superscript"/>
        </w:rPr>
        <w:t>◦</w:t>
      </w:r>
      <w:r>
        <w:t>.</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rPr>
          <w:vertAlign w:val="superscript"/>
        </w:rPr>
        <w:t>◦</w:t>
      </w:r>
      <w:r>
        <w:t>. Es la cifra oficial más reciente que se ha localizado. El Supremo instruye y juzga las causas contra el Presidente del Gobierno, los miembros del Gobierno, los diputados y senadores, entre otros</w:t>
      </w:r>
      <w:r>
        <w:rPr>
          <w:vertAlign w:val="superscript"/>
        </w:rPr>
        <w:t>◦</w:t>
      </w:r>
      <w:r>
        <w:t>. Y el elector no puede revocar a su representante: el diputado solo pierde el escaño por las causas tasadas del Reglamento del Congreso (</w:t>
      </w:r>
      <w:r>
        <w:t>8.6</w:t>
      </w:r>
      <w:r>
        <w:t>), y «Los miembros de las Cortes Generales no estarán ligados por mandato imperativo»</w:t>
      </w:r>
      <w:r>
        <w:rPr>
          <w:vertAlign w:val="superscript"/>
        </w:rPr>
        <w:t>◦</w:t>
      </w:r>
      <w:r>
        <w:t>.</w:t>
      </w:r>
    </w:p>
    <w:p>
      <w:r>
        <w:rPr>
          <w:b/>
        </w:rPr>
        <w:t>9. La publicidad institucional.</w:t>
      </w:r>
      <w:r>
        <w:t xml:space="preserve"> El Estado gastó en campañas institucionales 25.915.168 euros en 2019, 70.430.604 en 2024 y 88.078.848 en 2025</w:t>
      </w:r>
      <w:r>
        <w:rPr>
          <w:vertAlign w:val="superscript"/>
        </w:rPr>
        <w:t>◦</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rPr>
          <w:vertAlign w:val="superscript"/>
        </w:rPr>
        <w:t>◦</w:t>
      </w:r>
      <w:r>
        <w:t>. Que el gasto español cumpla esa condición no lo ha certificado nadie: por eso no cuenta como omisión.</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rPr>
          <w:vertAlign w:val="superscript"/>
        </w:rPr>
        <w:t>◦</w:t>
      </w:r>
      <w:r>
        <w:t>. No es una invitación a desobedecer: es una vara. El derecho español recoge una parte: antes de redactar una ley o un reglamento, «se sustanciará una consulta pública»</w:t>
      </w:r>
      <w:r>
        <w:rPr>
          <w:vertAlign w:val="superscript"/>
        </w:rPr>
        <w:t>◦</w:t>
      </w:r>
      <w:r>
        <w:t>.</w:t>
      </w:r>
    </w:p>
    <w:p>
      <w:r>
        <w:rPr>
          <w:b/>
        </w:rPr>
        <w:t>11. La lista.</w:t>
      </w:r>
      <w:r>
        <w:t xml:space="preserve"> El elector del Congreso no vota a personas, sino listas: cada una lleva «la expresión del orden de colocación» de candidatos y suplentes</w:t>
      </w:r>
      <w:r>
        <w:rPr>
          <w:vertAlign w:val="superscript"/>
        </w:rPr>
        <w:t>◦</w:t>
      </w:r>
      <w:r>
        <w:t>; los escaños «se adjudican a los candidatos incluidos en ella, por el orden de colocación en que aparezcan»</w:t>
      </w:r>
      <w:r>
        <w:rPr>
          <w:vertAlign w:val="superscript"/>
        </w:rPr>
        <w:t>◦</w:t>
      </w:r>
      <w:r>
        <w:t>; y la vacante es para el siguiente «de la misma lista»</w:t>
      </w:r>
      <w:r>
        <w:rPr>
          <w:vertAlign w:val="superscript"/>
        </w:rPr>
        <w:t>◦</w:t>
      </w:r>
      <w:r>
        <w:t>. Al alcalde lo eligen los concejales entre quienes encabezan las listas, y si ninguno logra la mayoría absoluta, es alcalde el que encabeza la más votada</w:t>
      </w:r>
      <w:r>
        <w:rPr>
          <w:vertAlign w:val="superscript"/>
        </w:rPr>
        <w:t>◦</w:t>
      </w:r>
      <w:r>
        <w:t>, aunque la Constitución permite otra vía: «Los Alcaldes serán elegidos por los Concejales o por los vecinos»</w:t>
      </w:r>
      <w:r>
        <w:rPr>
          <w:vertAlign w:val="superscript"/>
        </w:rPr>
        <w:t>◦</w:t>
      </w:r>
      <w:r>
        <w:t>. Al Presidente del Gobierno lo propone el Rey y lo inviste el Congreso (art. 99). Solo en el Senado se vota a personas: «a un máximo de tres candidatos en las circunscripciones provinciales»</w:t>
      </w:r>
      <w:r>
        <w:rPr>
          <w:vertAlign w:val="superscript"/>
        </w:rPr>
        <w:t>◦</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rPr>
          <w:vertAlign w:val="superscript"/>
        </w:rPr>
        <w:t>◦</w:t>
      </w:r>
      <w:r>
        <w:t>. La de la libertad viene del derecho romano: «cuando la interpretación sobre la libertad sea dudosa, se ha de responder a favor de la libertad»</w:t>
      </w:r>
      <w:r>
        <w:rPr>
          <w:vertAlign w:val="superscript"/>
        </w:rPr>
        <w:t>◦</w:t>
      </w:r>
      <w:r>
        <w:t>. Y otra, de un decreto del emperador Marco Aurelio: «hay violencia también siempre que alguien reclama sin juez lo que cree que se le debe»</w:t>
      </w:r>
      <w:r>
        <w:rPr>
          <w:vertAlign w:val="superscript"/>
        </w:rPr>
        <w:t>◦</w:t>
      </w:r>
      <w:r>
        <w:t>. España, además, ratificó que «Nadie será encarcelado por el solo hecho de no poder cumplir una obligación contractual»</w:t>
      </w:r>
      <w:r>
        <w:rPr>
          <w:vertAlign w:val="superscript"/>
        </w:rPr>
        <w:t>◦</w:t>
      </w:r>
      <w:r>
        <w:t>.</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rPr>
          <w:vertAlign w:val="superscript"/>
        </w:rPr>
        <w:t>◦</w:t>
      </w:r>
      <w:r>
        <w:t>.</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rPr>
          <w:vertAlign w:val="superscript"/>
        </w:rPr>
        <w:t>◦</w:t>
      </w:r>
      <w:r>
        <w:t>. Se pide prestado, cada año, más o menos lo que cuestan los intereses de lo ya pedido. La deuda llegó a 1.698.225 millones a final de 2025</w:t>
      </w:r>
      <w:r>
        <w:rPr>
          <w:vertAlign w:val="superscript"/>
        </w:rPr>
        <w:t>◦</w:t>
      </w:r>
      <w:r>
        <w:t>, y para 2026 la Autoridad Fiscal estima 43.300 millones de intereses (</w:t>
      </w:r>
      <w:r>
        <w:t>7.6</w:t>
      </w:r>
      <w:r>
        <w:t>).</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rPr>
          <w:vertAlign w:val="superscript"/>
        </w:rPr>
        <w:t>◦</w:t>
      </w:r>
      <w:r>
        <w:t>. De los 297.532 millones de protección social, 267.057 (89,8 %) son prestaciones sociales en dinero; el personal y el funcionamiento suman 16.402 (9.127 y 7.275)</w:t>
      </w:r>
      <w:r>
        <w:rPr>
          <w:vertAlign w:val="superscript"/>
        </w:rPr>
        <w:t>◦</w:t>
      </w:r>
      <w:r>
        <w:t>.</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rPr>
          <w:vertAlign w:val="superscript"/>
        </w:rPr>
        <w:t>◦</w:t>
      </w:r>
      <w:r>
        <w:t xml:space="preserve"> para 10.547.417 pensiones en septiembre de 2026; y la fecundidad está en 1,10 hijos por mujer (</w:t>
      </w:r>
      <w:r>
        <w:t>8.8</w:t>
      </w:r>
      <w:r>
        <w:t>).</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rPr>
          <w:vertAlign w:val="superscript"/>
        </w:rPr>
        <w:t>◦</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rPr>
          <w:vertAlign w:val="superscript"/>
        </w:rPr>
        <w:t>◦</w:t>
      </w:r>
      <w:r>
        <w:t>. Hoy vuelve a tener 14.069,81 millones (31-12-2025), pero gracias a una cotización nueva que pagan trabajadores y empresas desde 2023, el mecanismo de equidad intergeneracional: 10.150 millones de 2023 a 2025</w:t>
      </w:r>
      <w:r>
        <w:rPr>
          <w:vertAlign w:val="superscript"/>
        </w:rPr>
        <w:t>◦</w:t>
      </w:r>
      <w:r>
        <w:t>. La última dotación al Fondo con cargo a excedentes fue la de 2010</w:t>
      </w:r>
      <w:r>
        <w:rPr>
          <w:vertAlign w:val="superscript"/>
        </w:rPr>
        <w:t>◦</w:t>
      </w:r>
      <w:r>
        <w:t>. No fue apropiación: se usó para pagar pensiones (</w:t>
      </w:r>
      <w:r>
        <w:t>7.5</w:t>
      </w:r>
      <w:r>
        <w:t>, caso 4). Y en qué está invertida: «La cartera está compuesta, exclusivamente, por deuda pública española»</w:t>
      </w:r>
      <w:r>
        <w:rPr>
          <w:vertAlign w:val="superscript"/>
        </w:rPr>
        <w:t>◦</w:t>
      </w:r>
      <w:r>
        <w:t>, porque la ley ordena invertirla en títulos públicos y en su comité se sienta el Director General del Tesoro (</w:t>
      </w:r>
      <w:r>
        <w:t>5.1</w:t>
      </w:r>
      <w:r>
        <w:t>, n.º 2).</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rPr>
          <w:vertAlign w:val="superscript"/>
        </w:rPr>
        <w:t>◦</w:t>
      </w:r>
      <w:r>
        <w:t>. Qué ha pasado con un depósito de todos lo juzgan las tradiciones con la regla de devolver lo confiado (</w:t>
      </w:r>
      <w:r>
        <w:t>3.2</w:t>
      </w:r>
      <w:r>
        <w:t>, P5).</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rPr>
          <w:vertAlign w:val="superscript"/>
        </w:rPr>
        <w:t>◦</w:t>
      </w:r>
      <w:r>
        <w:t>, y dejar constancia de la respuesta o del silencio (</w:t>
      </w:r>
      <w:r>
        <w:t>10.4</w:t>
      </w:r>
      <w:r>
        <w:t>).</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Un sistema que nació viciado en 1971, cuando se rompió el último vínculo de la moneda con el oro, da frutos viciados: esto apunta hacia el padre de la mentira (Jn 8:44). «Por sus frutos los conoceréis» (Mt 7:16). «El que tiene oídos para oir, oiga» (Mt 11:15).</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rPr>
          <w:vertAlign w:val="superscript"/>
        </w:rPr>
        <w:t>◦</w:t>
      </w:r>
      <w:r>
        <w:t>. La de 1983 la continuó con un nuevo marco</w:t>
      </w:r>
      <w:r>
        <w:rPr>
          <w:vertAlign w:val="superscript"/>
        </w:rPr>
        <w:t>◦</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rPr>
          <w:vertAlign w:val="superscript"/>
        </w:rPr>
        <w:t>◦</w:t>
      </w:r>
      <w:r>
        <w:t>.</w:t>
      </w:r>
    </w:p>
    <w:p>
      <w:r>
        <w:rPr>
          <w:b/>
        </w:rPr>
        <w:t>Las privatizaciones.</w:t>
      </w:r>
      <w:r>
        <w:t xml:space="preserve"> Entre 1996 y 2002, el Consejo de Ministros autorizó «48 operaciones de privatización» que «han afectado a 45 empresas»</w:t>
      </w:r>
      <w:r>
        <w:rPr>
          <w:vertAlign w:val="superscript"/>
        </w:rPr>
        <w:t>◦</w:t>
      </w:r>
      <w:r>
        <w:t>. En 1997 se ingresaron 12.481 millones de euros y en 1998, 13.083</w:t>
      </w:r>
      <w:r>
        <w:rPr>
          <w:vertAlign w:val="superscript"/>
        </w:rPr>
        <w:t>◦</w:t>
      </w:r>
      <w:r>
        <w:t>. Y fue obra de Gobiernos de distinto signo: Endesa se empezó a vender en 1988, y su última gran venta fue en 1998</w:t>
      </w:r>
      <w:r>
        <w:rPr>
          <w:vertAlign w:val="superscript"/>
        </w:rPr>
        <w:t>◦</w:t>
      </w:r>
      <w:r>
        <w:t>.</w:t>
      </w:r>
    </w:p>
    <w:p>
      <w:r>
        <w:rPr>
          <w:b/>
        </w:rPr>
        <w:t>El puesto de España en el mundo, por PIB.</w:t>
      </w:r>
      <w:r>
        <w:t xml:space="preserve"> Duodécima en 1970 y octava en 2007</w:t>
      </w:r>
      <w:r>
        <w:rPr>
          <w:vertAlign w:val="superscript"/>
        </w:rPr>
        <w:t>◦</w:t>
      </w:r>
      <w:r>
        <w:t>; decimoquinta en 2024 y duodécima en 2025, con una previsión de la decimocuarta para 2026</w:t>
      </w:r>
      <w:r>
        <w:rPr>
          <w:vertAlign w:val="superscript"/>
        </w:rPr>
        <w:t>◦</w:t>
      </w:r>
      <w:r>
        <w:t>. Son puestos calculados por la obra ordenando los datos de cada organismo; en 1970 solo hay datos de 146 economías.</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rPr>
          <w:vertAlign w:val="superscript"/>
        </w:rPr>
        <w:t>◦</w:t>
      </w:r>
      <w:r>
        <w:t>. España analizó 2.492 muestras, y según una organización ecologista, con los datos oficiales, el 9,63 % de los alimentos importados contenía plaguicidas no autorizados en la UE, frente al 4,70 % de los de aquí</w:t>
      </w:r>
      <w:r>
        <w:rPr>
          <w:vertAlign w:val="superscript"/>
        </w:rPr>
        <w:t>◦</w:t>
      </w:r>
      <w:r>
        <w:t>. Exigir a lo importado lo mismo que a lo europeo, las llamadas cláusulas espejo, sigue en debate.</w:t>
      </w:r>
    </w:p>
    <w:p>
      <w:r>
        <w:rPr>
          <w:b/>
        </w:rPr>
        <w:t>La vivienda en Cataluña.</w:t>
      </w:r>
      <w:r>
        <w:t xml:space="preserve"> Cataluña fue la primera en declarar zonas de mercado residencial tensionado con la ley de vivienda de 2023: 140 municipios, con efectos desde marzo de 2024</w:t>
      </w:r>
      <w:r>
        <w:rPr>
          <w:vertAlign w:val="superscript"/>
        </w:rPr>
        <w:t>◦</w:t>
      </w:r>
      <w:r>
        <w:t>, y otros 131</w:t>
      </w:r>
      <w:r>
        <w:rPr>
          <w:vertAlign w:val="superscript"/>
        </w:rPr>
        <w:t>◦</w:t>
      </w:r>
      <w:r>
        <w:t>; en total, «7.172.196 personas, lo que representa un 90,7 %» de la población catalana</w:t>
      </w:r>
      <w:r>
        <w:rPr>
          <w:vertAlign w:val="superscript"/>
        </w:rPr>
        <w:t>◦</w:t>
      </w:r>
      <w:r>
        <w:t>. En julio de 2026 se tramitaba prorrogar la declaración en 118 de los 140 (5.919.365 habitantes) y declarar 53 nuevos</w:t>
      </w:r>
      <w:r>
        <w:rPr>
          <w:vertAlign w:val="superscript"/>
        </w:rPr>
        <w:t>◦</w:t>
      </w:r>
      <w:r>
        <w:t>. Los contratos de alquiler con fianza depositada en Cataluña fueron 167.953 en 2018, 152.770 en 2022, 132.988 en 2023, 118.626 en 2024 y unos 108.057 en 2025</w:t>
      </w:r>
      <w:r>
        <w:rPr>
          <w:vertAlign w:val="superscript"/>
        </w:rPr>
        <w:t>◦</w:t>
      </w:r>
      <w:r>
        <w:t>. Caen, y la caída empezó antes de la declaración; el dato no dice por qué.</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r>
        <w:rPr>
          <w:b/>
        </w:rPr>
        <w:t>Lectura del autor:</w:t>
      </w:r>
      <w:r>
        <w:t xml:space="preserve"> el mismo actor que levantó la industria pesada durante la autarquía la desmontó después, y el coste lo pagaron comarcas enteras.</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rPr>
          <w:vertAlign w:val="superscript"/>
        </w:rPr>
        <w:t>◦</w:t>
      </w:r>
      <w:r>
        <w:t>. Es renta bruta del hogar, antes de impuestos y cotizaciones: no es el esfuerzo real.</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rPr>
          <w:vertAlign w:val="superscript"/>
        </w:rPr>
        <w:t>◦</w:t>
      </w:r>
      <w:r>
        <w:t>. El tipo de los préstamos libres para adquisición de vivienda era del 16,46 % en junio de 1990 y del 17,05 % en enero de 1991</w:t>
      </w:r>
      <w:r>
        <w:rPr>
          <w:vertAlign w:val="superscript"/>
        </w:rPr>
        <w:t>◦</w:t>
      </w:r>
      <w:r>
        <w:t>.</w:t>
      </w:r>
    </w:p>
    <w:p>
      <w:r>
        <w:rPr>
          <w:b/>
        </w:rPr>
        <w:t>La aritmética de una persona.</w:t>
      </w:r>
      <w:r>
        <w:t xml:space="preserve"> Con el salario medio, 29.540,26 euros brutos</w:t>
      </w:r>
      <w:r>
        <w:rPr>
          <w:vertAlign w:val="superscript"/>
        </w:rPr>
        <w:t>◦</w:t>
      </w:r>
      <w:r>
        <w:t>, y ahorrando lo que ahorran de media los hogares, el 12,0 % de su renta disponible en 2025</w:t>
      </w:r>
      <w:r>
        <w:rPr>
          <w:vertAlign w:val="superscript"/>
        </w:rPr>
        <w:t>◦</w:t>
      </w:r>
      <w:r>
        <w:t>, una persona sola tardaría unos 25 años en reunir la entrada y los gastos de compra, en torno al 30 % del precio, y más de 80 en reunir el precio entero. Incluso gastando solo lo que gasta de media una persona, 13.626 euros al año</w:t>
      </w:r>
      <w:r>
        <w:rPr>
          <w:vertAlign w:val="superscript"/>
        </w:rPr>
        <w:t>◦</w:t>
      </w:r>
      <w:r>
        <w:t>, harían falta unos 7 años para la entrada y unos 25 para todo. Una pareja con dos sueldos tarda más o menos la mitad. Es aritmética de la obra, con un precio aproximado.</w:t>
      </w:r>
    </w:p>
    <w:p>
      <w:r>
        <w:rPr>
          <w:b/>
        </w:rPr>
        <w:t>Los hijos.</w:t>
      </w:r>
      <w:r>
        <w:t xml:space="preserve"> En 2024 nacieron 318.005 niños, un 0,8 % menos que el año anterior, y el número medio de hijos por mujer bajó a 1,10: 1,07 entre las madres españolas y 1,27 entre las extranjeras</w:t>
      </w:r>
      <w:r>
        <w:rPr>
          <w:vertAlign w:val="superscript"/>
        </w:rPr>
        <w:t>◦</w:t>
      </w:r>
      <w:r>
        <w:t>. Es el mínimo de la serie, que empieza en 1975 con 2,77; el anterior mínimo fue 1,13, en 1998</w:t>
      </w:r>
      <w:r>
        <w:rPr>
          <w:vertAlign w:val="superscript"/>
        </w:rPr>
        <w:t>◦</w:t>
      </w:r>
      <w:r>
        <w:t>.</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rPr>
          <w:vertAlign w:val="superscript"/>
        </w:rPr>
        <w:t>◦</w:t>
      </w:r>
      <w:r>
        <w:t>.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w:t>
      </w:r>
    </w:p>
    <w:p>
      <w:r>
        <w:rPr>
          <w:b/>
        </w:rPr>
        <w:t>La réplica.</w:t>
      </w:r>
      <w:r>
        <w:t xml:space="preserve"> Un equipo independiente repitió uno de los estudios en 2024, y sus resultados «coincidieron extremadamente de cerca con los del estudio original»</w:t>
      </w:r>
      <w:r>
        <w:rPr>
          <w:vertAlign w:val="superscript"/>
        </w:rPr>
        <w:t>◦</w:t>
      </w:r>
      <w:r>
        <w:t>. Una crítica filosófica sostiene que el argumento central del estudio es lógicamente inválido</w:t>
      </w:r>
      <w:r>
        <w:rPr>
          <w:vertAlign w:val="superscript"/>
        </w:rPr>
        <w:t>◦</w:t>
      </w:r>
      <w:r>
        <w:t>.</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rPr>
          <w:vertAlign w:val="superscript"/>
        </w:rPr>
        <w:t>◦</w:t>
      </w:r>
      <w:r>
        <w:t>. La confianza entre la gente es hoy mayor que hace doce años.</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rPr>
          <w:vertAlign w:val="superscript"/>
        </w:rPr>
        <w:t>◦</w:t>
      </w:r>
      <w:r>
        <w:t>.</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rPr>
          <w:vertAlign w:val="superscript"/>
        </w:rPr>
        <w:t>◦</w:t>
      </w:r>
      <w:r>
        <w:t>. Y ya en Grecia se decía que lo justo era lo que conviene al más fuerte (</w:t>
      </w:r>
      <w:r>
        <w:t>1.4</w:t>
      </w:r>
      <w:r>
        <w:t>). La sensación de que el mundo empeora moralmente es, ella misma, una constante de la historia.</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r>
        <w:rPr>
          <w:b/>
        </w:rPr>
        <w:t>Lectura del autor:</w:t>
      </w:r>
      <w:r>
        <w:t xml:space="preserve"> el sistema es el que ha creado los problemas actuales.</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rPr>
          <w:vertAlign w:val="superscript"/>
        </w:rPr>
        <w:t>◦</w:t>
      </w:r>
      <w:r>
        <w:t>; el Ministerio de Sanidad, de 66,2 en 2012 a 92,7 en 2021</w:t>
      </w:r>
      <w:r>
        <w:rPr>
          <w:vertAlign w:val="superscript"/>
        </w:rPr>
        <w:t>◦</w:t>
      </w:r>
      <w:r>
        <w:t>; y la OCDE, con los datos que da España, de 28,2 en 2000 a 107,1 en 2024</w:t>
      </w:r>
      <w:r>
        <w:rPr>
          <w:vertAlign w:val="superscript"/>
        </w:rPr>
        <w:t>◦</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rPr>
          <w:vertAlign w:val="superscript"/>
        </w:rPr>
        <w:t>◦</w:t>
      </w:r>
      <w:r>
        <w:t>. Pero hay más habitantes y más mayores, y la tasa por 100.000 habitantes publicada por el INE fue 7,57 en 2018, 8,85 en 2022 y 8,09 en 2024</w:t>
      </w:r>
      <w:r>
        <w:rPr>
          <w:vertAlign w:val="superscript"/>
        </w:rPr>
        <w:t>◦</w:t>
      </w:r>
      <w:r>
        <w:t>. Ajustada por edad, la tasa baja: de 8,3 en 2000 a 7,7 en 2023, según la OCDE</w:t>
      </w:r>
      <w:r>
        <w:rPr>
          <w:vertAlign w:val="superscript"/>
        </w:rPr>
        <w:t>◦</w:t>
      </w:r>
      <w:r>
        <w:t>; y España está por debajo de la media de la OCDE (10,7 en 2023) y de la de la Unión Europea (10,37)</w:t>
      </w:r>
      <w:r>
        <w:rPr>
          <w:vertAlign w:val="superscript"/>
        </w:rPr>
        <w:t>◦</w:t>
      </w:r>
      <w:r>
        <w:t>.</w:t>
      </w:r>
    </w:p>
    <w:p>
      <w:r>
        <w:rPr>
          <w:b/>
        </w:rPr>
        <w:t>La población española, aparte.</w:t>
      </w:r>
      <w:r>
        <w:t xml:space="preserve"> La inmigración ha hecho crecer la población: los nacidos en el extranjero eran el 3,64 % el 1 de enero de 2000 y el 20,67 % el 1 de julio de 2026 (dato provisional)</w:t>
      </w:r>
      <w:r>
        <w:rPr>
          <w:vertAlign w:val="superscript"/>
        </w:rPr>
        <w:t>◦</w:t>
      </w:r>
      <w:r>
        <w:t>. De 2000 a 2022 la población total creció un 17,2 %, la de nacionalidad española un 6,0 % y la nacida en España un 2,3 %</w:t>
      </w:r>
      <w:r>
        <w:rPr>
          <w:vertAlign w:val="superscript"/>
        </w:rPr>
        <w:t>◦</w:t>
      </w:r>
      <w:r>
        <w:t>. Una tasa sobre la población total puede diluirse con ese aumento. Por eso se mide también por nacionalidad, que el INE publica desde 2005</w:t>
      </w:r>
      <w:r>
        <w:rPr>
          <w:vertAlign w:val="superscript"/>
        </w:rPr>
        <w:t>◦</w:t>
      </w:r>
      <w:r>
        <w:t>. En 2024, la tasa bruta por 100.000 fue 8,27 en la población española, 7,00 en la extranjera y 8,10 en la total; ajustada por edad (método directo, población estándar europea de 2013), 7,56, 7,70 y 7,57</w:t>
      </w:r>
      <w:r>
        <w:rPr>
          <w:vertAlign w:val="superscript"/>
        </w:rPr>
        <w:t>◦</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rPr>
          <w:vertAlign w:val="superscript"/>
        </w:rPr>
        <w:t>◦</w:t>
      </w:r>
      <w:r>
        <w:t>.</w:t>
      </w:r>
    </w:p>
    <w:p>
      <w:r>
        <w:rPr>
          <w:b/>
        </w:rPr>
        <w:t>Divorcios.</w:t>
      </w:r>
      <w:r>
        <w:t xml:space="preserve"> Eran 37.743 en 2000, llegaron al máximo en 2006, con 126.952, y bajaron a 80.785 en 2025</w:t>
      </w:r>
      <w:r>
        <w:rPr>
          <w:vertAlign w:val="superscript"/>
        </w:rPr>
        <w:t>◦</w:t>
      </w:r>
      <w:r>
        <w:t>. El salto de 2005 a 2006 (de 72.848 a 126.952) coincide con la Ley 15/2005, que permitió divorciarse sin separación previa</w:t>
      </w:r>
      <w:r>
        <w:rPr>
          <w:vertAlign w:val="superscript"/>
        </w:rPr>
        <w:t>◦</w:t>
      </w:r>
      <w:r>
        <w:t>; la serie solo muestra el salto, y atribuirlo a la ley es una lectura. Por cada 100 matrimonios, los divorcios fueron 61,1 en 2006 y 47,3 en 2024</w:t>
      </w:r>
      <w:r>
        <w:rPr>
          <w:vertAlign w:val="superscript"/>
        </w:rPr>
        <w:t>◦</w:t>
      </w:r>
      <w:r>
        <w:t>. Entre cónyuges ambos españoles, que el INE separa desde 2007, fueron 111.437 en 2007 y 64.701 en 2024: 2,76 y 1,53 por cada 1.000 españoles</w:t>
      </w:r>
      <w:r>
        <w:rPr>
          <w:vertAlign w:val="superscript"/>
        </w:rPr>
        <w:t>◦</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rPr>
          <w:vertAlign w:val="superscript"/>
        </w:rPr>
        <w:t>◦</w:t>
      </w:r>
      <w:r>
        <w:t>; la edición de 2006 no es comparable. Lo que sí sube son los síntomas depresivos graves, medidos con el cuestionario PHQ-8: del 2,5 % en 2020 al 8,0 % en 2023</w:t>
      </w:r>
      <w:r>
        <w:rPr>
          <w:vertAlign w:val="superscript"/>
        </w:rPr>
        <w:t>◦</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rPr>
          <w:vertAlign w:val="superscript"/>
        </w:rPr>
        <w:t>◦</w:t>
      </w:r>
      <w:r>
        <w:t>. El límite era de 2.500 euros y la Ley 11/2021 lo bajó a 1.000</w:t>
      </w:r>
      <w:r>
        <w:rPr>
          <w:vertAlign w:val="superscript"/>
        </w:rPr>
        <w:t>◦</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rPr>
          <w:vertAlign w:val="superscript"/>
        </w:rPr>
        <w:t>◦</w:t>
      </w:r>
      <w:r>
        <w:t>. Dos tercios de los Estados miembros ya tenían límites, de 500 euros en Grecia a algo más de 10.000 en Chequia</w:t>
      </w:r>
      <w:r>
        <w:rPr>
          <w:vertAlign w:val="superscript"/>
        </w:rPr>
        <w:t>◦</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rPr>
          <w:vertAlign w:val="superscript"/>
        </w:rPr>
        <w:t>◦</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rPr>
          <w:vertAlign w:val="superscript"/>
        </w:rPr>
        <w:t>◦</w:t>
      </w:r>
      <w:r>
        <w:t>. El BCE decidió el 18 de octubre de 2023 pasar a la fase de preparación, que empezó en noviembre, y el 30 de octubre de 2025 pasar a la siguiente, y dice que complementaría al efectivo</w:t>
      </w:r>
      <w:r>
        <w:rPr>
          <w:vertAlign w:val="superscript"/>
        </w:rPr>
        <w:t>◦</w:t>
      </w:r>
      <w:r>
        <w:t>. En octubre de 2026 no hay acuerdo final</w:t>
      </w:r>
      <w:r>
        <w:rPr>
          <w:vertAlign w:val="superscript"/>
        </w:rPr>
        <w:t>◦</w:t>
      </w:r>
      <w:r>
        <w:t>.</w:t>
      </w:r>
    </w:p>
    <w:p>
      <w:pPr>
        <w:pStyle w:val="ListBullet"/>
      </w:pPr>
      <w:r>
        <w:rPr>
          <w:b/>
        </w:rPr>
        <w:t>Los países:</w:t>
      </w:r>
      <w:r>
        <w:t xml:space="preserve"> en la zona del euro el efectivo fue el 52 % de los pagos en tienda en 2024, del 22 % en Países Bajos al 67 % en Malta</w:t>
      </w:r>
      <w:r>
        <w:rPr>
          <w:vertAlign w:val="superscript"/>
        </w:rPr>
        <w:t>◦</w:t>
      </w:r>
      <w:r>
        <w:t>. En las fuentes oficiales leídas, ningún país prohíbe pagar en efectivo en general; sí hay límites por operación (500 euros en Grecia, 3.000 en Países Bajos para bienes)</w:t>
      </w:r>
      <w:r>
        <w:rPr>
          <w:vertAlign w:val="superscript"/>
        </w:rPr>
        <w:t>◦</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rPr>
          <w:vertAlign w:val="superscript"/>
        </w:rPr>
        <w:t>◦</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rPr>
          <w:vertAlign w:val="superscript"/>
        </w:rPr>
        <w:t>◦</w:t>
      </w:r>
      <w:r>
        <w:t>. Lo impone la segunda bestia, que hace adorar a la primera y hará que quienes no adoren su imagen «sean muertos»</w:t>
      </w:r>
      <w:r>
        <w:rPr>
          <w:vertAlign w:val="superscript"/>
        </w:rPr>
        <w:t>◦</w:t>
      </w:r>
      <w:r>
        <w:t>; tomar la señal es adorar a la bestia</w:t>
      </w:r>
      <w:r>
        <w:rPr>
          <w:vertAlign w:val="superscript"/>
        </w:rPr>
        <w:t>◦</w:t>
      </w:r>
      <w:r>
        <w:t>. El texto no nombra ningún medio, ningún gobierno ni ningún documento. La señal en la mano y entre los ojos ya estaba en la Biblia como señal de la ley de Dios</w:t>
      </w:r>
      <w:r>
        <w:rPr>
          <w:vertAlign w:val="superscript"/>
        </w:rPr>
        <w:t>◦</w:t>
      </w:r>
      <w:r>
        <w:t>, y la señal de Dios en las frentes, en el propio Apocalipsis</w:t>
      </w:r>
      <w:r>
        <w:rPr>
          <w:vertAlign w:val="superscript"/>
        </w:rPr>
        <w:t>◦</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rPr>
          <w:vertAlign w:val="superscript"/>
        </w:rPr>
        <w:t>◦</w:t>
      </w:r>
      <w:r>
        <w:t>. Victorino de Pettau dice que sus siervos recibirán el número de su nombre «para que nadie los compre ni los venda»</w:t>
      </w:r>
      <w:r>
        <w:rPr>
          <w:vertAlign w:val="superscript"/>
        </w:rPr>
        <w:t>◦</w:t>
      </w:r>
      <w:r>
        <w:t>. En Hipólito, la condición para comerciar es un acto de culto; en Victorino, la señal es la de los siervos del Anticristo: en los dos, una lealtad.</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rPr>
          <w:vertAlign w:val="superscript"/>
        </w:rPr>
        <w:t>◦</w:t>
      </w:r>
      <w:r>
        <w:t>. Es la vara de la obra: la regla que el sistema aplica a cualquier persona o empresa (</w:t>
      </w:r>
      <w:r>
        <w:t>0.5</w:t>
      </w:r>
      <w:r>
        <w:t>).</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rPr>
          <w:vertAlign w:val="superscript"/>
        </w:rPr>
        <w:t>◦</w:t>
      </w:r>
      <w:r>
        <w:t>. Son ocho cierres seguidos (</w:t>
      </w:r>
      <w:r>
        <w:t>7.2</w:t>
      </w:r>
      <w:r>
        <w:t>, n.º 11).</w:t>
      </w:r>
    </w:p>
    <w:p>
      <w:pPr>
        <w:pStyle w:val="ListBullet"/>
      </w:pPr>
      <w:r>
        <w:rPr>
          <w:b/>
        </w:rPr>
        <w:t>Debe al Estado</w:t>
      </w:r>
      <w:r>
        <w:t xml:space="preserve"> 126.170 millones de euros en préstamos, «un 7,91 % del Producto Interior Bruto (PIB) de 2024»</w:t>
      </w:r>
      <w:r>
        <w:rPr>
          <w:vertAlign w:val="superscript"/>
        </w:rPr>
        <w:t>◦</w:t>
      </w:r>
      <w:r>
        <w:t>.</w:t>
      </w:r>
    </w:p>
    <w:p>
      <w:pPr>
        <w:pStyle w:val="ListBullet"/>
      </w:pPr>
      <w:r>
        <w:rPr>
          <w:b/>
        </w:rPr>
        <w:t>Las administraciones</w:t>
      </w:r>
      <w:r>
        <w:t xml:space="preserve"> gastaron más de lo que ingresaron en 28 de los 31 años de 1995 a 2025: solo cerraron con superávit en 2005, 2006 y 2007</w:t>
      </w:r>
      <w:r>
        <w:rPr>
          <w:vertAlign w:val="superscript"/>
        </w:rPr>
        <w:t>◦</w:t>
      </w:r>
      <w:r>
        <w:t>. La deuda pasó de 384.662 millones de euros en 2007 a 1.698.225 a final de 2025</w:t>
      </w:r>
      <w:r>
        <w:rPr>
          <w:vertAlign w:val="superscript"/>
        </w:rPr>
        <w:t>◦</w:t>
      </w:r>
      <w:r>
        <w:t>, y lo que falta cada año equivale, más o menos, a los intereses de lo ya pedido (</w:t>
      </w:r>
      <w:r>
        <w:t>8.6</w:t>
      </w:r>
      <w:r>
        <w:t>).</w:t>
      </w:r>
    </w:p>
    <w:p>
      <w:r>
        <w:rPr>
          <w:b/>
        </w:rPr>
        <w:t>Por qué no se le declara en quiebra.</w:t>
      </w:r>
      <w:r>
        <w:t xml:space="preserve"> Porque la ley que él mismo escribe lo excluye del concurso de acreedores (</w:t>
      </w:r>
      <w:r>
        <w:t>5.1</w:t>
      </w:r>
      <w:r>
        <w:t>, n.º 7). Y nadie debe ser juez en su propia causa (</w:t>
      </w:r>
      <w:r>
        <w:t>1.7</w:t>
      </w:r>
      <w:r>
        <w:t>).</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rPr>
          <w:vertAlign w:val="superscript"/>
        </w:rPr>
        <w:t>◦</w:t>
      </w:r>
      <w:r>
        <w:t>: la prometida era más de cuatro veces mayor, 4,3 veces (cálculo de la obra). El propio INE advierte que es el valor actual de pagos futuros, no una deuda que venza hoy (</w:t>
      </w:r>
      <w:r>
        <w:t>5.1</w:t>
      </w:r>
      <w:r>
        <w:t>, n.º 24).</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r>
        <w:rPr>
          <w:b/>
        </w:rPr>
        <w:t>Lectura del autor:</w:t>
      </w:r>
      <w:r>
        <w:t xml:space="preserve"> el ciudadano es a la vez acreedor y pagador: el sistema le debe, y le cobra para pagarle lo que le debe. Es una deuda contraída contra el ciudadano, y es el Estado quien debe compensarle.</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rPr>
          <w:vertAlign w:val="superscript"/>
        </w:rPr>
        <w:t>◦</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rPr>
          <w:vertAlign w:val="superscript"/>
        </w:rPr>
        <w:t>◦</w:t>
      </w:r>
      <w:r>
        <w:t>. La ley ya presume, salvo prueba en contrario, que el tercero lo sabía cuando los bienes «le hubieran sido transferidos a título gratuito o por un precio inferior al real de mercado»</w:t>
      </w:r>
      <w:r>
        <w:rPr>
          <w:vertAlign w:val="superscript"/>
        </w:rPr>
        <w:t>◦</w:t>
      </w:r>
      <w:r>
        <w:t>.</w:t>
      </w:r>
    </w:p>
    <w:p>
      <w:pPr>
        <w:spacing w:after="60"/>
        <w:ind w:left="510" w:hanging="397"/>
      </w:pPr>
      <w:r>
        <w:rPr>
          <w:b w:val="0"/>
        </w:rPr>
        <w:t xml:space="preserve">4. </w:t>
      </w:r>
      <w:r>
        <w:rPr>
          <w:b/>
        </w:rPr>
        <w:t>Y nunca por apellido ni por parentesco:</w:t>
      </w:r>
      <w:r>
        <w:t xml:space="preserve"> «el hijo no llevará por el pecado del padre»</w:t>
      </w:r>
      <w:r>
        <w:rPr>
          <w:vertAlign w:val="superscript"/>
        </w:rPr>
        <w:t>◦</w:t>
      </w:r>
      <w:r>
        <w:t>. Es el principio de que cada uno responde de lo suyo (</w:t>
      </w:r>
      <w:r>
        <w:t>3.2</w:t>
      </w:r>
      <w:r>
        <w:t>, P7).</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Y que castigar a quien había atacado a sus vecinos violando tratados no era injusto, porque «en tales circunstancias el atacante debe saber que obra mal»</w:t>
      </w:r>
      <w:r>
        <w:rPr>
          <w:vertAlign w:val="superscript"/>
        </w:rPr>
        <w:t>◦</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rPr>
          <w:vertAlign w:val="superscript"/>
        </w:rPr>
        <w:t>◦</w:t>
      </w:r>
      <w:r>
        <w:t>.</w:t>
      </w:r>
    </w:p>
    <w:p>
      <w:r>
        <w:rPr>
          <w:b/>
        </w:rPr>
        <w:t>Los hijos.</w:t>
      </w:r>
      <w:r>
        <w:t xml:space="preserve"> No pagan por sus padres: «no mató á los hijos de los que le mataron, conforme á lo que está escrito en el libro de la ley de Moisés»</w:t>
      </w:r>
      <w:r>
        <w:rPr>
          <w:vertAlign w:val="superscript"/>
        </w:rPr>
        <w:t>◦</w:t>
      </w:r>
      <w:r>
        <w:t>. Pero tampoco conservan lo que sus padres no podían dejarles. La herencia comprende «todos los bienes, derechos y obligaciones de una persona que no se extingan por su muerte»</w:t>
      </w:r>
      <w:r>
        <w:rPr>
          <w:vertAlign w:val="superscript"/>
        </w:rPr>
        <w:t>◦</w:t>
      </w:r>
      <w:r>
        <w:t>, y quien la acepta a beneficio de inventario responde de sus cargas solo «hasta donde alcancen los bienes de la misma»</w:t>
      </w:r>
      <w:r>
        <w:rPr>
          <w:vertAlign w:val="superscript"/>
        </w:rPr>
        <w:t>◦</w:t>
      </w:r>
      <w:r>
        <w:t>. Lo heredado de origen ilícito se devuelve, hasta donde alcance la herencia, y lo que los hijos ganaron con su trabajo es suyo. Quien demuestre haber servido al bien común verá valorada esa conducta, después de restituir.</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Es la raíz de la propia palabra del poder, y sirve de medida: ¿hace crecer este sistema a quienes lo sostienen?</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rPr>
          <w:vertAlign w:val="superscript"/>
        </w:rPr>
        <w:t>◦</w:t>
      </w:r>
      <w:r>
        <w:t>. Desde 1985, quince</w:t>
      </w:r>
      <w:r>
        <w:rPr>
          <w:vertAlign w:val="superscript"/>
        </w:rPr>
        <w:t>◦</w:t>
      </w:r>
      <w:r>
        <w:t>, como hoy: «Tener cubierto un período mínimo de cotización de quince años»</w:t>
      </w:r>
      <w:r>
        <w:rPr>
          <w:vertAlign w:val="superscript"/>
        </w:rPr>
        <w:t>◦</w:t>
      </w:r>
      <w:r>
        <w:t>.</w:t>
      </w:r>
    </w:p>
    <w:p>
      <w:pPr>
        <w:pStyle w:val="ListBullet"/>
      </w:pPr>
      <w:r>
        <w:rPr>
          <w:b/>
        </w:rPr>
        <w:t>Para calcularla:</w:t>
      </w:r>
      <w:r>
        <w:t xml:space="preserve"> en 1985, con los últimos ocho años: «las bases de cotización del interesado durante los noventa y seis meses inmediatamente anteriores»</w:t>
      </w:r>
      <w:r>
        <w:rPr>
          <w:vertAlign w:val="superscript"/>
        </w:rPr>
        <w:t>◦</w:t>
      </w:r>
      <w:r>
        <w:t>; desde 2026, con las 302 mejores bases de los últimos 304 meses, unos 25 años</w:t>
      </w:r>
      <w:r>
        <w:rPr>
          <w:vertAlign w:val="superscript"/>
        </w:rPr>
        <w:t>◦</w:t>
      </w:r>
      <w:r>
        <w:t>; y desde 2037, con las 324 mejores de los últimos 348 meses: los 27 mejores años de los últimos 29</w:t>
      </w:r>
      <w:r>
        <w:rPr>
          <w:vertAlign w:val="superscript"/>
        </w:rPr>
        <w:t>◦</w:t>
      </w:r>
      <w:r>
        <w:t>.</w:t>
      </w:r>
    </w:p>
    <w:p>
      <w:pPr>
        <w:pStyle w:val="ListBullet"/>
      </w:pPr>
      <w:r>
        <w:rPr>
          <w:b/>
        </w:rPr>
        <w:t>Para cobrarla entera:</w:t>
      </w:r>
      <w:r>
        <w:t xml:space="preserve"> desde 2027, 37 años cotizados: el 50 % por los primeros quince, y el resto mes a mes</w:t>
      </w:r>
      <w:r>
        <w:rPr>
          <w:vertAlign w:val="superscript"/>
        </w:rPr>
        <w:t>◦</w:t>
      </w:r>
      <w:r>
        <w:t>.</w:t>
      </w:r>
    </w:p>
    <w:p>
      <w:pPr>
        <w:pStyle w:val="ListBullet"/>
      </w:pPr>
      <w:r>
        <w:rPr>
          <w:b/>
        </w:rPr>
        <w:t>La edad:</w:t>
      </w:r>
      <w:r>
        <w:t xml:space="preserve"> «Haber cumplido sesenta y siete años de edad, o sesenta y cinco años cuando se acrediten treinta y ocho años y seis meses de cotización»</w:t>
      </w:r>
      <w:r>
        <w:rPr>
          <w:vertAlign w:val="superscript"/>
        </w:rPr>
        <w:t>◦</w:t>
      </w:r>
      <w:r>
        <w:t>. La subida desde los 65 se completa en 2027</w:t>
      </w:r>
      <w:r>
        <w:rPr>
          <w:vertAlign w:val="superscript"/>
        </w:rPr>
        <w:t>◦</w:t>
      </w:r>
      <w:r>
        <w:t>.</w:t>
      </w:r>
    </w:p>
    <w:p>
      <w:r>
        <w:rPr>
          <w:b/>
        </w:rPr>
        <w:t>Más carga.</w:t>
      </w:r>
    </w:p>
    <w:p>
      <w:pPr>
        <w:pStyle w:val="ListBullet"/>
      </w:pPr>
      <w:r>
        <w:rPr>
          <w:b/>
        </w:rPr>
        <w:t>Impuestos y cotizaciones:</w:t>
      </w:r>
      <w:r>
        <w:t xml:space="preserve"> lo que pasa por las administraciones por esas dos vías era el 32,3 % del PIB en 1995 y fue el 37,3 % en 2024</w:t>
      </w:r>
      <w:r>
        <w:rPr>
          <w:vertAlign w:val="superscript"/>
        </w:rPr>
        <w:t>◦</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rPr>
          <w:vertAlign w:val="superscript"/>
        </w:rPr>
        <w:t>◦</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rPr>
          <w:vertAlign w:val="superscript"/>
        </w:rPr>
        <w:t>◦</w:t>
      </w:r>
      <w:r>
        <w:t xml:space="preserve"> (</w:t>
      </w:r>
      <w:r>
        <w:t>8.4</w:t>
      </w:r>
      <w:r>
        <w:t>), sin el IVA, los tributos municipales ni los impuestos especiales.</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rPr>
          <w:vertAlign w:val="superscript"/>
        </w:rPr>
        <w:t>◦</w:t>
      </w:r>
      <w:r>
        <w:t>. Solo esa mitad ya supera lo que se gasta en gobierno, parlamentos y hacienda: el 1,3 % del PIB en 2024</w:t>
      </w:r>
      <w:r>
        <w:rPr>
          <w:vertAlign w:val="superscript"/>
        </w:rPr>
        <w:t>◦</w:t>
      </w:r>
      <w:r>
        <w:t>.</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rPr>
          <w:vertAlign w:val="superscript"/>
        </w:rPr>
        <w:t>◦</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rPr>
          <w:vertAlign w:val="superscript"/>
        </w:rPr>
        <w:t>◦</w:t>
      </w:r>
      <w:r>
        <w:t>. El Ayuntamiento de Madrid previó 211,4 millones de euros por multas de circulación en 2024 y reconoció 220,2, un 4,1 % más; en 2023, 199,3 previstos y 213,4 reconocidos, un 7,1 % más</w:t>
      </w:r>
      <w:r>
        <w:rPr>
          <w:vertAlign w:val="superscript"/>
        </w:rPr>
        <w:t>◦</w:t>
      </w:r>
      <w:r>
        <w:t>. El castigo que se presupuesta antes de cometerse la infracción es lo que las tradiciones separaron del negocio (</w:t>
      </w:r>
      <w:r>
        <w:t>3.2</w:t>
      </w:r>
      <w:r>
        <w:t>, P8).</w:t>
      </w:r>
    </w:p>
    <w:p>
      <w:r>
        <w:rPr>
          <w:b/>
        </w:rPr>
        <w:t>Lo que hay que reconocer.</w:t>
      </w:r>
    </w:p>
    <w:p>
      <w:pPr>
        <w:pStyle w:val="ListBullet"/>
      </w:pPr>
      <w:r>
        <w:rPr>
          <w:b/>
        </w:rPr>
        <w:t>Se vive más.</w:t>
      </w:r>
      <w:r>
        <w:t xml:space="preserve"> La esperanza de vida a los 65 años pasó de 15,8 años en 1978 a 21,9 en 2024</w:t>
      </w:r>
      <w:r>
        <w:rPr>
          <w:vertAlign w:val="superscript"/>
        </w:rPr>
        <w:t>◦</w:t>
      </w:r>
      <w:r>
        <w:t>: la pensión se cobra más años, y la edad de jubilación ha subido dos. El gasto en pensiones de vejez es el que más crece: del 6,6 % del PIB en 1995 al 10,4 % en 2024, todavía provisional</w:t>
      </w:r>
      <w:r>
        <w:rPr>
          <w:vertAlign w:val="superscript"/>
        </w:rPr>
        <w:t>◦</w:t>
      </w:r>
      <w:r>
        <w:t>.</w:t>
      </w:r>
    </w:p>
    <w:p>
      <w:pPr>
        <w:pStyle w:val="ListBullet"/>
      </w:pPr>
      <w:r>
        <w:rPr>
          <w:b/>
        </w:rPr>
        <w:t>La estructura no crece.</w:t>
      </w:r>
      <w:r>
        <w:t xml:space="preserve"> Lo que se gasta en gobierno, parlamentos y hacienda baja: del 1,5 % del PIB en 1995 al 1,3 % en 2024</w:t>
      </w:r>
      <w:r>
        <w:rPr>
          <w:vertAlign w:val="superscript"/>
        </w:rPr>
        <w:t>◦</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rPr>
          <w:vertAlign w:val="superscript"/>
        </w:rPr>
        <w:t>◦</w:t>
      </w:r>
      <w:r>
        <w:t>. La forma cambia; el patrón de una estructura que se sostiene sobre la persona permanece.</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r>
        <w:rPr>
          <w:b/>
        </w:rPr>
        <w:t>Lectura del autor:</w:t>
      </w:r>
      <w:r>
        <w:t xml:space="preserve"> ha llegado a su final. Ha perdido su </w:t>
      </w:r>
      <w:r>
        <w:rPr>
          <w:i/>
        </w:rPr>
        <w:t>auctoritas</w:t>
      </w:r>
      <w:r>
        <w:t>,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Y sigue: «pero porque es mortal y está sujeto a la decadencia, como todas las demás criaturas terrenas, y porque hay algo en el cielo, aunque no en la tierra, a lo que debe temer y cuyas leyes debe obedecer»</w:t>
      </w:r>
      <w:r>
        <w:t>, dedicará los capítulos siguientes a «sus enfermedades y las causas de su mortalidad, y a qué leyes de la naturaleza está obligado a obedecer»</w:t>
      </w:r>
      <w:r>
        <w:rPr>
          <w:vertAlign w:val="superscript"/>
        </w:rPr>
        <w:t>◦</w:t>
      </w:r>
      <w:r>
        <w:t>. La portada de 1651 recoge el versículo cortado (</w:t>
      </w:r>
      <w:r>
        <w:t>6.1</w:t>
      </w:r>
      <w:r>
        <w:t>); la Vulgata continúa: «qui factus est ut nullum timeret» (que fue hecho para no temer a nadie) (Job 41:24).</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rPr>
          <w:vertAlign w:val="superscript"/>
        </w:rPr>
        <w:t>◦</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rPr>
          <w:vertAlign w:val="superscript"/>
        </w:rPr>
        <w:t>◦</w:t>
      </w:r>
      <w:r>
        <w:t>. Se separa caso a caso, con pruebas; la siega final no es nuestra.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rPr>
          <w:vertAlign w:val="superscript"/>
        </w:rPr>
        <w:t>◦</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es el diagnóstico que funda la reforma, no una orden de desobediencia.</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rPr>
          <w:vertAlign w:val="superscript"/>
        </w:rPr>
        <w:t>◦</w:t>
      </w:r>
      <w:r>
        <w:t>. Los iroqueses, divididos en la guerra de independencia de Estados Unidos, cedieron en 1784 «todo derecho sobre el territorio» al oeste de la nueva frontera</w:t>
      </w:r>
      <w:r>
        <w:rPr>
          <w:vertAlign w:val="superscript"/>
        </w:rPr>
        <w:t>◦</w:t>
      </w:r>
      <w:r>
        <w:t>. Corregirse por dentro y resistir la fuerza de fuera son dos problemas distintos, y ninguno de los pueblos estudiados resolvió los dos a la vez.</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Diez casos, cada uno con su fecha y su fuente, como hecho histórico comparado y no como manual de instrucciones: cada uno tuvo su causa, su proceso y sus consecuencias, y no todos terminaron igual de bien para quienes participaron.</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rPr>
          <w:vertAlign w:val="superscript"/>
        </w:rPr>
        <w:t>◦</w:t>
      </w:r>
      <w:r>
        <w:t>. El 30 de junio de 1688, siete ingleses destacados escribieron a Guillermo de Orange para invitarle a venir; el rey no se atrevió a arriesgar su ejército en una batalla y huyó el 23 de diciembre</w:t>
      </w:r>
      <w:r>
        <w:rPr>
          <w:vertAlign w:val="superscript"/>
        </w:rPr>
        <w:t>◦</w:t>
      </w:r>
      <w:r>
        <w:t>. En 1689, la Declaración de Derechos dejó escrito «que el pretendido poder de suspender las leyes o su ejecución por autoridad real, sin consentimiento del Parlamento, es ilegal»</w:t>
      </w:r>
      <w:r>
        <w:rPr>
          <w:vertAlign w:val="superscript"/>
        </w:rPr>
        <w:t>◦</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rPr>
          <w:vertAlign w:val="superscript"/>
        </w:rPr>
        <w:t>◦</w:t>
      </w:r>
      <w:r>
        <w:t>. A finales de año, unas 60.000 personas estaban en la cárcel</w:t>
      </w:r>
      <w:r>
        <w:rPr>
          <w:vertAlign w:val="superscript"/>
        </w:rPr>
        <w:t>◦</w:t>
      </w:r>
      <w:r>
        <w:t>; a él lo detuvieron el 5 de mayo</w:t>
      </w:r>
      <w:r>
        <w:rPr>
          <w:vertAlign w:val="superscript"/>
        </w:rPr>
        <w:t>◦</w:t>
      </w:r>
      <w:r>
        <w:t>. Diecisiete años después, una ley británica dispuso que desde el 15 de agosto de 1947 se establecieran «dos dominios independientes», la India y Pakistán</w:t>
      </w:r>
      <w:r>
        <w:rPr>
          <w:vertAlign w:val="superscript"/>
        </w:rPr>
        <w:t>◦</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rPr>
          <w:vertAlign w:val="superscript"/>
        </w:rPr>
        <w:t>◦</w:t>
      </w:r>
      <w:r>
        <w:t>. Solidaridad fue el primer sindicato independiente en un país del bloque soviético</w:t>
      </w:r>
      <w:r>
        <w:rPr>
          <w:vertAlign w:val="superscript"/>
        </w:rPr>
        <w:t>◦</w:t>
      </w:r>
      <w:r>
        <w:t>. Con la ley marcial, implantada el 13 de diciembre de 1981</w:t>
      </w:r>
      <w:r>
        <w:rPr>
          <w:vertAlign w:val="superscript"/>
        </w:rPr>
        <w:t>◦</w:t>
      </w:r>
      <w:r>
        <w:t>, fue declarado ilegal</w:t>
      </w:r>
      <w:r>
        <w:rPr>
          <w:vertAlign w:val="superscript"/>
        </w:rPr>
        <w:t>◦</w:t>
      </w:r>
      <w:r>
        <w:t>, y una ley de 8 de octubre de 1982 anuló todos los registros sindicales anteriores</w:t>
      </w:r>
      <w:r>
        <w:rPr>
          <w:vertAlign w:val="superscript"/>
        </w:rPr>
        <w:t>◦</w:t>
      </w:r>
      <w:r>
        <w:t>. La Mesa Redonda (6 de febrero a 5 de abril de 1989) llevó a las elecciones «parcialmente democráticas» del 4 de junio</w:t>
      </w:r>
      <w:r>
        <w:rPr>
          <w:vertAlign w:val="superscript"/>
        </w:rPr>
        <w:t>◦</w:t>
      </w:r>
      <w:r>
        <w:t>, y el 24 de agosto fue nombrado el primer jefe de Gobierno no comunista de un país de Europa del Este desde finales de los años cuarenta</w:t>
      </w:r>
      <w:r>
        <w:rPr>
          <w:vertAlign w:val="superscript"/>
        </w:rPr>
        <w:t>◦</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rPr>
          <w:vertAlign w:val="superscript"/>
        </w:rPr>
        <w:t>◦</w:t>
      </w:r>
      <w:r>
        <w:t>. Desde el 4 de septiembre hubo manifestaciones cada lunes en Leipzig; el 9 de octubre, unas 75.000 personas, y la policía no intervino</w:t>
      </w:r>
      <w:r>
        <w:rPr>
          <w:vertAlign w:val="superscript"/>
        </w:rPr>
        <w:t>◦</w:t>
      </w:r>
      <w:r>
        <w:t>. El 9 de noviembre, un portavoz del Gobierno dijo en directo que las nuevas normas de viaje entraban en vigor «inmediatamente», cuando su nota decía que se publicaran al día siguiente</w:t>
      </w:r>
      <w:r>
        <w:rPr>
          <w:vertAlign w:val="superscript"/>
        </w:rPr>
        <w:t>◦</w:t>
      </w:r>
      <w:r>
        <w:t>; esa noche, ante la multitud, el oficial al mando del paso de Bornholmer Straße decidió abrirlo</w:t>
      </w:r>
      <w:r>
        <w:rPr>
          <w:vertAlign w:val="superscript"/>
        </w:rPr>
        <w:t>◦</w:t>
      </w:r>
      <w:r>
        <w:t>. La Unión Soviética se disolvió en diciembre de 1991</w:t>
      </w:r>
      <w:r>
        <w:rPr>
          <w:vertAlign w:val="superscript"/>
        </w:rPr>
        <w:t>◦</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rPr>
          <w:vertAlign w:val="superscript"/>
        </w:rPr>
        <w:t>◦</w:t>
      </w:r>
      <w:r>
        <w:t>. Siguieron las protestas y, el 27, una huelga general</w:t>
      </w:r>
      <w:r>
        <w:rPr>
          <w:vertAlign w:val="superscript"/>
        </w:rPr>
        <w:t>◦</w:t>
      </w:r>
      <w:r>
        <w:t>. El 29 de noviembre, a propuesta del Gobierno, la Asamblea Federal suprimió de la Constitución el papel dirigente del Partido Comunista, sin ningún voto en contra ni abstención</w:t>
      </w:r>
      <w:r>
        <w:rPr>
          <w:vertAlign w:val="superscript"/>
        </w:rPr>
        <w:t>◦</w:t>
      </w:r>
      <w:r>
        <w:t>. Václav Havel, detenido en enero de ese mismo año</w:t>
      </w:r>
      <w:r>
        <w:rPr>
          <w:vertAlign w:val="superscript"/>
        </w:rPr>
        <w:t>◦</w:t>
      </w:r>
      <w:r>
        <w:t>, fue elegido presidente por la Asamblea Federal el 29 de diciembre</w:t>
      </w:r>
      <w:r>
        <w:rPr>
          <w:vertAlign w:val="superscript"/>
        </w:rPr>
        <w:t>◦</w:t>
      </w:r>
      <w:r>
        <w:t>.</w:t>
      </w:r>
    </w:p>
    <w:p>
      <w:pPr>
        <w:spacing w:after="60"/>
        <w:ind w:left="510" w:hanging="397"/>
      </w:pPr>
      <w:r>
        <w:rPr>
          <w:b w:val="0"/>
        </w:rPr>
        <w:t xml:space="preserve">6. </w:t>
      </w:r>
      <w:r>
        <w:rPr>
          <w:b/>
        </w:rPr>
        <w:t>Filipinas, 1986.</w:t>
      </w:r>
      <w:r>
        <w:t xml:space="preserve"> Ferdinand Marcos era presidente desde el 30 de diciembre de 1965</w:t>
      </w:r>
      <w:r>
        <w:rPr>
          <w:vertAlign w:val="superscript"/>
        </w:rPr>
        <w:t>◦</w:t>
      </w:r>
      <w:r>
        <w:t>. De las elecciones del 7 de febrero de 1986, el Gobierno de Estados Unidos, aliado suyo, dijo que quedaron «empañadas por un fraude y una violencia generalizados, cometidos sobre todo por el partido del Gobierno»</w:t>
      </w:r>
      <w:r>
        <w:rPr>
          <w:vertAlign w:val="superscript"/>
        </w:rPr>
        <w:t>◦</w:t>
      </w:r>
      <w:r>
        <w:t>. El 22 de febrero, el ministro de Defensa y el jefe del Estado Mayor dimitieron por ese fraude</w:t>
      </w:r>
      <w:r>
        <w:rPr>
          <w:vertAlign w:val="superscript"/>
        </w:rPr>
        <w:t>◦</w:t>
      </w:r>
      <w:r>
        <w:t>. Durante cuatro días, cientos de miles de personas se reunieron en la avenida EDSA de Manila, y millones en todo el país, según la Gaceta Oficial filipina</w:t>
      </w:r>
      <w:r>
        <w:rPr>
          <w:vertAlign w:val="superscript"/>
        </w:rPr>
        <w:t>◦</w:t>
      </w:r>
      <w:r>
        <w:t>. El 25, Corazón Aquino juró como presidenta y Marcos salió del país</w:t>
      </w:r>
      <w:r>
        <w:rPr>
          <w:vertAlign w:val="superscript"/>
        </w:rPr>
        <w:t>◦</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rPr>
          <w:vertAlign w:val="superscript"/>
        </w:rPr>
        <w:t>◦</w:t>
      </w:r>
      <w:r>
        <w:t>. Mandela salió de la cárcel el 11 de febrero, tras veintisiete años y medio</w:t>
      </w:r>
      <w:r>
        <w:rPr>
          <w:vertAlign w:val="superscript"/>
        </w:rPr>
        <w:t>◦</w:t>
      </w:r>
      <w:r>
        <w:t>. En las primeras elecciones no raciales, el 27 de abril de 1994, el Congreso Nacional Africano obtuvo el 62,6 % de los votos, y el 9 de mayo la Asamblea Nacional eligió presidente a Mandela, por unanimidad</w:t>
      </w:r>
      <w:r>
        <w:rPr>
          <w:vertAlign w:val="superscript"/>
        </w:rPr>
        <w:t>◦</w:t>
      </w:r>
      <w:r>
        <w:t>.</w:t>
      </w:r>
    </w:p>
    <w:p>
      <w:pPr>
        <w:spacing w:after="60"/>
        <w:ind w:left="510" w:hanging="397"/>
      </w:pPr>
      <w:r>
        <w:rPr>
          <w:b w:val="0"/>
        </w:rPr>
        <w:t xml:space="preserve">8. </w:t>
      </w:r>
      <w:r>
        <w:rPr>
          <w:b/>
        </w:rPr>
        <w:t>Indonesia, 1998.</w:t>
      </w:r>
      <w:r>
        <w:t xml:space="preserve"> En 1997, una crisis monetaria que barría el sudeste asiático alcanzó a Indonesia</w:t>
      </w:r>
      <w:r>
        <w:rPr>
          <w:vertAlign w:val="superscript"/>
        </w:rPr>
        <w:t>◦</w:t>
      </w:r>
      <w:r>
        <w:t>. Suharto llevaba treinta y dos años en el poder, contando desde que tomó el control efectivo del Gobierno en 1966</w:t>
      </w:r>
      <w:r>
        <w:rPr>
          <w:vertAlign w:val="superscript"/>
        </w:rPr>
        <w:t>◦</w:t>
      </w:r>
      <w:r>
        <w:t>. Los estudiantes ocuparon el Parlamento desde el 18 de mayo de 1998, y el 21 Suharto dimitió</w:t>
      </w:r>
      <w:r>
        <w:rPr>
          <w:vertAlign w:val="superscript"/>
        </w:rPr>
        <w:t>◦</w:t>
      </w:r>
      <w:r>
        <w:t xml:space="preserve">. Siguió la época llamada </w:t>
      </w:r>
      <w:r>
        <w:rPr>
          <w:i/>
        </w:rPr>
        <w:t>reformasi</w:t>
      </w:r>
      <w:r>
        <w:t>, la reforma</w:t>
      </w:r>
      <w:r>
        <w:rPr>
          <w:vertAlign w:val="superscript"/>
        </w:rPr>
        <w:t>◦</w:t>
      </w:r>
      <w:r>
        <w:t>, y el 7 de junio de 1999, según los observadores internacionales, Indonesia celebró «sus primeras elecciones competitivas desde 1955»</w:t>
      </w:r>
      <w:r>
        <w:rPr>
          <w:vertAlign w:val="superscript"/>
        </w:rPr>
        <w:t>◦</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rPr>
          <w:vertAlign w:val="superscript"/>
        </w:rPr>
        <w:t>◦</w:t>
      </w:r>
      <w:r>
        <w:t>. Siguieron las protestas, con una rosa en la mano en lugar de un arma; de ahí el nombre de Revolución de las Rosas</w:t>
      </w:r>
      <w:r>
        <w:rPr>
          <w:vertAlign w:val="superscript"/>
        </w:rPr>
        <w:t>◦</w:t>
      </w:r>
      <w:r>
        <w:t>. El 22 de noviembre, los manifestantes impidieron que se constituyera el nuevo Parlamento, y el 23 dimitió el presidente Shevardnadze</w:t>
      </w:r>
      <w:r>
        <w:rPr>
          <w:vertAlign w:val="superscript"/>
        </w:rPr>
        <w:t>◦</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rPr>
          <w:vertAlign w:val="superscript"/>
        </w:rPr>
        <w:t>◦</w:t>
      </w:r>
      <w:r>
        <w:t>. Hubo protestas ante el Parlamento, golpeando cacerolas</w:t>
      </w:r>
      <w:r>
        <w:rPr>
          <w:vertAlign w:val="superscript"/>
        </w:rPr>
        <w:t>◦</w:t>
      </w:r>
      <w:r>
        <w:t>. El 26 de enero de 2009 dimitió el Gobierno</w:t>
      </w:r>
      <w:r>
        <w:rPr>
          <w:vertAlign w:val="superscript"/>
        </w:rPr>
        <w:t>◦</w:t>
      </w:r>
      <w:r>
        <w:t>, y el 25 de abril hubo elecciones</w:t>
      </w:r>
      <w:r>
        <w:rPr>
          <w:vertAlign w:val="superscript"/>
        </w:rPr>
        <w:t>◦</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rPr>
          <w:vertAlign w:val="superscript"/>
        </w:rPr>
        <w:t>◦</w:t>
      </w:r>
      <w:r>
        <w:t>.</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Lo que quiere es que la segunda no sea una retirada a ciegas, sino la constancia escrita de lo que falta, el juicio de la verdad y la reforma por la puerta que la propia Constitución dejó abierta (capítulos 10 y 11).</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rPr>
          <w:vertAlign w:val="superscript"/>
        </w:rPr>
        <w:t>◦</w:t>
      </w:r>
      <w:r>
        <w:t>, y la Constitución garantiza «la irretroactividad de las disposiciones sancionadoras no favorables o restrictivas de derechos individuales»</w:t>
      </w:r>
      <w:r>
        <w:rPr>
          <w:vertAlign w:val="superscript"/>
        </w:rPr>
        <w:t>◦</w:t>
      </w:r>
      <w:r>
        <w:t>. El decomiso ampliado del Código Penal exige una condena: se ordena sobre los bienes de «una persona condenada por alguno de los siguientes delitos»</w:t>
      </w:r>
      <w:r>
        <w:rPr>
          <w:vertAlign w:val="superscript"/>
        </w:rPr>
        <w:t>◦</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rPr>
          <w:vertAlign w:val="superscript"/>
        </w:rPr>
        <w:t>◦</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rPr>
          <w:vertAlign w:val="superscript"/>
        </w:rPr>
        <w:t>◦</w:t>
      </w:r>
      <w:r>
        <w:t>. A Tízoc no lo destituyeron: lo mataron, según las crónicas</w:t>
      </w:r>
      <w:r>
        <w:rPr>
          <w:vertAlign w:val="superscript"/>
        </w:rPr>
        <w:t>◦</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rPr>
          <w:vertAlign w:val="superscript"/>
        </w:rPr>
        <w:t>◦</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rPr>
          <w:vertAlign w:val="superscript"/>
        </w:rPr>
        <w:t>◦</w:t>
      </w:r>
      <w:r>
        <w:t>. Y en el mismo capítulo, la razón: la autoridad «es ministro de Dios para tu bien»</w:t>
      </w:r>
      <w:r>
        <w:rPr>
          <w:vertAlign w:val="superscript"/>
        </w:rPr>
        <w:t>◦</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rPr>
          <w:vertAlign w:val="superscript"/>
        </w:rPr>
        <w:t>◦</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rPr>
          <w:b/>
        </w:rPr>
        <w:t>Conclusión, lo que arrojan los datos:</w:t>
      </w:r>
      <w:r>
        <w:t xml:space="preserve"> los textos que mandan pagar y obedecer no lo mandan sin condición: la autoridad lo es para el bien de quien obedece, y por encima de ella está Dios.</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rPr>
          <w:vertAlign w:val="superscript"/>
        </w:rPr>
        <w:t>◦</w:t>
      </w:r>
      <w:r>
        <w:t xml:space="preserve"> (</w:t>
      </w:r>
      <w:r>
        <w:t>2.5</w:t>
      </w:r>
      <w:r>
        <w:t>). Pero quien ya sabe tiene una tarea: «El pecado, pues, está en aquel que sabe hacer lo bueno, y no lo hace»</w:t>
      </w:r>
      <w:r>
        <w:rPr>
          <w:vertAlign w:val="superscript"/>
        </w:rPr>
        <w:t>◦</w:t>
      </w:r>
      <w:r>
        <w:t>. Esa tarea no es dejar de pagar, porque la obligación vigente sigue vigente (Constitución, art. 9.1), sino dejar de consentir en silencio: pedir la motivación, saber a dónde va el dinero y dejar constancia por escrito (</w:t>
      </w:r>
      <w:r>
        <w:t>10.4</w:t>
      </w:r>
      <w:r>
        <w:t>).</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rPr>
          <w:vertAlign w:val="superscript"/>
        </w:rPr>
        <w:t>◦</w:t>
      </w:r>
      <w:r>
        <w:t>, y no puede ejecutar ninguna actuación material sin la resolución previa que le sirva de fundamento jurídico</w:t>
      </w:r>
      <w:r>
        <w:rPr>
          <w:vertAlign w:val="superscript"/>
        </w:rPr>
        <w:t>◦</w:t>
      </w:r>
      <w:r>
        <w:t xml:space="preserve">. Se desarrolla en </w:t>
      </w:r>
      <w:r>
        <w:t>10.4</w:t>
      </w:r>
      <w:r>
        <w:t>.</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rPr>
          <w:vertAlign w:val="superscript"/>
        </w:rPr>
        <w:t>◦</w:t>
      </w:r>
      <w:r>
        <w:t>; el Gobierno «dirige la política interior y exterior, la Administración civil y militar y la defensa del Estado»</w:t>
      </w:r>
      <w:r>
        <w:rPr>
          <w:vertAlign w:val="superscript"/>
        </w:rPr>
        <w:t>◦</w:t>
      </w:r>
      <w:r>
        <w:t>, y la policía está «bajo la dependencia del Gobierno»</w:t>
      </w:r>
      <w:r>
        <w:rPr>
          <w:vertAlign w:val="superscript"/>
        </w:rPr>
        <w:t>◦</w:t>
      </w:r>
      <w:r>
        <w:t>. Pero la misma ley ya pide lo que el autor pide para cada empleado: que las administraciones «establecerán sistemas que permitan la evaluación del desempeño de sus empleados»</w:t>
      </w:r>
      <w:r>
        <w:rPr>
          <w:vertAlign w:val="superscript"/>
        </w:rPr>
        <w:t>◦</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rPr>
          <w:vertAlign w:val="superscript"/>
        </w:rPr>
        <w:t>◦</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rPr>
          <w:vertAlign w:val="superscript"/>
        </w:rPr>
        <w:t>◦</w:t>
      </w:r>
      <w:r>
        <w:t>. Se cita el texto, no se valora la práctica de ningún gobierno.</w:t>
      </w:r>
    </w:p>
    <w:p>
      <w:r>
        <w:t>Lo que sigue son las propuestas del autor. Cada una separa lo que ya existe, con su fuente, de lo que se propone.</w:t>
      </w:r>
    </w:p>
    <w:p>
      <w:pPr>
        <w:pStyle w:val="Heading3"/>
      </w:pPr>
      <w:r>
        <w:t>1. La prensa, libre y auditada</w:t>
      </w:r>
    </w:p>
    <w:p>
      <w:r>
        <w:rPr>
          <w:b/>
        </w:rPr>
        <w:t>Hechos.</w:t>
      </w:r>
      <w:r>
        <w:t xml:space="preserve"> La Constitución reconoce el derecho «a comunicar o recibir libremente información veraz por cualquier medio de difusión»</w:t>
      </w:r>
      <w:r>
        <w:rPr>
          <w:vertAlign w:val="superscript"/>
        </w:rPr>
        <w:t>◦</w:t>
      </w:r>
      <w:r>
        <w:t>, y prohíbe «ningún tipo de censura previa»</w:t>
      </w:r>
      <w:r>
        <w:rPr>
          <w:vertAlign w:val="superscript"/>
        </w:rPr>
        <w:t>◦</w:t>
      </w:r>
      <w:r>
        <w:t>. El Tribunal Europeo de Derechos Humanos llama a la prensa el «perro guardián» público: si el público no tuviera derecho a recibir esas informaciones, la prensa no podría cumplir ese papel vital</w:t>
      </w:r>
      <w:r>
        <w:rPr>
          <w:vertAlign w:val="superscript"/>
        </w:rPr>
        <w:t>◦</w:t>
      </w:r>
      <w:r>
        <w:t>. Desde el 8 de agosto de 2025, el Reglamento europeo de libertad de los medios obliga a cada medio a hacer públicos sus dueños y el dinero público que recibe en publicidad estatal</w:t>
      </w:r>
      <w:r>
        <w:rPr>
          <w:vertAlign w:val="superscript"/>
        </w:rPr>
        <w:t>◦</w:t>
      </w:r>
      <w:r>
        <w:t>, y a cada administración a publicar cada año lo que gasta en publicidad en cada medio</w:t>
      </w:r>
      <w:r>
        <w:rPr>
          <w:vertAlign w:val="superscript"/>
        </w:rPr>
        <w:t>◦</w:t>
      </w:r>
      <w:r>
        <w:t>.</w:t>
      </w:r>
    </w:p>
    <w:p>
      <w:r>
        <w:rPr>
          <w:b/>
        </w:rPr>
        <w:t>Conclusión, lo que arrojan los datos:</w:t>
      </w:r>
      <w:r>
        <w:t xml:space="preserve"> la ley ya obliga a que se sepa quién es dueño de cada medio y cuánto dinero público recibe. Cualquiera puede comprobarlo.</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rPr>
          <w:vertAlign w:val="superscript"/>
        </w:rPr>
        <w:t>◦</w:t>
      </w:r>
      <w:r>
        <w:t>, incluidos «todos los contratos», con su importe y su adjudicatario</w:t>
      </w:r>
      <w:r>
        <w:rPr>
          <w:vertAlign w:val="superscript"/>
        </w:rPr>
        <w:t>◦</w:t>
      </w:r>
      <w:r>
        <w:t>. Y la pensión ya es compatible con seguir trabajando</w:t>
      </w:r>
      <w:r>
        <w:rPr>
          <w:vertAlign w:val="superscript"/>
        </w:rPr>
        <w:t>◦</w:t>
      </w:r>
      <w:r>
        <w:t>.</w:t>
      </w:r>
    </w:p>
    <w:p>
      <w:r>
        <w:rPr>
          <w:b/>
        </w:rPr>
        <w:t>Conclusión, lo que arrojan los datos:</w:t>
      </w:r>
      <w:r>
        <w:t xml:space="preserve"> la información existe y es pública, pero llega tarde y casi nadie la mira de forma organizada.</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rPr>
          <w:vertAlign w:val="superscript"/>
        </w:rPr>
        <w:t>◦</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rPr>
          <w:vertAlign w:val="superscript"/>
        </w:rPr>
        <w:t>◦</w:t>
      </w:r>
      <w:r>
        <w:t>. Y desde hace siglos se advierte que devaluar es un tributo disfrazado (</w:t>
      </w:r>
      <w:r>
        <w:t>8.2</w:t>
      </w:r>
      <w:r>
        <w:t>).</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w:t>
      </w:r>
    </w:p>
    <w:p>
      <w:r>
        <w:rPr>
          <w:b/>
        </w:rPr>
        <w:t>La objeción: «El diezmo no alcanza».</w:t>
      </w:r>
      <w:r>
        <w:t xml:space="preserve"> El gasto de todas las administraciones fue de 764.884 millones de euros en 2025</w:t>
      </w:r>
      <w:r>
        <w:rPr>
          <w:vertAlign w:val="superscript"/>
        </w:rPr>
        <w:t>◦</w:t>
      </w:r>
      <w:r>
        <w:t>, y solo las pensiones del régimen general y de Clases Pasivas suman unos 228.000 millones al año, alrededor del 30 % de ese gasto (cálculo de la obra: la nómina mensual de las dos, por catorce pagas).</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pPr>
        <w:pStyle w:val="Heading3"/>
      </w:pPr>
      <w:r>
        <w:t>4. Jurados por generaciones</w:t>
      </w:r>
    </w:p>
    <w:p>
      <w:r>
        <w:rPr>
          <w:b/>
        </w:rPr>
        <w:t>Hechos.</w:t>
      </w:r>
      <w:r>
        <w:t xml:space="preserve"> Hoy el jurado se forma por sorteo del censo electoral</w:t>
      </w:r>
      <w:r>
        <w:rPr>
          <w:vertAlign w:val="superscript"/>
        </w:rPr>
        <w:t>◦</w:t>
      </w:r>
      <w:r>
        <w:t>, sin ningún reparto por edades, y su peso es pequeño: en 2025 dictó 465 sentencias, frente a 599.492 sentencias penales, menos del 0,1 %</w:t>
      </w:r>
      <w:r>
        <w:rPr>
          <w:vertAlign w:val="superscript"/>
        </w:rPr>
        <w:t>◦</w:t>
      </w:r>
      <w:r>
        <w:t>. Irlanda formó en 2016 una Asamblea Ciudadana con una muestra representativa de 99 personas del público, elegidas al azar, «ampliamente representativas de la sociedad tal como la refleja el censo»</w:t>
      </w:r>
      <w:r>
        <w:rPr>
          <w:vertAlign w:val="superscript"/>
        </w:rPr>
        <w:t>◦</w:t>
      </w:r>
      <w:r>
        <w:t>.</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w:t>
      </w:r>
    </w:p>
    <w:p>
      <w:r>
        <w:rPr>
          <w:b/>
        </w:rPr>
        <w:t>La objeción: «El jurado por sorteo ya es imparcial».</w:t>
      </w:r>
      <w:r>
        <w:t xml:space="preserve"> El jurado actual se forma por sorteo del censo, que es la garantía de imparcialidad: repartirlo por edades no añade nada.</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rPr>
          <w:vertAlign w:val="superscript"/>
        </w:rPr>
        <w:t>◦</w:t>
      </w:r>
      <w:r>
        <w:t>. Y: «No paguéis á nadie mal por mal […] No os venguéis vosotros mismos […] No seas vencido de lo malo; mas vence con el bien el mal»</w:t>
      </w:r>
      <w:r>
        <w:rPr>
          <w:vertAlign w:val="superscript"/>
        </w:rPr>
        <w:t>◦</w:t>
      </w:r>
      <w:r>
        <w:t>. Es discernir, separar el grano de la paja (</w:t>
      </w:r>
      <w:r>
        <w:t>1.3</w:t>
      </w:r>
      <w:r>
        <w:t>), aplicado a las responsabilidades.</w:t>
      </w:r>
    </w:p>
    <w:p>
      <w:r>
        <w:rPr>
          <w:b/>
        </w:rPr>
        <w:t>La regla.</w:t>
      </w:r>
      <w:r>
        <w:t xml:space="preserve"> La responsabilidad de las personas se establece por acto y con fuente, nunca por pertenecer a un colectivo: un informe interno es fuente, no sentencia.</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w:t>
      </w:r>
    </w:p>
    <w:p>
      <w:r>
        <w:rPr>
          <w:b/>
        </w:rPr>
        <w:t>2. Que busque el bien del corregido, y no el suyo.</w:t>
      </w:r>
      <w:r>
        <w:t xml:space="preserve"> Platón lo dice del médico y lo extiende a todo el que manda: «ningún médico, en cuanto médico, considera su propio bien en lo que prescribe, sino el de su paciente»</w:t>
      </w:r>
      <w:r>
        <w:rPr>
          <w:vertAlign w:val="superscript"/>
        </w:rPr>
        <w:t>◦</w:t>
      </w:r>
      <w:r>
        <w:t>; y lo mismo el piloto y el gobernante: «nadie, en ningún gobierno, en cuanto gobierna, considera ni prescribe lo que le conviene a él, sino siempre lo que conviene a su gobernado»</w:t>
      </w:r>
      <w:r>
        <w:rPr>
          <w:vertAlign w:val="superscript"/>
        </w:rPr>
        <w: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rPr>
          <w:vertAlign w:val="superscript"/>
        </w:rPr>
        <w:t>◦</w:t>
      </w:r>
      <w:r>
        <w:t>. Y concluye: «quien lo ayuda a crecer, arranca los brotes»</w:t>
      </w:r>
      <w:r>
        <w:rPr>
          <w:vertAlign w:val="superscript"/>
        </w:rPr>
        <w:t>◦</w:t>
      </w:r>
      <w:r>
        <w:t>. El Daodejing lo dice del Estado: «Gobernar un gran Estado es como cocinar pececillos»</w:t>
      </w:r>
      <w:r>
        <w:rPr>
          <w:vertAlign w:val="superscript"/>
        </w:rPr>
        <w:t>◦</w:t>
      </w:r>
      <w:r>
        <w:t>: cuantas más vueltas se les da, más se deshacen.</w:t>
      </w:r>
    </w:p>
    <w:p>
      <w:pPr>
        <w:pStyle w:val="ListBullet"/>
      </w:pPr>
      <w:r>
        <w:rPr>
          <w:b/>
        </w:rPr>
        <w:t>La India.</w:t>
      </w:r>
      <w:r>
        <w:t xml:space="preserve"> La Gita pide al que sabe que obre «sin sembrar en esos corazones sencillos y afanosos semilla de desesperanza»</w:t>
      </w:r>
      <w:r>
        <w:rPr>
          <w:vertAlign w:val="superscript"/>
        </w:rPr>
        <w:t>◦</w:t>
      </w:r>
      <w:r>
        <w:t>, y que a los que no saben «no los hagas tropezar, tú que tienes la luz»</w:t>
      </w:r>
      <w:r>
        <w:rPr>
          <w:vertAlign w:val="superscript"/>
        </w:rPr>
        <w:t>◦</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rPr>
          <w:vertAlign w:val="superscript"/>
        </w:rPr>
        <w:t>◦</w:t>
      </w:r>
      <w:r>
        <w:t>. El orden de la corrección es ese: primero cuidar; solo después, si no hay fruto, cortar.</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rPr>
          <w:vertAlign w:val="superscript"/>
        </w:rPr>
        <w:t>◦</w:t>
      </w:r>
      <w:r>
        <w:t>; «mas si no [te] oyere, toma aún contigo uno ó dos»</w:t>
      </w:r>
      <w:r>
        <w:rPr>
          <w:vertAlign w:val="superscript"/>
        </w:rPr>
        <w:t>◦</w:t>
      </w:r>
      <w:r>
        <w:t>; «y si no oyere á ellos, dilo á la iglesia»</w:t>
      </w:r>
      <w:r>
        <w:rPr>
          <w:vertAlign w:val="superscript"/>
        </w:rPr>
        <w:t>◦</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punto 4); el aval es solo para el consejo que propone correcciones.</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La estrategia es la misma en todo: nunca el enfrentamiento directo. Se responde por escrito, en plazo y con la ley en la mano.</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rPr>
          <w:vertAlign w:val="superscript"/>
        </w:rPr>
        <w:t>◦</w:t>
      </w:r>
      <w:r>
        <w:t>; las disposiciones administrativas que vulneren la Constitución o las leyes son «nulas de pleno derecho»</w:t>
      </w:r>
      <w:r>
        <w:rPr>
          <w:vertAlign w:val="superscript"/>
        </w:rPr>
        <w:t>◦</w:t>
      </w:r>
      <w:r>
        <w:t>, y los jueces no las aplican</w:t>
      </w:r>
      <w:r>
        <w:rPr>
          <w:vertAlign w:val="superscript"/>
        </w:rPr>
        <w:t>◦</w:t>
      </w:r>
      <w:r>
        <w:t>.</w:t>
      </w:r>
    </w:p>
    <w:p>
      <w:pPr>
        <w:pStyle w:val="ListBullet"/>
      </w:pPr>
      <w:r>
        <w:t>Por el daño de un servicio público, el particular reclama a la Administración, no al funcionario</w:t>
      </w:r>
      <w:r>
        <w:rPr>
          <w:vertAlign w:val="superscript"/>
        </w:rPr>
        <w:t>◦</w:t>
      </w:r>
      <w:r>
        <w:t>; la Administración que indemniza debe exigir después la responsabilidad de quien actuó con dolo, o culpa o negligencia graves</w:t>
      </w:r>
      <w:r>
        <w:rPr>
          <w:vertAlign w:val="superscript"/>
        </w:rPr>
        <w:t>◦</w:t>
      </w:r>
      <w:r>
        <w:t>; y si hubo delito, la responsabilidad penal del empleado y la civil que nace de él se exigen por la ley penal</w:t>
      </w:r>
      <w:r>
        <w:rPr>
          <w:vertAlign w:val="superscript"/>
        </w:rPr>
        <w:t>◦</w:t>
      </w:r>
      <w:r>
        <w:t>.</w:t>
      </w:r>
    </w:p>
    <w:p>
      <w:pPr>
        <w:pStyle w:val="ListBullet"/>
      </w:pPr>
      <w:r>
        <w:t>La autoridad o funcionario que, «a sabiendas de su injusticia», dicta una resolución arbitraria comete prevaricación</w:t>
      </w:r>
      <w:r>
        <w:rPr>
          <w:vertAlign w:val="superscript"/>
        </w:rPr>
        <w:t>◦</w:t>
      </w:r>
      <w:r>
        <w:t>, y quien es responsable penalmente lo es también civilmente</w:t>
      </w:r>
      <w:r>
        <w:rPr>
          <w:vertAlign w:val="superscript"/>
        </w:rPr>
        <w:t>◦</w:t>
      </w:r>
      <w:r>
        <w:t>.</w:t>
      </w:r>
    </w:p>
    <w:p>
      <w:pPr>
        <w:pStyle w:val="ListBullet"/>
      </w:pPr>
      <w:r>
        <w:t>La ley no ampara la obediencia a lo manifiestamente ilegal</w:t>
      </w:r>
      <w:r>
        <w:rPr>
          <w:vertAlign w:val="superscript"/>
        </w:rPr>
        <w:t>◦</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rPr>
          <w:vertAlign w:val="superscript"/>
        </w:rPr>
        <w:t>◦</w:t>
      </w:r>
      <w:r>
        <w:t>.</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aquí, lo que lo sostiene.</w:t>
      </w:r>
    </w:p>
    <w:p>
      <w:r>
        <w:rPr>
          <w:b/>
        </w:rPr>
        <w:t>Lo que el escrito no hace.</w:t>
      </w:r>
      <w:r>
        <w:t xml:space="preserve"> No declara una «aceptación condicionada» ni pretende que el silencio equivalga a aceptación: el silencio tiene su régimen legal tasado</w:t>
      </w:r>
      <w:r>
        <w:rPr>
          <w:vertAlign w:val="superscript"/>
        </w:rPr>
        <w:t>◦</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Y no amenaza al funcionario que actúa dentro de su cargo. La regla de oro: todo lo que afirma se puede comprobar, y todo lo que pide se puede conceder.</w:t>
      </w:r>
    </w:p>
    <w:p>
      <w:r>
        <w:rPr>
          <w:b/>
        </w:rPr>
        <w:t>En qué derechos se apoya.</w:t>
      </w:r>
    </w:p>
    <w:p>
      <w:pPr>
        <w:pStyle w:val="ListBullet"/>
      </w:pPr>
      <w:r>
        <w:t>El derecho de petición: toda persona puede dirigir peticiones a los poderes públicos, y la Administración está obligada a acusar recibo y a contestar</w:t>
      </w:r>
      <w:r>
        <w:rPr>
          <w:vertAlign w:val="superscript"/>
        </w:rPr>
        <w:t>◦</w:t>
      </w:r>
      <w:r>
        <w:t>.</w:t>
      </w:r>
    </w:p>
    <w:p>
      <w:pPr>
        <w:pStyle w:val="ListBullet"/>
      </w:pPr>
      <w:r>
        <w:t>El deber de motivación: los actos que limiten derechos, resuelvan procedimientos o se aparten del criterio anterior deben motivarse, con sucinta referencia de hechos y fundamentos de derecho</w:t>
      </w:r>
      <w:r>
        <w:rPr>
          <w:vertAlign w:val="superscript"/>
        </w:rPr>
        <w:t>◦</w:t>
      </w:r>
      <w:r>
        <w:t>. Una motivación de plantilla no cumple ese deber.</w:t>
      </w:r>
    </w:p>
    <w:p>
      <w:pPr>
        <w:pStyle w:val="ListBullet"/>
      </w:pPr>
      <w:r>
        <w:t>El acceso a la información pública, con sus plazos y su reclamación ante el Consejo de Transparencia</w:t>
      </w:r>
      <w:r>
        <w:rPr>
          <w:vertAlign w:val="superscript"/>
        </w:rPr>
        <w:t>◦</w:t>
      </w:r>
      <w:r>
        <w:t>.</w:t>
      </w:r>
    </w:p>
    <w:p>
      <w:pPr>
        <w:pStyle w:val="ListBullet"/>
      </w:pPr>
      <w:r>
        <w:t>La buena administración, como estándar europeo de referencia: tratamiento imparcial y equitativo, en un plazo razonable, con obligación de motivar</w:t>
      </w:r>
      <w:r>
        <w:rPr>
          <w:vertAlign w:val="superscript"/>
        </w:rPr>
        <w:t>◦</w:t>
      </w:r>
      <w:r>
        <w:t>. Precisión honesta: vincula a las instituciones de la Unión, no directamente a un ayuntamiento.</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rPr>
          <w:vertAlign w:val="superscript"/>
        </w:rPr>
        <w:t>◦</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rPr>
          <w:vertAlign w:val="superscript"/>
        </w:rPr>
        <w:t>◦</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rPr>
          <w:vertAlign w:val="superscript"/>
        </w:rPr>
        <w:t>◦</w:t>
      </w:r>
      <w:r>
        <w:t>.</w:t>
      </w:r>
    </w:p>
    <w:p>
      <w:pPr>
        <w:spacing w:after="60"/>
        <w:ind w:left="510" w:hanging="397"/>
      </w:pPr>
      <w:r>
        <w:rPr>
          <w:b w:val="0"/>
        </w:rPr>
        <w:t xml:space="preserve">6. </w:t>
      </w:r>
      <w:r>
        <w:t>Que se identifique a quien tramita el procedimiento</w:t>
      </w:r>
      <w:r>
        <w:rPr>
          <w:vertAlign w:val="superscript"/>
        </w:rPr>
        <w:t>◦</w:t>
      </w:r>
      <w:r>
        <w:t xml:space="preserve"> y que, si se continúa, se haga constar por escrito con la norma y la resolución que lo amparan.</w:t>
      </w:r>
    </w:p>
    <w:p>
      <w:r>
        <w:t>Cada petición debe poder contestarse con un documento o con una cita normativa; si no, se elimina. Y los hechos, cada uno con su fuente: si un dato no se puede acreditar, se retira. Es mejor un escrito de diez líneas sólidas que uno de cinco páginas con una afirmación indefendible.</w:t>
      </w:r>
    </w:p>
    <w:p>
      <w:r>
        <w:rPr>
          <w:b/>
        </w:rPr>
        <w:t>El domicilio.</w:t>
      </w:r>
      <w:r>
        <w:t xml:space="preserve"> Designarlo de forma expresa tiene efecto real: la Administración debe notificar en el domicilio que el interesado ha designado</w:t>
      </w:r>
      <w:r>
        <w:rPr>
          <w:vertAlign w:val="superscript"/>
        </w:rPr>
        <w:t>◦</w:t>
      </w:r>
      <w:r>
        <w:t>.</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dejar constancia de la voluntad de rectificar es lo contrario del dolo.</w:t>
      </w:r>
    </w:p>
    <w:p>
      <w:r>
        <w:rPr>
          <w:b/>
        </w:rPr>
        <w:t>La firma.</w:t>
      </w:r>
      <w:r>
        <w:t xml:space="preserve"> El nombre legal completo y la firma habitual. Sin anotaciones, sin siglas, sin huella, sin tinta de color: cualquier añadido de ese tipo convierte un escrito impecable en uno descalificable.</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rPr>
          <w:vertAlign w:val="superscript"/>
        </w:rPr>
        <w:t>◦</w:t>
      </w:r>
      <w:r>
        <w:t xml:space="preserve">, y </w:t>
      </w:r>
      <w:r>
        <w:rPr>
          <w:b/>
        </w:rPr>
        <w:t>contestación motivada</w:t>
      </w:r>
      <w:r>
        <w:t xml:space="preserve"> en tres meses como máximo</w:t>
      </w:r>
      <w:r>
        <w:rPr>
          <w:vertAlign w:val="superscript"/>
        </w:rPr>
        <w:t>◦</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rPr>
          <w:vertAlign w:val="superscript"/>
        </w:rPr>
        <w:t>◦</w:t>
      </w:r>
      <w:r>
        <w:t>.</w:t>
      </w:r>
    </w:p>
    <w:p>
      <w:pPr>
        <w:pStyle w:val="ListBullet"/>
      </w:pPr>
      <w:r>
        <w:rPr>
          <w:b/>
        </w:rPr>
        <w:t>Información pública:</w:t>
      </w:r>
      <w:r>
        <w:t xml:space="preserve"> un mes, ampliable otro; sin respuesta, se entiende desestimada, y cabe reclamar ante el Consejo de Transparencia en un mes</w:t>
      </w:r>
      <w:r>
        <w:rPr>
          <w:vertAlign w:val="superscript"/>
        </w:rPr>
        <w:t>◦</w:t>
      </w:r>
      <w:r>
        <w:t>.</w:t>
      </w:r>
    </w:p>
    <w:p>
      <w:pPr>
        <w:pStyle w:val="ListBullet"/>
      </w:pPr>
      <w:r>
        <w:rPr>
          <w:b/>
        </w:rPr>
        <w:t>En cualquier procedimiento</w:t>
      </w:r>
      <w:r>
        <w:t>, la Administración debe resolver de forma expresa</w:t>
      </w:r>
      <w:r>
        <w:rPr>
          <w:vertAlign w:val="superscript"/>
        </w:rPr>
        <w:t>◦</w:t>
      </w:r>
      <w:r>
        <w:t>, en tres meses si su norma no fija otro plazo</w:t>
      </w:r>
      <w:r>
        <w:rPr>
          <w:vertAlign w:val="superscript"/>
        </w:rPr>
        <w:t>◦</w:t>
      </w:r>
      <w:r>
        <w:t>. El silencio en una petición del art. 29 es desestimatorio</w:t>
      </w:r>
      <w:r>
        <w:rPr>
          <w:vertAlign w:val="superscript"/>
        </w:rPr>
        <w:t>◦</w:t>
      </w:r>
      <w:r>
        <w:t>: no da la razón, pero deja abierta la vía de recurso.</w:t>
      </w:r>
    </w:p>
    <w:p>
      <w:pPr>
        <w:pStyle w:val="ListBullet"/>
      </w:pPr>
      <w:r>
        <w:rPr>
          <w:b/>
        </w:rPr>
        <w:t>El Defensor del Pueblo</w:t>
      </w:r>
      <w:r>
        <w:t>, gratuito y sin abogado ni procurador</w:t>
      </w:r>
      <w:r>
        <w:rPr>
          <w:vertAlign w:val="superscript"/>
        </w:rPr>
        <w:t>◦</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rPr>
          <w:vertAlign w:val="superscript"/>
        </w:rPr>
        <w:t>◦</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rPr>
          <w:vertAlign w:val="superscript"/>
        </w:rPr>
        <w:t>◦</w:t>
      </w:r>
      <w:r>
        <w:t>, con efectos solo hacia adelante (</w:t>
      </w:r>
      <w:r>
        <w:t>5.1</w:t>
      </w:r>
      <w:r>
        <w:t xml:space="preserve">, n.º 9). </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rPr>
          <w:vertAlign w:val="superscript"/>
        </w:rPr>
        <w:t>◦</w:t>
      </w:r>
      <w:r>
        <w:t xml:space="preserve">. </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rPr>
          <w:vertAlign w:val="superscript"/>
        </w:rPr>
        <w:t>◦</w:t>
      </w:r>
      <w:r>
        <w:t xml:space="preserve"> (</w:t>
      </w:r>
      <w:r>
        <w:t>5.2</w:t>
      </w:r>
      <w:r>
        <w:t xml:space="preserve">). </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rPr>
          <w:vertAlign w:val="superscript"/>
        </w:rPr>
        <w:t>◦</w:t>
      </w:r>
      <w:r>
        <w:t xml:space="preserve">. </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rPr>
          <w:vertAlign w:val="superscript"/>
        </w:rPr>
        <w:t>◦</w:t>
      </w:r>
      <w:r>
        <w:t>, y el Supremo la corrigió en pleno: «el consumidor debe quedar indemne económicamente»</w:t>
      </w:r>
      <w:r>
        <w:rPr>
          <w:vertAlign w:val="superscript"/>
        </w:rPr>
        <w:t>◦</w:t>
      </w:r>
      <w:r>
        <w:t xml:space="preserve">. </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rPr>
          <w:vertAlign w:val="superscript"/>
        </w:rPr>
        <w:t>◦</w:t>
      </w:r>
      <w:r>
        <w:t>. Y Hacienda no puede seguir por la vía penal una deuda ya prescrita en la administrativa</w:t>
      </w:r>
      <w:r>
        <w:rPr>
          <w:vertAlign w:val="superscript"/>
        </w:rPr>
        <w:t>◦</w:t>
      </w:r>
      <w:r>
        <w:t xml:space="preserve">. </w:t>
      </w:r>
    </w:p>
    <w:p>
      <w:r>
        <w:rPr>
          <w:b/>
        </w:rPr>
        <w:t>Contra un reglamento ilegal.</w:t>
      </w:r>
      <w:r>
        <w:t xml:space="preserve"> El plazo de dos meses para recurrir un reglamento vence pronto, pero cada acto nuevo que lo aplique abre un plazo nuevo: es el recurso indirecto</w:t>
      </w:r>
      <w:r>
        <w:rPr>
          <w:vertAlign w:val="superscript"/>
        </w:rPr>
        <w:t>◦</w:t>
      </w:r>
      <w:r>
        <w:t>. Hace falta que la ilegalidad del reglamento tenga que ver con el acto recurrido: no cabe impugnar la norma «en abstracto»</w:t>
      </w:r>
      <w:r>
        <w:rPr>
          <w:vertAlign w:val="superscript"/>
        </w:rPr>
        <w:t>◦</w:t>
      </w:r>
      <w:r>
        <w:t>. Si el juez lo estima, la cuestión de ilegalidad lleva la norma al tribunal que puede anularla para todos</w:t>
      </w:r>
      <w:r>
        <w:rPr>
          <w:vertAlign w:val="superscript"/>
        </w:rPr>
        <w:t>◦</w:t>
      </w:r>
      <w:r>
        <w:t>. Las disposiciones nulas lo son sin plazo, pero el ciudadano solo puede pedir de parte la revisión de los actos; la de las disposiciones generales es de oficio</w:t>
      </w:r>
      <w:r>
        <w:rPr>
          <w:vertAlign w:val="superscript"/>
        </w:rPr>
        <w:t>◦</w:t>
      </w:r>
      <w:r>
        <w:t>: frente a un reglamento nulo, su vía fuerte sigue siendo el recurso indirecto.</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rPr>
          <w:vertAlign w:val="superscript"/>
        </w:rPr>
        <w:t>◦</w:t>
      </w:r>
      <w:r>
        <w:t>. Para el error judicial, primero una decisión que lo reconozca, pedida en tres meses al Supremo, y después la reclamación al Ministerio de Justicia</w:t>
      </w:r>
      <w:r>
        <w:rPr>
          <w:vertAlign w:val="superscript"/>
        </w:rPr>
        <w:t>◦</w:t>
      </w:r>
      <w:r>
        <w:t>. Ninguna de estas vías es una fórmula mágica: son el mapa de lo que el propio ordenamiento ya permite.</w:t>
      </w:r>
    </w:p>
    <w:p>
      <w:pPr>
        <w:pStyle w:val="Heading3"/>
      </w:pPr>
      <w:r>
        <w:t>Defenderse juntos</w:t>
      </w:r>
    </w:p>
    <w:p>
      <w:r>
        <w:rPr>
          <w:b/>
        </w:rPr>
        <w:t>Hechos.</w:t>
      </w:r>
      <w:r>
        <w:t xml:space="preserve"> La ley permite acumular los recursos sobre un mismo acto o sobre actos conectados</w:t>
      </w:r>
      <w:r>
        <w:rPr>
          <w:vertAlign w:val="superscript"/>
        </w:rPr>
        <w:t>◦</w:t>
      </w:r>
      <w:r>
        <w:t>; si hay muchos con idéntico objeto, el juez puede tramitar uno como pleito testigo y suspender los demás</w:t>
      </w:r>
      <w:r>
        <w:rPr>
          <w:vertAlign w:val="superscript"/>
        </w:rPr>
        <w:t>◦</w:t>
      </w:r>
      <w:r>
        <w:t>; y en materia tributaria, quienes estén en idéntica situación pueden pedir que se les extiendan los efectos de una sentencia firme en el plazo de un año</w:t>
      </w:r>
      <w:r>
        <w:rPr>
          <w:vertAlign w:val="superscript"/>
        </w:rPr>
        <w:t>◦</w:t>
      </w:r>
      <w:r>
        <w:t>. Ante un juzgado unipersonal, el procurador es opcional</w:t>
      </w:r>
      <w:r>
        <w:rPr>
          <w:vertAlign w:val="superscript"/>
        </w:rPr>
        <w:t>◦</w:t>
      </w:r>
      <w:r>
        <w:t>. Y si se pierde del todo, el juez impone las costas a quien recurrió, salvo serias dudas</w:t>
      </w:r>
      <w:r>
        <w:rPr>
          <w:vertAlign w:val="superscript"/>
        </w:rPr>
        <w:t>◦</w:t>
      </w:r>
      <w:r>
        <w:t>.</w:t>
      </w:r>
    </w:p>
    <w:p>
      <w:r>
        <w:rPr>
          <w:b/>
        </w:rPr>
        <w:t>Conclusión, lo que arrojan los datos:</w:t>
      </w:r>
      <w:r>
        <w:t xml:space="preserve"> los cauces para defenderse en grupo ya existen. Lo que falta es encontrar a quien tiene el mismo problema.</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rPr>
          <w:vertAlign w:val="superscript"/>
        </w:rPr>
        <w:t>◦</w:t>
      </w:r>
      <w:r>
        <w:t>.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w:t>
      </w:r>
    </w:p>
    <w:p>
      <w:pPr>
        <w:pStyle w:val="Heading3"/>
      </w:pPr>
      <w:r>
        <w:t>La respuesta probable de la Administración</w:t>
      </w:r>
    </w:p>
    <w:p>
      <w:r>
        <w:t>Conocer la respuesta probable antes de presentar el escrito es parte de la buena fe. Estas son las cinco, con lo que responde la obra.</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rPr>
          <w:vertAlign w:val="superscript"/>
        </w:rPr>
        <w:t>◦</w:t>
      </w:r>
      <w:r>
        <w:t xml:space="preserve"> e inadmite las peticiones sobre un procedimiento ya iniciado</w:t>
      </w:r>
      <w:r>
        <w:rPr>
          <w:vertAlign w:val="superscript"/>
        </w:rPr>
        <w:t>◦</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rPr>
          <w:vertAlign w:val="superscript"/>
        </w:rPr>
        <w:t>◦</w:t>
      </w:r>
      <w:r>
        <w:t>. Además, el nombre que se dé al escrito no lo invalida</w:t>
      </w:r>
      <w:r>
        <w:rPr>
          <w:vertAlign w:val="superscript"/>
        </w:rPr>
        <w:t>◦</w:t>
      </w:r>
      <w:r>
        <w:t>.</w:t>
      </w:r>
    </w:p>
    <w:p>
      <w:pPr>
        <w:spacing w:after="60"/>
        <w:ind w:left="510" w:hanging="397"/>
      </w:pPr>
      <w:r>
        <w:rPr>
          <w:b w:val="0"/>
        </w:rPr>
        <w:t xml:space="preserve">2. </w:t>
      </w:r>
      <w:r>
        <w:rPr>
          <w:b/>
        </w:rPr>
        <w:t>«El acto ya cita su norma, y basta una motivación sucinta.»</w:t>
      </w:r>
      <w:r>
        <w:rPr>
          <w:vertAlign w:val="superscript"/>
        </w:rPr>
        <w:t>◦</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rPr>
          <w:vertAlign w:val="superscript"/>
        </w:rPr>
        <w:t>◦</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rPr>
          <w:vertAlign w:val="superscript"/>
        </w:rPr>
        <w:t>◦</w:t>
      </w:r>
      <w:r>
        <w:t xml:space="preserve"> </w:t>
      </w:r>
      <w:r>
        <w:rPr>
          <w:i/>
        </w:rPr>
        <w:t>La respuesta de la obra:</w:t>
      </w:r>
      <w:r>
        <w:t xml:space="preserve"> el silencio no libera de resolver</w:t>
      </w:r>
      <w:r>
        <w:rPr>
          <w:vertAlign w:val="superscript"/>
        </w:rPr>
        <w:t>◦</w:t>
      </w:r>
      <w:r>
        <w:t>, y la resolución tardía se dicta «sin vinculación alguna al sentido del silencio»</w:t>
      </w:r>
      <w:r>
        <w:rPr>
          <w:vertAlign w:val="superscript"/>
        </w:rPr>
        <w:t>◦</w:t>
      </w:r>
      <w:r>
        <w:t>. El silencio no da la razón a nadie: es un hecho documentado.</w:t>
      </w:r>
    </w:p>
    <w:p>
      <w:pPr>
        <w:spacing w:after="60"/>
        <w:ind w:left="510" w:hanging="397"/>
      </w:pPr>
      <w:r>
        <w:rPr>
          <w:b w:val="0"/>
        </w:rPr>
        <w:t xml:space="preserve">5. </w:t>
      </w:r>
      <w:r>
        <w:rPr>
          <w:b/>
        </w:rPr>
        <w:t>«Una avalancha de escritos idénticos es abusiva.»</w:t>
      </w:r>
      <w:r>
        <w:rPr>
          <w:vertAlign w:val="superscript"/>
        </w:rPr>
        <w:t>◦</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w:t>
      </w:r>
    </w:p>
    <w:p>
      <w:pPr>
        <w:pStyle w:val="ListBullet"/>
      </w:pPr>
      <w:r>
        <w:t>Notificada una denuncia de tráfico, hay veinte días naturales para alegar</w:t>
      </w:r>
      <w:r>
        <w:rPr>
          <w:vertAlign w:val="superscript"/>
        </w:rPr>
        <w:t>◦</w:t>
      </w:r>
      <w:r>
        <w:t>. Pagar en ese plazo reduce la multa a la mitad, pero las alegaciones «se tendrán por no presentadas» y la vía administrativa se agota</w:t>
      </w:r>
      <w:r>
        <w:rPr>
          <w:vertAlign w:val="superscript"/>
        </w:rPr>
        <w:t>◦</w:t>
      </w:r>
      <w:r>
        <w:t xml:space="preserve">: o se paga con la reducción, o se alega. </w:t>
      </w:r>
    </w:p>
    <w:p>
      <w:pPr>
        <w:pStyle w:val="ListBullet"/>
      </w:pPr>
      <w:r>
        <w:t>El recurso de reposición, en un mes, y otro mes para resolverlo</w:t>
      </w:r>
      <w:r>
        <w:rPr>
          <w:vertAlign w:val="superscript"/>
        </w:rPr>
        <w:t>◦</w:t>
      </w:r>
      <w:r>
        <w:t>. Recurrir no suspende por sí solo, pero se puede pedir la suspensión, y si no se resuelve en un mes, «la ejecución del acto impugnado se entenderá suspendida»</w:t>
      </w:r>
      <w:r>
        <w:rPr>
          <w:vertAlign w:val="superscript"/>
        </w:rPr>
        <w:t>◦</w:t>
      </w:r>
      <w:r>
        <w:t xml:space="preserve">. </w:t>
      </w:r>
    </w:p>
    <w:p>
      <w:pPr>
        <w:pStyle w:val="ListBullet"/>
      </w:pPr>
      <w:r>
        <w:t>La providencia de apremio tiene «la misma fuerza ejecutiva que la sentencia judicial», y solo admite cinco motivos de oposición</w:t>
      </w:r>
      <w:r>
        <w:rPr>
          <w:vertAlign w:val="superscript"/>
        </w:rPr>
        <w:t>◦</w:t>
      </w:r>
      <w:r>
        <w:t>. La reposición tributaria, en un mes, nunca empeora la situación de quien recurre, y si lo recurrido es una sanción se suspende sin garantía</w:t>
      </w:r>
      <w:r>
        <w:rPr>
          <w:vertAlign w:val="superscript"/>
        </w:rPr>
        <w:t>◦</w:t>
      </w:r>
      <w:r>
        <w:t xml:space="preserve">. </w:t>
      </w:r>
    </w:p>
    <w:p>
      <w:pPr>
        <w:pStyle w:val="ListBullet"/>
      </w:pPr>
      <w:r>
        <w:t>No se puede embargar el sueldo o la pensión que no exceda del salario mínimo</w:t>
      </w:r>
      <w:r>
        <w:rPr>
          <w:vertAlign w:val="superscript"/>
        </w:rPr>
        <w:t>◦</w:t>
      </w:r>
      <w:r>
        <w:t xml:space="preserve">. </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Este apartado dice qué compensación ya reconoce la ley.</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rPr>
          <w:vertAlign w:val="superscript"/>
        </w:rPr>
        <w:t>◦</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rPr>
          <w:vertAlign w:val="superscript"/>
        </w:rPr>
        <w:t>◦</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rPr>
          <w:vertAlign w:val="superscript"/>
        </w:rPr>
        <w:t>◦</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rPr>
          <w:vertAlign w:val="superscript"/>
        </w:rPr>
        <w:t>◦</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rPr>
          <w:vertAlign w:val="superscript"/>
        </w:rPr>
        <w:t>◦</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rPr>
          <w:vertAlign w:val="superscript"/>
        </w:rPr>
        <w:t>◦</w:t>
      </w:r>
      <w:r>
        <w:t>.</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rPr>
          <w:vertAlign w:val="superscript"/>
        </w:rPr>
        <w:t>◦</w:t>
      </w:r>
      <w:r>
        <w:t>.</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rPr>
          <w:vertAlign w:val="superscript"/>
        </w:rPr>
        <w:t>◦</w:t>
      </w:r>
      <w:r>
        <w:t>; hace falta una tardanza que, vista la complejidad del caso, sea impropia de un Estado que «propugna como uno de sus valores superiores la justicia»</w:t>
      </w:r>
      <w:r>
        <w:rPr>
          <w:vertAlign w:val="superscript"/>
        </w:rPr>
        <w:t>◦</w:t>
      </w:r>
      <w:r>
        <w:t>.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rPr>
          <w:vertAlign w:val="superscript"/>
        </w:rPr>
        <w:t>◦</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rPr>
          <w:vertAlign w:val="superscript"/>
        </w:rPr>
        <w:t>◦</w:t>
      </w:r>
      <w:r>
        <w:t>, pero esa tolerancia no le quita la propiedad: «los actos meramente tolerados […] no afectan a la posesión»</w:t>
      </w:r>
      <w:r>
        <w:rPr>
          <w:vertAlign w:val="superscript"/>
        </w:rPr>
        <w:t>◦</w:t>
      </w:r>
      <w:r>
        <w:t>. Queda lo único que queda cuando hubo tolerancia por ambas partes: marcar otra vez el límite y compensar lo tomado de más.</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rPr>
          <w:vertAlign w:val="superscript"/>
        </w:rPr>
        <w:t>◦</w:t>
      </w:r>
      <w:r>
        <w:t>.</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rPr>
          <w:vertAlign w:val="superscript"/>
        </w:rPr>
        <w:t>◦</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Por eso lo que se pide es un deslinde, no una condena.</w:t>
      </w:r>
    </w:p>
    <w:p>
      <w:pPr>
        <w:pStyle w:val="Heading3"/>
      </w:pPr>
      <w:r>
        <w:t>La medida: el exceso que contamina el acto entero</w:t>
      </w:r>
    </w:p>
    <w:p>
      <w:r>
        <w:t>El criterio no es que el derecho castigue sobrepasar, que sería obvio, sino algo más raro: sitios donde el poder era legítimo, se ejerció más allá de su medida, y el exceso contamina el acto entero, no solo la parte sobrante.</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rPr>
          <w:vertAlign w:val="superscript"/>
        </w:rPr>
        <w:t>◦</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rPr>
          <w:vertAlign w:val="superscript"/>
        </w:rPr>
        <w:t>◦</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rPr>
          <w:vertAlign w:val="superscript"/>
        </w:rPr>
        <w:t>◦</w:t>
      </w:r>
      <w:r>
        <w:t>, al legislador</w:t>
      </w:r>
      <w:r>
        <w:rPr>
          <w:vertAlign w:val="superscript"/>
        </w:rPr>
        <w:t>◦</w:t>
      </w:r>
      <w:r>
        <w:t xml:space="preserve"> y a los jueces</w:t>
      </w:r>
      <w:r>
        <w:rPr>
          <w:vertAlign w:val="superscript"/>
        </w:rPr>
        <w:t>◦</w:t>
      </w:r>
      <w:r>
        <w:t>.</w:t>
      </w:r>
    </w:p>
    <w:p>
      <w:pPr>
        <w:pStyle w:val="ListBullet"/>
      </w:pPr>
      <w:r>
        <w:rPr>
          <w:b/>
        </w:rPr>
        <w:t>La piedra que la ley no puede mover:</w:t>
      </w:r>
      <w:r>
        <w:t xml:space="preserve"> el «contenido esencial» de los derechos</w:t>
      </w:r>
      <w:r>
        <w:rPr>
          <w:vertAlign w:val="superscript"/>
        </w:rPr>
        <w:t>◦</w:t>
      </w:r>
      <w:r>
        <w:t>, y la «interdicción de la arbitrariedad de los poderes públicos»</w:t>
      </w:r>
      <w:r>
        <w:rPr>
          <w:vertAlign w:val="superscript"/>
        </w:rPr>
        <w:t>◦</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rPr>
          <w:vertAlign w:val="superscript"/>
        </w:rPr>
        <w:t>◦</w:t>
      </w:r>
      <w:r>
        <w:t xml:space="preserve">. No son alternativas: se cumplen las cuatro o la limitación no vale. La presunción de inocencia, también en lo administrativo, ya se vio en </w:t>
      </w:r>
      <w:r>
        <w:t>5.2</w:t>
      </w:r>
      <w:r>
        <w:t xml:space="preserve"> y </w:t>
      </w:r>
      <w:r>
        <w:t>7.5</w:t>
      </w:r>
      <w:r>
        <w:t xml:space="preserve">, n.º 3. </w:t>
      </w:r>
    </w:p>
    <w:p>
      <w:pPr>
        <w:pStyle w:val="ListBullet"/>
      </w:pPr>
      <w:r>
        <w:rPr>
          <w:b/>
        </w:rPr>
        <w:t>El techo dentro de la excepción:</w:t>
      </w:r>
      <w:r>
        <w:t xml:space="preserve"> la legítima defensa exige «necesidad racional del medio empleado»</w:t>
      </w:r>
      <w:r>
        <w:rPr>
          <w:vertAlign w:val="superscript"/>
        </w:rPr>
        <w:t>◦</w:t>
      </w:r>
      <w:r>
        <w:t>, y el estado de necesidad, «que el mal causado no sea mayor que el que se trate de evitar»</w:t>
      </w:r>
      <w:r>
        <w:rPr>
          <w:vertAlign w:val="superscript"/>
        </w:rPr>
        <w:t>◦</w:t>
      </w:r>
      <w:r>
        <w:t>.</w:t>
      </w:r>
    </w:p>
    <w:p>
      <w:pPr>
        <w:pStyle w:val="ListBullet"/>
      </w:pPr>
      <w:r>
        <w:rPr>
          <w:b/>
        </w:rPr>
        <w:t>La tradición:</w:t>
      </w:r>
      <w:r>
        <w:t xml:space="preserve"> «Maldito el que redujere el término de su prójimo. Y dirá todo el pueblo: Amén»</w:t>
      </w:r>
      <w:r>
        <w:rPr>
          <w:vertAlign w:val="superscript"/>
        </w:rPr>
        <w:t>◦</w:t>
      </w:r>
      <w:r>
        <w:t>, entre las maldiciones del monte Ebal, junto a la de quien deshonra a sus padres y la de quien pervierte el derecho del extranjero, del huérfano y de la viuda. Mover el límite se juzga junto al abandono del más débil.</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rPr>
          <w:vertAlign w:val="superscript"/>
        </w:rPr>
        <w:t>◦</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rPr>
          <w:vertAlign w:val="superscript"/>
        </w:rPr>
        <w:t>◦</w:t>
      </w:r>
      <w:r>
        <w:t>.</w:t>
      </w:r>
    </w:p>
    <w:p>
      <w:r>
        <w:t>Un patrón con sus excepciones reconocidas es un patrón; sin ellas sería propaganda.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rPr>
          <w:vertAlign w:val="superscript"/>
        </w:rPr>
        <w:t>◦</w:t>
      </w:r>
      <w:r>
        <w:t>; la Carta de la Unión, la propiedad, la igualdad y la tutela judicial efectiva</w:t>
      </w:r>
      <w:r>
        <w:rPr>
          <w:vertAlign w:val="superscript"/>
        </w:rPr>
        <w:t>◦</w:t>
      </w:r>
      <w:r>
        <w:t>; y el Convenio Europeo, el juicio en un plazo razonable y la propiedad</w:t>
      </w:r>
      <w:r>
        <w:rPr>
          <w:vertAlign w:val="superscript"/>
        </w:rPr>
        <w:t>◦</w:t>
      </w:r>
      <w:r>
        <w:t>.</w:t>
      </w:r>
    </w:p>
    <w:p>
      <w:pPr>
        <w:pStyle w:val="ListBullet"/>
      </w:pPr>
      <w:r>
        <w:t>El Tribunal Europeo de Derechos Humanos condenó a Italia porque sus autoridades tardaron demasiado en ejecutar el desalojo de unos ocupantes ilegales</w:t>
      </w:r>
      <w:r>
        <w:rPr>
          <w:vertAlign w:val="superscript"/>
        </w:rPr>
        <w:t>◦</w:t>
      </w:r>
      <w:r>
        <w:t>, y a Grecia, por no actuar durante más de tres años frente a la ocupación de un hotel</w:t>
      </w:r>
      <w:r>
        <w:rPr>
          <w:vertAlign w:val="superscript"/>
        </w:rPr>
        <w:t>◦</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rPr>
          <w:vertAlign w:val="superscript"/>
        </w:rPr>
        <w:t>◦</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rPr>
          <w:vertAlign w:val="superscript"/>
        </w:rPr>
        <w:t>◦</w:t>
      </w:r>
      <w:r>
        <w:t>; la demora tiene que ser injustificada.</w:t>
      </w:r>
    </w:p>
    <w:p>
      <w:pPr>
        <w:pStyle w:val="ListBullet"/>
      </w:pPr>
      <w:r>
        <w:t>El Código Civil: el poseedor de mala fe abona los frutos percibidos y los que el poseedor legítimo hubiera podido percibir</w:t>
      </w:r>
      <w:r>
        <w:rPr>
          <w:vertAlign w:val="superscript"/>
        </w:rPr>
        <w:t>◦</w:t>
      </w:r>
      <w:r>
        <w:t>, responde del deterioro</w:t>
      </w:r>
      <w:r>
        <w:rPr>
          <w:vertAlign w:val="superscript"/>
        </w:rPr>
        <w:t>◦</w:t>
      </w:r>
      <w:r>
        <w:t xml:space="preserve"> y no cobra las mejoras de lujo</w:t>
      </w:r>
      <w:r>
        <w:rPr>
          <w:vertAlign w:val="superscript"/>
        </w:rPr>
        <w:t>◦</w:t>
      </w:r>
      <w:r>
        <w:t>.</w:t>
      </w:r>
    </w:p>
    <w:p>
      <w:r>
        <w:rPr>
          <w:b/>
        </w:rPr>
        <w:t>La ocupación, con su cifra.</w:t>
      </w:r>
      <w:r>
        <w:t xml:space="preserve"> El Ministerio del Interior contabilizó 16.426 delitos de usurpación y allanamiento de morada en 2024, un 7,4 % más que el año anterior y la tercera cifra más alta de la serie</w:t>
      </w:r>
      <w:r>
        <w:rPr>
          <w:vertAlign w:val="superscript"/>
        </w:rPr>
        <w:t>◦</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rPr>
          <w:vertAlign w:val="superscript"/>
        </w:rPr>
        <w:t>◦</w:t>
      </w:r>
      <w:r>
        <w:t>. El CGPJ mide aparte los juicios verbales para recuperar una vivienda ocupada, una vía civil que solo pueden usar la persona física propietaria o poseedora legítima, las entidades sin ánimo de lucro y las entidades públicas de vivienda social</w:t>
      </w:r>
      <w:r>
        <w:rPr>
          <w:vertAlign w:val="superscript"/>
        </w:rPr>
        <w:t>◦</w:t>
      </w:r>
      <w:r>
        <w:t>; los delitos van por la vía penal. Cada categoría mide su trozo; nadie mide el total. Y desde el 3 de abril de 2025, la usurpación y el allanamiento van por juicio rápido, en el que el juicio oral se señala «dentro de los quince días siguientes»</w:t>
      </w:r>
      <w:r>
        <w:rPr>
          <w:vertAlign w:val="superscript"/>
        </w:rPr>
        <w:t>◦</w:t>
      </w:r>
      <w:r>
        <w:t>.</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r>
        <w:rPr>
          <w:b/>
        </w:rPr>
        <w:t>La tensión, dicha sin elegir bando.</w:t>
      </w:r>
      <w:r>
        <w:t xml:space="preserve"> Proteger a quien es vulnerable no vulnera la igualdad: la Constitución obliga a los poderes públicos a que la libertad y la igualdad sean «reales y efectivas»</w:t>
      </w:r>
      <w:r>
        <w:rPr>
          <w:vertAlign w:val="superscript"/>
        </w:rPr>
        <w:t>◦</w:t>
      </w:r>
      <w:r>
        <w:t>, y la protección frente a los desahucios de hogares vulnerables se ha prorrogado hasta el 31 de diciembre de 2026</w:t>
      </w:r>
      <w:r>
        <w:rPr>
          <w:vertAlign w:val="superscript"/>
        </w:rPr>
        <w:t>◦</w:t>
      </w:r>
      <w:r>
        <w:t>. El problema real es otro: la buena fe se presume por igual en quien la merece y en quien no (</w:t>
      </w:r>
      <w:r>
        <w:t>2.5</w:t>
      </w:r>
      <w:r>
        <w:t>),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rPr>
          <w:vertAlign w:val="superscript"/>
        </w:rPr>
        <w:t>◦</w:t>
      </w:r>
      <w:r>
        <w:t xml:space="preserve"> (</w:t>
      </w:r>
      <w:r>
        <w:t>7.2</w:t>
      </w:r>
      <w:r>
        <w:t>, n.º 9). Y la Unión obliga: el Tribunal de Justicia declaró en 2024 que las medidas españolas contra el abuso de la temporalidad en el empleo público no se ajustan al Derecho de la Unión</w:t>
      </w:r>
      <w:r>
        <w:rPr>
          <w:vertAlign w:val="superscript"/>
        </w:rPr>
        <w:t>◦</w:t>
      </w:r>
      <w:r>
        <w:t>, y en 2026 lo repitió: llamar «indefinido no fijo» al trabajador no elimina por sí solo el abuso</w:t>
      </w:r>
      <w:r>
        <w:rPr>
          <w:vertAlign w:val="superscript"/>
        </w:rPr>
        <w:t>◦</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rPr>
          <w:vertAlign w:val="superscript"/>
        </w:rPr>
        <w:t>◦</w:t>
      </w:r>
      <w:r>
        <w:t>.</w:t>
      </w:r>
    </w:p>
    <w:p>
      <w:pPr>
        <w:pStyle w:val="Heading3"/>
      </w:pPr>
      <w:r>
        <w:t>La petición de deslinde</w:t>
      </w:r>
    </w:p>
    <w:p>
      <w:r>
        <w:t>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Ninguno espera al colapso: todos actúan con el poder todavía en pie, pidiendo que se corrija.</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rPr>
          <w:vertAlign w:val="superscript"/>
        </w:rPr>
        <w:t>◦</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rPr>
          <w:vertAlign w:val="superscript"/>
        </w:rPr>
        <w:t>◦</w:t>
      </w:r>
      <w:r>
        <w:t>. Por eso el pliego de cargos va institución por institución (</w:t>
      </w:r>
      <w:r>
        <w:t>11.3</w:t>
      </w:r>
      <w:r>
        <w:t xml:space="preserve">). </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rPr>
          <w:vertAlign w:val="superscript"/>
        </w:rPr>
        <w:t>◦</w:t>
      </w:r>
      <w:r>
        <w:t xml:space="preserve">. </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p>
    <w:p>
      <w:pPr>
        <w:spacing w:after="60"/>
        <w:ind w:left="510" w:hanging="397"/>
      </w:pPr>
      <w:r>
        <w:rPr>
          <w:b w:val="0"/>
        </w:rPr>
        <w:t xml:space="preserve">5. </w:t>
      </w:r>
      <w:r>
        <w:rPr>
          <w:b/>
        </w:rPr>
        <w:t>«La vivienda social es competencia de las comunidades autónomas.»</w:t>
      </w:r>
      <w:r>
        <w:rPr>
          <w:vertAlign w:val="superscript"/>
        </w:rPr>
        <w:t>◦</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rPr>
          <w:vertAlign w:val="superscript"/>
        </w:rPr>
        <w:t>◦</w:t>
      </w:r>
      <w:r>
        <w:t>. La ley reconoce tribunales de la costumbre que siguen funcionando, como el Tribunal de las Aguas de la Vega Valenciana</w:t>
      </w:r>
      <w:r>
        <w:rPr>
          <w:vertAlign w:val="superscript"/>
        </w:rPr>
        <w:t>◦</w:t>
      </w:r>
      <w:r>
        <w:t xml:space="preserve"> (</w:t>
      </w:r>
      <w:r>
        <w:t>1.5</w:t>
      </w:r>
      <w:r>
        <w:t>). La petición puede ser colectiva, firmada por todos</w:t>
      </w:r>
      <w:r>
        <w:rPr>
          <w:vertAlign w:val="superscript"/>
        </w:rPr>
        <w:t>◦</w:t>
      </w:r>
      <w:r>
        <w:t>, y los tribunales pueden juzgar un caso testigo y extender sus efectos a otros iguales</w:t>
      </w:r>
      <w:r>
        <w:rPr>
          <w:vertAlign w:val="superscript"/>
        </w:rPr>
        <w:t>◦</w:t>
      </w:r>
      <w:r>
        <w:t>.</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o engañado. Por eso la brújula funciona con dos lecturas a la vez: lo que dicen los frutos, con su fuente, y lo que uno siente. Si no coinciden, esa diferencia ya es información.</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rPr>
          <w:vertAlign w:val="superscript"/>
        </w:rPr>
        <w:t>◦</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Lo que ya existe está en este capítulo: los cargos, sus defensas y las preguntas, por escrito.</w:t>
      </w:r>
    </w:p>
    <w:p>
      <w:r>
        <w:rPr>
          <w:b/>
        </w:rPr>
        <w:t>La documentación del juicio.</w:t>
      </w:r>
      <w:r>
        <w:t xml:space="preserve"> Todo juicio se apoya en documentos, y a lo que se aporta con ellos la ley lo llama «la prueba documental»</w:t>
      </w:r>
      <w:r>
        <w:rPr>
          <w:vertAlign w:val="superscript"/>
        </w:rPr>
        <w:t>◦</w:t>
      </w:r>
      <w:r>
        <w:t>. Y pide que a toda demanda o contestación «habrán de acompañarse» «los documentos en que las partes funden su derecho a la tutela judicial que pretenden»</w:t>
      </w:r>
      <w:r>
        <w:rPr>
          <w:vertAlign w:val="superscript"/>
        </w:rPr>
        <w:t>◦</w:t>
      </w:r>
      <w:r>
        <w:t>. Lo que consta en un archivo del que se pueden obtener copias no se señala sin más: la parte «deberá acompañarlo a la demanda, sin que pueda limitarse a efectuar la designación»</w:t>
      </w:r>
      <w:r>
        <w:rPr>
          <w:vertAlign w:val="superscript"/>
        </w:rPr>
        <w:t>◦</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rPr>
          <w:vertAlign w:val="superscript"/>
        </w:rPr>
        <w:t>◦</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la cuarta la pide la Constitución para todos.</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rPr>
          <w:vertAlign w:val="superscript"/>
        </w:rPr>
        <w:t>◦</w:t>
      </w:r>
      <w:r>
        <w:t>; y a todo juez: «Las sentencias serán siempre motivadas y se pronunciarán en audiencia pública»</w:t>
      </w:r>
      <w:r>
        <w:rPr>
          <w:vertAlign w:val="superscript"/>
        </w:rPr>
        <w:t>◦</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rPr>
          <w:vertAlign w:val="superscript"/>
        </w:rPr>
        <w:t>◦</w:t>
      </w:r>
      <w:r>
        <w:t>, o quien mantenga con una parte las relaciones que obligan a abstenerse a jueces y magistrados</w:t>
      </w:r>
      <w:r>
        <w:rPr>
          <w:vertAlign w:val="superscript"/>
        </w:rPr>
        <w:t>◦</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rPr>
          <w:vertAlign w:val="superscript"/>
        </w:rPr>
        <w:t>◦</w:t>
      </w:r>
      <w:r>
        <w:t>, y además hasta cuatro «sin alegación de motivo determinado»</w:t>
      </w:r>
      <w:r>
        <w:rPr>
          <w:vertAlign w:val="superscript"/>
        </w:rPr>
        <w:t>◦</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rPr>
          <w:vertAlign w:val="superscript"/>
        </w:rPr>
        <w:t>◦</w:t>
      </w:r>
      <w:r>
        <w:t>. La ley pide a su jurado cinco requisitos, y ninguno es de ideas</w:t>
      </w:r>
      <w:r>
        <w:rPr>
          <w:vertAlign w:val="superscript"/>
        </w:rPr>
        <w:t>◦</w:t>
      </w:r>
      <w:r>
        <w:t>; {completo} son ser español mayor de edad, estar en el pleno ejercicio de los derechos políticos, saber leer y escribir, ser vecino de la provincia y «Contar con la aptitud suficiente para el desempeño de la función de jurado»</w:t>
      </w:r>
      <w:r>
        <w:rPr>
          <w:vertAlign w:val="superscript"/>
        </w:rPr>
        <w:t>◦</w:t>
      </w:r>
      <w:r>
        <w:t>. Lo que se le pide es lo que jura el jurado de la ley: «desempeñar bien y fielmente la función del jurado, con imparcialidad, sin odio ni afecto»</w:t>
      </w:r>
      <w:r>
        <w:rPr>
          <w:vertAlign w:val="superscript"/>
        </w:rPr>
        <w:t>◦</w:t>
      </w:r>
      <w:r>
        <w:t>. Aquí la obra se aparta de la ley en un punto, y lo dice: la ley deja a las partes hacer preguntas al jurado nombrado</w:t>
      </w:r>
      <w:r>
        <w:rPr>
          <w:vertAlign w:val="superscript"/>
        </w:rPr>
        <w:t>◦</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Las respuestas y los silencios irán al Registro y se leerán ante el jurado antes del veredicto, junto a la mejor defensa que este capítulo ya expone. El jurado dará su veredicto con la vara de la obra: si la institución sirve al orden natural y a Dios, o a otros intereses.</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El pliego tiene veintiocho: los veintitrés que la obra formuló primero y cinco más, del 24 al 28, para hechos probados que aquellos no recogían: la separación de poderes, la carga, la responsabilidad, el diseño legal que enfrenta a la gente y la economía real.</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rPr>
          <w:vertAlign w:val="superscript"/>
        </w:rPr>
        <w:t>◦</w:t>
      </w:r>
      <w:r>
        <w:t>. Y es la que pide la Escritura, que no juzga sin oír primero: «¿Juzga nuestra ley á hombre, si primero no oyere de él […]?»</w:t>
      </w:r>
      <w:r>
        <w:rPr>
          <w:vertAlign w:val="superscript"/>
        </w:rPr>
        <w:t>◦</w:t>
      </w:r>
      <w:r>
        <w:t>; «El primero en su propia causa parece justo; Y su adversario viene, y le sondea»</w:t>
      </w:r>
      <w:r>
        <w:rPr>
          <w:vertAlign w:val="superscript"/>
        </w:rPr>
        <w:t>◦</w:t>
      </w:r>
      <w:r>
        <w:t>. Dice «en verdad», y no «en tu verdad», porque en esta obra la verdad es lo comprobado con fuente (</w:t>
      </w:r>
      <w:r>
        <w:t>0.4</w:t>
      </w:r>
      <w:r>
        <w:t>). Y habla de tú porque es la voz del juicio; en los escritos a la Administración, la obra usa el usted (</w:t>
      </w:r>
      <w:r>
        <w:t>10.4</w:t>
      </w:r>
      <w:r>
        <w:t>).</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rPr>
          <w:vertAlign w:val="superscript"/>
        </w:rPr>
        <w:t>◦</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rPr>
          <w:vertAlign w:val="superscript"/>
        </w:rPr>
        <w:t>◦</w:t>
      </w:r>
      <w:r>
        <w:t>. La Constitución garantiza «el principio de legalidad, la jerarquía normativa» y «la seguridad jurídica»</w:t>
      </w:r>
      <w:r>
        <w:rPr>
          <w:vertAlign w:val="superscript"/>
        </w:rPr>
        <w:t>◦</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rPr>
          <w:vertAlign w:val="superscript"/>
        </w:rPr>
        <w:t>◦</w:t>
      </w:r>
      <w:r>
        <w:t>. Lo inviolable y lo inherente no lo crea la ley: lo reconoce. Hasta el positivismo más influyente del siglo XX admitió un «contenido mínimo del derecho natural» que todo ordenamiento necesita para sostenerse</w:t>
      </w:r>
      <w:r>
        <w:rPr>
          <w:vertAlign w:val="superscript"/>
        </w:rPr>
        <w:t>◦</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rPr>
          <w:vertAlign w:val="superscript"/>
        </w:rPr>
        <w:t>◦</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rPr>
          <w:vertAlign w:val="superscript"/>
        </w:rPr>
        <w:t>◦</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rPr>
          <w:vertAlign w:val="superscript"/>
        </w:rPr>
        <w:t>◦</w:t>
      </w:r>
      <w:r>
        <w:t xml:space="preserve"> y garantiza «la libertad ideológica, religiosa y de culto»</w:t>
      </w:r>
      <w:r>
        <w:rPr>
          <w:vertAlign w:val="superscript"/>
        </w:rPr>
        <w:t>◦</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rPr>
          <w:vertAlign w:val="superscript"/>
        </w:rPr>
        <w:t>◦</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rPr>
          <w:b/>
        </w:rPr>
        <w:t>5. «El Estado es aconfesional».</w:t>
      </w:r>
    </w:p>
    <w:p>
      <w:pPr>
        <w:pStyle w:val="ListBullet"/>
      </w:pPr>
      <w:r>
        <w:rPr>
          <w:i/>
        </w:rPr>
        <w:t>La defensa del Estado:</w:t>
      </w:r>
      <w:r>
        <w:t xml:space="preserve"> «Ninguna confesión tendrá carácter estatal»</w:t>
      </w:r>
      <w:r>
        <w:rPr>
          <w:vertAlign w:val="superscript"/>
        </w:rPr>
        <w:t>◦</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rPr>
          <w:vertAlign w:val="superscript"/>
        </w:rPr>
        <w:t>◦</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rPr>
          <w:vertAlign w:val="superscript"/>
        </w:rPr>
        <w:t>◦</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rPr>
          <w:vertAlign w:val="superscript"/>
        </w:rPr>
        <w:t>◦</w:t>
      </w:r>
      <w:r>
        <w:t>; y manda que la libertad y la igualdad sean «reales y efectivas»</w:t>
      </w:r>
      <w:r>
        <w:rPr>
          <w:vertAlign w:val="superscript"/>
        </w:rPr>
        <w:t>◦</w:t>
      </w:r>
      <w:r>
        <w:t>. De todos, no de la mayoría. Tomás de Aquino escribió que el bien común de la ciudad y el bien de una sola persona «no se diferencian solo según lo mucho y lo poco, sino por una diferencia formal»</w:t>
      </w:r>
      <w:r>
        <w:rPr>
          <w:vertAlign w:val="superscript"/>
        </w:rPr>
        <w:t>◦</w:t>
      </w:r>
      <w:r>
        <w:t>: el bien común no es una suma de bienes particulares. Y John Stuart Mill, que renunciaba a apoyarse en un derecho anterior a la utilidad, contaba ya «la tiranía de la mayoría» entre los males de los que la sociedad debe guardarse</w:t>
      </w:r>
      <w:r>
        <w:rPr>
          <w:vertAlign w:val="superscript"/>
        </w:rPr>
        <w:t>◦</w:t>
      </w:r>
      <w:r>
        <w:t>.</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rPr>
          <w:vertAlign w:val="superscript"/>
        </w:rPr>
        <w:t>◦</w:t>
      </w:r>
      <w:r>
        <w:t>. Y el mismo artículo que garantiza la legalidad garantiza también «la interdicción de la arbitrariedad de los poderes públicos»</w:t>
      </w:r>
      <w:r>
        <w:rPr>
          <w:vertAlign w:val="superscript"/>
        </w:rPr>
        <w:t>◦</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rPr>
          <w:vertAlign w:val="superscript"/>
        </w:rPr>
        <w:t>◦</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rPr>
          <w:vertAlign w:val="superscript"/>
        </w:rPr>
        <w:t>◦</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rPr>
          <w:vertAlign w:val="superscript"/>
        </w:rPr>
        <w:t>◦</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rPr>
          <w:vertAlign w:val="superscript"/>
        </w:rPr>
        <w:t>◦</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y «no os fijéis en la naturaleza, sino en la tara»</w:t>
      </w:r>
      <w:r>
        <w:rPr>
          <w:vertAlign w:val="superscript"/>
        </w:rPr>
        <w: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rPr>
          <w:vertAlign w:val="superscript"/>
        </w:rPr>
        <w:t>◦</w:t>
      </w:r>
      <w:r>
        <w:t>, y la autoridad o el funcionario que, a sabiendas de su injusticia, dicta una resolución arbitraria comete prevaricación</w:t>
      </w:r>
      <w:r>
        <w:rPr>
          <w:vertAlign w:val="superscript"/>
        </w:rPr>
        <w:t>◦</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rPr>
          <w:vertAlign w:val="superscript"/>
        </w:rPr>
        <w:t>◦</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rPr>
          <w:vertAlign w:val="superscript"/>
        </w:rPr>
        <w:t>◦</w:t>
      </w:r>
      <w:r>
        <w:t>. Ningún título superior lo crea: se lo da él mismo.</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rPr>
          <w:vertAlign w:val="superscript"/>
        </w:rPr>
        <w:t>◦</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rPr>
          <w:vertAlign w:val="superscript"/>
        </w:rPr>
        <w:t>◦</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rPr>
          <w:vertAlign w:val="superscript"/>
        </w:rPr>
        <w:t>◦</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rPr>
          <w:vertAlign w:val="superscript"/>
        </w:rPr>
        <w:t>◦</w:t>
      </w:r>
      <w:r>
        <w:t>; y, cuando falta el título, hay vía de hecho y remedio propio</w:t>
      </w:r>
      <w:r>
        <w:rPr>
          <w:vertAlign w:val="superscript"/>
        </w:rPr>
        <w:t>◦</w:t>
      </w:r>
      <w:r>
        <w:t>. Pero la Administración se da a sí misma el título: sus actos se presumen válidos, y la providencia de apremio tiene «la misma fuerza ejecutiva que la sentencia judicial»</w:t>
      </w:r>
      <w:r>
        <w:rPr>
          <w:vertAlign w:val="superscript"/>
        </w:rPr>
        <w:t>◦</w:t>
      </w:r>
      <w:r>
        <w:t>. Quien ejecuta es quien se da el título: el problema de ser juez en la propia causa (</w:t>
      </w:r>
      <w:r>
        <w:t>1.7</w:t>
      </w:r>
      <w:r>
        <w:t xml:space="preserve">). Se juzga en el </w:t>
      </w:r>
      <w:r>
        <w:t>cargo 13</w:t>
      </w:r>
      <w:r>
        <w:t>.</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rPr>
          <w:vertAlign w:val="superscript"/>
        </w:rPr>
        <w:t>◦</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rPr>
          <w:vertAlign w:val="superscript"/>
        </w:rPr>
        <w:t>◦</w:t>
      </w:r>
      <w:r>
        <w:t>, y el honor es el límite de la libertad de expresión</w:t>
      </w:r>
      <w:r>
        <w:rPr>
          <w:vertAlign w:val="superscript"/>
        </w:rPr>
        <w:t>◦</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La prueba de cada uno ya está en los capítulos anteriores, y aquí se remite a ella. Lo que la obra concede se dice en «Dónde aguanta» y en el límite honesto de cada cargo.</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rPr>
          <w:vertAlign w:val="superscript"/>
        </w:rPr>
        <w:t>◦</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rPr>
          <w:vertAlign w:val="superscript"/>
        </w:rPr>
        <w:t>◦</w:t>
      </w:r>
      <w:r>
        <w:t>. La costumbre «sólo regirá en defecto de ley aplicable»</w:t>
      </w:r>
      <w:r>
        <w:rPr>
          <w:vertAlign w:val="superscript"/>
        </w:rPr>
        <w:t>◦</w:t>
      </w:r>
      <w:r>
        <w:t>, y los principios generales, que es por donde entra la ley natural, «se aplicarán en defecto de ley o costumbre»</w:t>
      </w:r>
      <w:r>
        <w:rPr>
          <w:vertAlign w:val="superscript"/>
        </w:rPr>
        <w:t>◦</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rPr>
          <w:vertAlign w:val="superscript"/>
        </w:rPr>
        <w:t>◦</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rPr>
          <w:vertAlign w:val="superscript"/>
        </w:rPr>
        <w:t>◦</w:t>
      </w:r>
      <w:r>
        <w:t>, y por los valores que la Constitución propugna, entre ellos «la justicia»</w:t>
      </w:r>
      <w:r>
        <w:rPr>
          <w:vertAlign w:val="superscript"/>
        </w:rPr>
        <w:t>◦</w:t>
      </w:r>
      <w:r>
        <w:t>. Los tribunales de la costumbre tienen su lugar porque la ley se lo da</w:t>
      </w:r>
      <w:r>
        <w:rPr>
          <w:vertAlign w:val="superscript"/>
        </w:rPr>
        <w:t>◦</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rPr>
          <w:vertAlign w:val="superscript"/>
        </w:rPr>
        <w:t>◦</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rPr>
          <w:vertAlign w:val="superscript"/>
        </w:rPr>
        <w:t>◦</w:t>
      </w:r>
      <w:r>
        <w:t>, es decir, anteriores a ella; aun así, el Código Civil pone los principios por los que entran en el último lugar. Contra la costumbre injusta ya hay un filtro escrito: solo vale si no es «contraria a la moral o al orden público» y si «resulte probada»</w:t>
      </w:r>
      <w:r>
        <w:rPr>
          <w:vertAlign w:val="superscript"/>
        </w:rPr>
        <w:t>◦</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rPr>
          <w:vertAlign w:val="superscript"/>
        </w:rPr>
        <w:t>◦</w:t>
      </w:r>
      <w:r>
        <w:t>, y a sus autoridades, por «tener interés personal en el asunto»</w:t>
      </w:r>
      <w:r>
        <w:rPr>
          <w:vertAlign w:val="superscript"/>
        </w:rPr>
        <w:t>◦</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rPr>
          <w:vertAlign w:val="superscript"/>
        </w:rPr>
        <w:t>◦</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rPr>
          <w:vertAlign w:val="superscript"/>
        </w:rPr>
        <w:t>◦</w:t>
      </w:r>
      <w:r>
        <w:t>, y «Carecerán de validez las disposiciones que contradigan otra de rango superior»</w:t>
      </w:r>
      <w:r>
        <w:rPr>
          <w:vertAlign w:val="superscript"/>
        </w:rPr>
        <w:t>◦</w:t>
      </w:r>
      <w:r>
        <w:t>: la jerarquía termina en la Constitución. «Ninguna confesión tendrá carácter estatal»</w:t>
      </w:r>
      <w:r>
        <w:rPr>
          <w:vertAlign w:val="superscript"/>
        </w:rPr>
        <w:t>◦</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rPr>
          <w:vertAlign w:val="superscript"/>
        </w:rPr>
        <w:t>◦</w:t>
      </w:r>
      <w:r>
        <w:t>, y se somete al control del Tribunal Constitucional y del Tribunal Europeo de Derechos Humanos. Todos, ciudadanos y poderes públicos, están sujetos a ella (art. 9.1), y la ley no ampara el abuso del derecho</w:t>
      </w:r>
      <w:r>
        <w:rPr>
          <w:vertAlign w:val="superscript"/>
        </w:rPr>
        <w:t>◦</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rPr>
          <w:vertAlign w:val="superscript"/>
        </w:rPr>
        <w:t>◦</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rPr>
          <w:vertAlign w:val="superscript"/>
        </w:rPr>
        <w:t>◦</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rPr>
          <w:vertAlign w:val="superscript"/>
        </w:rPr>
        <w:t>◦</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rPr>
          <w:vertAlign w:val="superscript"/>
        </w:rPr>
        <w:t>◦</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rPr>
          <w:vertAlign w:val="superscript"/>
        </w:rPr>
        <w:t>◦</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rPr>
          <w:vertAlign w:val="superscript"/>
        </w:rPr>
        <w:t>◦</w:t>
      </w:r>
      <w:r>
        <w:t>. La conquista es cosa del pasado: hoy está prohibida (</w:t>
      </w:r>
      <w:r>
        <w:t>6.2</w:t>
      </w:r>
      <w:r>
        <w:t>), y la legitimidad no viene de ella, sino de una Constitución democrática. Y cualquier ciudadano puede proponer una ley con «no menos de 500.000 firmas acreditadas»</w:t>
      </w:r>
      <w:r>
        <w:rPr>
          <w:vertAlign w:val="superscript"/>
        </w:rPr>
        <w:t>◦</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rPr>
          <w:vertAlign w:val="superscript"/>
        </w:rPr>
        <w:t>◦</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rPr>
          <w:vertAlign w:val="superscript"/>
        </w:rPr>
        <w:t>◦</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rPr>
          <w:vertAlign w:val="superscript"/>
        </w:rPr>
        <w:t>◦</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rPr>
          <w:vertAlign w:val="superscript"/>
        </w:rPr>
        <w:t>◦</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rPr>
          <w:vertAlign w:val="superscript"/>
        </w:rPr>
        <w:t>◦</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rPr>
          <w:vertAlign w:val="superscript"/>
        </w:rPr>
        <w:t>◦</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rPr>
          <w:vertAlign w:val="superscript"/>
        </w:rPr>
        <w:t>◦</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rPr>
          <w:vertAlign w:val="superscript"/>
        </w:rPr>
        <w:t>◦</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rPr>
          <w:vertAlign w:val="superscript"/>
        </w:rPr>
        <w:t>◦</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rPr>
          <w:vertAlign w:val="superscript"/>
        </w:rPr>
        <w:t>◦</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rPr>
          <w:vertAlign w:val="superscript"/>
        </w:rPr>
        <w:t>◦</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rPr>
          <w:vertAlign w:val="superscript"/>
        </w:rPr>
        <w:t>◦</w:t>
      </w:r>
      <w:r>
        <w:t>. En democracia, la mayoría expresa la voluntad general. La Administración «sirve con objetividad los intereses generales»</w:t>
      </w:r>
      <w:r>
        <w:rPr>
          <w:vertAlign w:val="superscript"/>
        </w:rPr>
        <w:t>◦</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rPr>
          <w:vertAlign w:val="superscript"/>
        </w:rPr>
        <w:t>◦</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rPr>
          <w:vertAlign w:val="superscript"/>
        </w:rPr>
        <w:t>◦</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rPr>
          <w:vertAlign w:val="superscript"/>
        </w:rPr>
        <w:t>◦</w:t>
      </w:r>
      <w:r>
        <w:t>; y a los que cumplían la letra: «dejasteis lo que es lo más grave de la ley, es á saber, el juicio y la misericordia y la fe»</w:t>
      </w:r>
      <w:r>
        <w:rPr>
          <w:vertAlign w:val="superscript"/>
        </w:rPr>
        <w:t>◦</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rPr>
          <w:vertAlign w:val="superscript"/>
        </w:rPr>
        <w:t>◦</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rPr>
          <w:vertAlign w:val="superscript"/>
        </w:rPr>
        <w:t>◦</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rPr>
          <w:vertAlign w:val="superscript"/>
        </w:rPr>
        <w:t>◦</w:t>
      </w:r>
      <w:r>
        <w:t>. Solo en 2024 se aprobaron 894 normas nuevas, 719 del Estado y 175 de las comunidades autónomas</w:t>
      </w:r>
      <w:r>
        <w:rPr>
          <w:vertAlign w:val="superscript"/>
        </w:rPr>
        <w:t>◦</w:t>
      </w:r>
      <w:r>
        <w:t>, y se publicaron 1.298.086 páginas entre el BOE y los boletines autonómicos, unas 3.547 cada día (</w:t>
      </w:r>
      <w:r>
        <w:t>5.2</w:t>
      </w:r>
      <w:r>
        <w:t>). Y lo vigente, recopilado por el propio BOE en sus Códigos electrónicos, ocupa 345 códigos con 396.115 páginas</w:t>
      </w:r>
      <w:r>
        <w:rPr>
          <w:vertAlign w:val="superscript"/>
        </w:rPr>
        <w:t>◦</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rPr>
          <w:vertAlign w:val="superscript"/>
        </w:rPr>
        <w:t>◦</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rPr>
          <w:vertAlign w:val="superscript"/>
        </w:rPr>
        <w:t>◦</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rPr>
          <w:vertAlign w:val="superscript"/>
        </w:rPr>
        <w:t>◦</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rPr>
          <w:vertAlign w:val="superscript"/>
        </w:rPr>
        <w:t>◦</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rPr>
          <w:vertAlign w:val="superscript"/>
        </w:rPr>
        <w:t>◦</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rPr>
          <w:vertAlign w:val="superscript"/>
        </w:rPr>
        <w:t>◦</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rPr>
          <w:vertAlign w:val="superscript"/>
        </w:rPr>
        <w:t>◦</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rPr>
          <w:vertAlign w:val="superscript"/>
        </w:rPr>
        <w:t>◦</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t>En el nivel completo, las demás defensas que la Biblioteca escribió para este cargo, una por una, con su respuesta.</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rPr>
          <w:vertAlign w:val="superscript"/>
        </w:rPr>
        <w:t>◦</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rPr>
          <w:vertAlign w:val="superscript"/>
        </w:rPr>
        <w:t>◦</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rPr>
          <w:vertAlign w:val="superscript"/>
        </w:rPr>
        <w:t>◦</w:t>
      </w:r>
      <w:r>
        <w:t>.</w:t>
      </w:r>
    </w:p>
    <w:p>
      <w:pPr>
        <w:pStyle w:val="ListBullet"/>
      </w:pPr>
      <w:r>
        <w:rPr>
          <w:i/>
        </w:rPr>
        <w:t>Su propia ley:</w:t>
      </w:r>
      <w:r>
        <w:t xml:space="preserve"> «En caso de extraordinaria y urgente necesidad, el Gobierno podrá dictar disposiciones legislativas provisionales que tomarán la forma de Decretos-leyes»</w:t>
      </w:r>
      <w:r>
        <w:rPr>
          <w:vertAlign w:val="superscript"/>
        </w:rPr>
        <w:t>◦</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rPr>
          <w:vertAlign w:val="superscript"/>
        </w:rPr>
        <w:t>◦</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rPr>
          <w:vertAlign w:val="superscript"/>
        </w:rPr>
        <w:t>◦</w:t>
      </w:r>
      <w:r>
        <w:t>, y en ese plazo las Cortes «podrán tramitarlos como proyectos de ley por el procedimiento de urgencia»</w:t>
      </w:r>
      <w:r>
        <w:rPr>
          <w:vertAlign w:val="superscript"/>
        </w:rPr>
        <w:t>◦</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rPr>
          <w:vertAlign w:val="superscript"/>
        </w:rPr>
        <w:t>◦</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rPr>
          <w:vertAlign w:val="superscript"/>
        </w:rPr>
        <w:t>◦</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rPr>
          <w:vertAlign w:val="superscript"/>
        </w:rPr>
        <w:t>◦</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rPr>
          <w:vertAlign w:val="superscript"/>
        </w:rPr>
        <w:t>◦</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rPr>
          <w:vertAlign w:val="superscript"/>
        </w:rPr>
        <w:t>◦</w:t>
      </w:r>
      <w:r>
        <w:t xml:space="preserve">, y ella misma puede ejecutarlos, incluido el «apremio sobre el patrimonio» (arts. 99 y 100.1.a; </w:t>
      </w:r>
      <w:r>
        <w:t>7.6</w:t>
      </w:r>
      <w:r>
        <w:t>). Un particular necesita siempre un título: «La acción ejecutiva deberá fundarse en un título que tenga aparejada ejecución»</w:t>
      </w:r>
      <w:r>
        <w:rPr>
          <w:vertAlign w:val="superscript"/>
        </w:rPr>
        <w:t>◦</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rPr>
          <w:vertAlign w:val="superscript"/>
        </w:rPr>
        <w:t>◦</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rPr>
          <w:vertAlign w:val="superscript"/>
        </w:rPr>
        <w:t>◦</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rPr>
          <w:vertAlign w:val="superscript"/>
        </w:rPr>
        <w:t>◦</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rPr>
          <w:vertAlign w:val="superscript"/>
        </w:rPr>
        <w:t>◦</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rPr>
          <w:vertAlign w:val="superscript"/>
        </w:rPr>
        <w:t>◦</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rPr>
          <w:vertAlign w:val="superscript"/>
        </w:rPr>
        <w:t>◦</w:t>
      </w:r>
      <w:r>
        <w:t>.</w:t>
      </w:r>
    </w:p>
    <w:p>
      <w:pPr>
        <w:pStyle w:val="ListBullet"/>
      </w:pPr>
      <w:r>
        <w:rPr>
          <w:i/>
        </w:rPr>
        <w:t>Las tradiciones:</w:t>
      </w:r>
      <w:r>
        <w:t xml:space="preserve"> «Alá os ordena que restituyáis los depósitos a sus propietarios»</w:t>
      </w:r>
      <w:r>
        <w:rPr>
          <w:vertAlign w:val="superscript"/>
        </w:rPr>
        <w:t>◦</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rPr>
          <w:vertAlign w:val="superscript"/>
        </w:rPr>
        <w:t>◦</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rPr>
          <w:vertAlign w:val="superscript"/>
        </w:rPr>
        <w:t>◦</w:t>
      </w:r>
      <w:r>
        <w:t>; «Los padres no morirán por los hijos, ni los hijos por los padres; cada uno morirá por su pecado»</w:t>
      </w:r>
      <w:r>
        <w:rPr>
          <w:vertAlign w:val="superscript"/>
        </w:rPr>
        <w:t>◦</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rPr>
          <w:vertAlign w:val="superscript"/>
        </w:rPr>
        <w:t>◦</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rPr>
          <w:vertAlign w:val="superscript"/>
        </w:rPr>
        <w:t>◦</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rPr>
          <w:vertAlign w:val="superscript"/>
        </w:rPr>
        <w:t>◦</w:t>
      </w:r>
      <w:r>
        <w:t>, y una inflación baja y estable se considera sana. Recortar la moneda o devaluarla por decreto del rey es cosa del pasado: el Tratado prohíbe al banco central «la adquisición directa» de deuda a los Estados</w:t>
      </w:r>
      <w:r>
        <w:rPr>
          <w:vertAlign w:val="superscript"/>
        </w:rPr>
        <w:t>◦</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rPr>
          <w:vertAlign w:val="superscript"/>
        </w:rPr>
        <w:t>◦</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rPr>
          <w:vertAlign w:val="superscript"/>
        </w:rPr>
        <w:t>◦</w:t>
      </w:r>
      <w:r>
        <w:t>; y los que dicen: «achicaremos la medida, y engrandeceremos el precio, y falsearemos el peso engañoso; Para comprar los pobres por dinero»</w:t>
      </w:r>
      <w:r>
        <w:rPr>
          <w:vertAlign w:val="superscript"/>
        </w:rPr>
        <w:t>◦</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rPr>
          <w:vertAlign w:val="superscript"/>
        </w:rPr>
        <w:t>◦</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rPr>
          <w:vertAlign w:val="superscript"/>
        </w:rPr>
        <w:t>◦</w:t>
      </w:r>
      <w:r>
        <w:t>. La inflación interanual de agosto de 2026 fue del 4,3 %, la más alta desde febrero de 2023</w:t>
      </w:r>
      <w:r>
        <w:rPr>
          <w:vertAlign w:val="superscript"/>
        </w:rPr>
        <w:t>◦</w:t>
      </w:r>
      <w:r>
        <w:t>, y la Autoridad Fiscal prevé que en 2026 los salarios reales «disminuyan de manera moderada»</w:t>
      </w:r>
      <w:r>
        <w:rPr>
          <w:vertAlign w:val="superscript"/>
        </w:rPr>
        <w:t>◦</w:t>
      </w:r>
      <w:r>
        <w:t xml:space="preserve"> (</w:t>
      </w:r>
      <w:r>
        <w:t>B.5</w:t>
      </w:r>
      <w:r>
        <w:t>).</w:t>
      </w:r>
    </w:p>
    <w:p>
      <w:r>
        <w:t>En el nivel completo, las demás defensas que la Biblioteca escribió para este cargo, una por una, con su respuesta.</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rPr>
          <w:vertAlign w:val="superscript"/>
        </w:rPr>
        <w:t>◦</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rPr>
          <w:vertAlign w:val="superscript"/>
        </w:rPr>
        <w:t>◦</w:t>
      </w:r>
      <w:r>
        <w:t>. La liquidación de un impuesto la dicta un órgano técnico con los datos del propio contribuyente. La ley ya obliga a la Administración a actuar con «Buena fe, confianza legítima y lealtad institucional»</w:t>
      </w:r>
      <w:r>
        <w:rPr>
          <w:vertAlign w:val="superscript"/>
        </w:rPr>
        <w:t>◦</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rPr>
          <w:vertAlign w:val="superscript"/>
        </w:rPr>
        <w:t>◦</w:t>
      </w:r>
      <w:r>
        <w:t>, y el Constitucional dijo que la presunción de inocencia «rige sin excepciones en el ordenamiento sancionador», y que la carga de la prueba corresponde «a quien acusa, sin que nadie esté obligado a probar su propia inocencia»</w:t>
      </w:r>
      <w:r>
        <w:rPr>
          <w:vertAlign w:val="superscript"/>
        </w:rPr>
        <w:t>◦</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rPr>
          <w:vertAlign w:val="superscript"/>
        </w:rPr>
        <w:t>◦</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rPr>
          <w:vertAlign w:val="superscript"/>
        </w:rPr>
        <w:t>◦</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rPr>
          <w:vertAlign w:val="superscript"/>
        </w:rPr>
        <w:t>◦</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rPr>
          <w:vertAlign w:val="superscript"/>
        </w:rPr>
        <w:t>◦</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rPr>
          <w:vertAlign w:val="superscript"/>
        </w:rPr>
        <w:t>◦</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rPr>
          <w:vertAlign w:val="superscript"/>
        </w:rPr>
        <w:t>◦</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rPr>
          <w:vertAlign w:val="superscript"/>
        </w:rPr>
        <w:t>◦</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rPr>
          <w:vertAlign w:val="superscript"/>
        </w:rPr>
        <w:t>◦</w:t>
      </w:r>
      <w:r>
        <w:t>, publica su presupuesto y sus cuentas, que el Tribunal de Cuentas auditó con opinión favorable</w:t>
      </w:r>
      <w:r>
        <w:rPr>
          <w:vertAlign w:val="superscript"/>
        </w:rPr>
        <w:t>◦</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rPr>
          <w:vertAlign w:val="superscript"/>
        </w:rPr>
        <w:t>◦</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rPr>
          <w:vertAlign w:val="superscript"/>
        </w:rPr>
        <w:t>◦</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rPr>
          <w:vertAlign w:val="superscript"/>
        </w:rPr>
        <w:t>◦</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rPr>
          <w:vertAlign w:val="superscript"/>
        </w:rPr>
        <w:t>◦</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rPr>
          <w:vertAlign w:val="superscript"/>
        </w:rPr>
        <w:t>◦</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rPr>
          <w:vertAlign w:val="superscript"/>
        </w:rPr>
        <w:t>◦</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rPr>
          <w:vertAlign w:val="superscript"/>
        </w:rPr>
        <w:t>◦</w:t>
      </w:r>
      <w:r>
        <w:t>, fue la falta de «especial trascendencia constitucional» (</w:t>
      </w:r>
      <w:r>
        <w:t>7.2</w:t>
      </w:r>
      <w:r>
        <w:t>, n.º 3): un filtro que no está en la Constitución, sino en la ley que el propio sistema escribió. Y las providencias de inadmisión «especificarán el requisito incumplido»</w:t>
      </w:r>
      <w:r>
        <w:rPr>
          <w:vertAlign w:val="superscript"/>
        </w:rPr>
        <w:t>◦</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rPr>
          <w:vertAlign w:val="superscript"/>
        </w:rPr>
        <w:t>◦</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rPr>
          <w:vertAlign w:val="superscript"/>
        </w:rPr>
        <w:t>◦</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rPr>
          <w:vertAlign w:val="superscript"/>
        </w:rPr>
        <w:t>◦</w:t>
      </w:r>
      <w:r>
        <w:t>; su cuantía la fija cada ley de presupuestos, y los 80 euros al mes solo constan, en la Ley 31/2022, para quienes se dan de alta en Cuenca, Soria y Teruel, durante 36 meses</w:t>
      </w:r>
      <w:r>
        <w:rPr>
          <w:vertAlign w:val="superscript"/>
        </w:rPr>
        <w:t>◦</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rPr>
          <w:vertAlign w:val="superscript"/>
        </w:rPr>
        <w:t>◦</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rPr>
          <w:vertAlign w:val="superscript"/>
        </w:rPr>
        <w:t>◦</w:t>
      </w:r>
      <w:r>
        <w:t>. Y si la Administración no contesta en seis meses, «podrá entenderse que la resolución es contraria a la indemnización del particular»</w:t>
      </w:r>
      <w:r>
        <w:rPr>
          <w:vertAlign w:val="superscript"/>
        </w:rPr>
        <w:t>◦</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rPr>
          <w:vertAlign w:val="superscript"/>
        </w:rPr>
        <w:t>◦</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rPr>
          <w:vertAlign w:val="superscript"/>
        </w:rPr>
        <w:t>◦</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rPr>
          <w:vertAlign w:val="superscript"/>
        </w:rPr>
        <w:t>◦</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rPr>
          <w:vertAlign w:val="superscript"/>
        </w:rPr>
        <w:t>◦</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rPr>
          <w:vertAlign w:val="superscript"/>
        </w:rPr>
        <w:t>◦</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Las objeciones vienen de los capítulos 6 a 9; las que decían lo mismo con otras palabras se oyen una sola vez.</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rPr>
          <w:vertAlign w:val="superscript"/>
        </w:rPr>
        <w:t>◦</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rPr>
          <w:vertAlign w:val="superscript"/>
        </w:rPr>
        <w:t>◦</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rPr>
          <w:vertAlign w:val="superscript"/>
        </w:rPr>
        <w:t>◦</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rPr>
          <w:vertAlign w:val="superscript"/>
        </w:rPr>
        <w:t>◦</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rPr>
          <w:vertAlign w:val="superscript"/>
        </w:rPr>
        <w:t>◦</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Todo este apartado es la voz del autor, y se lee como lectura del autor: no añade hechos. Los que nombra ya están probados en su capítulo, y se remite a él. Es la consecuencia práctica de todo lo anterior: pedir que quien ya lo sabe, actúe.</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rPr>
          <w:vertAlign w:val="superscript"/>
        </w:rPr>
        <w:t>◦</w:t>
      </w:r>
      <w:r>
        <w:t xml:space="preserve"> (</w:t>
      </w:r>
      <w:r>
        <w:t>anexo I</w:t>
      </w:r>
      <w:r>
        <w:t xml:space="preserve">). Y «despiértate, tú que duermes» se dice unas líneas más abajo. Lo que arrojan los datos de la salud y de la familia se mide en </w:t>
      </w:r>
      <w:r>
        <w:t>8.10</w:t>
      </w:r>
      <w:r>
        <w:t>.</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rPr>
          <w:vertAlign w:val="superscript"/>
        </w:rPr>
        <w:t>◦</w:t>
      </w:r>
      <w:r>
        <w:t>. Lo que esta obra expone puede doler. No es un ataque: es la luz.</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rPr>
          <w:vertAlign w:val="superscript"/>
        </w:rPr>
        <w:t>◦</w:t>
      </w:r>
      <w:r>
        <w:t>.</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rPr>
          <w:vertAlign w:val="superscript"/>
        </w:rPr>
        <w:t>◦</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rPr>
          <w:vertAlign w:val="superscript"/>
        </w:rPr>
        <w:t>◦</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rPr>
          <w:vertAlign w:val="superscript"/>
        </w:rPr>
        <w:t>◦</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rPr>
          <w:vertAlign w:val="superscript"/>
        </w:rPr>
        <w:t>◦</w:t>
      </w:r>
      <w:r>
        <w:t>.</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rPr>
          <w:vertAlign w:val="superscript"/>
        </w:rPr>
        <w:t>◦</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rPr>
          <w:vertAlign w:val="superscript"/>
        </w:rPr>
        <w:t>◦</w:t>
      </w:r>
    </w:p>
    <w:p>
      <w:r>
        <w:t>Los decretos de cese y de disolución, los fallos de las SSTC 89/2019 y 90/2019 y las cifras de la Generalitat (parte interesada) están en el nivel completo.</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rPr>
          <w:vertAlign w:val="superscript"/>
        </w:rPr>
        <w:t>◦</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rPr>
          <w:vertAlign w:val="superscript"/>
        </w:rPr>
        <w:t>◦</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rPr>
          <w:vertAlign w:val="superscript"/>
        </w:rPr>
        <w:t>◦</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rPr>
          <w:vertAlign w:val="superscript"/>
        </w:rPr>
        <w:t>◦</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rPr>
          <w:vertAlign w:val="superscript"/>
        </w:rPr>
        <w:t>◦</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rPr>
          <w:vertAlign w:val="superscript"/>
        </w:rPr>
        <w:t>◦</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rPr>
          <w:vertAlign w:val="superscript"/>
        </w:rPr>
        <w:t>◦</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rPr>
          <w:vertAlign w:val="superscript"/>
        </w:rPr>
        <w:t>◦</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rPr>
          <w:vertAlign w:val="superscript"/>
        </w:rPr>
        <w:t>◦</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rPr>
          <w:vertAlign w:val="superscript"/>
        </w:rPr>
        <w:t>◦</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rPr>
          <w:vertAlign w:val="superscript"/>
        </w:rPr>
        <w:t>◦</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rPr>
          <w:vertAlign w:val="superscript"/>
        </w:rPr>
        <w:t>◦</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rPr>
          <w:vertAlign w:val="superscript"/>
        </w:rPr>
        <w:t>◦</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rPr>
          <w:vertAlign w:val="superscript"/>
        </w:rPr>
        <w:t>◦</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rPr>
          <w:vertAlign w:val="superscript"/>
        </w:rPr>
        <w:t>◦</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rPr>
          <w:vertAlign w:val="superscript"/>
        </w:rPr>
        <w:t>◦</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rPr>
          <w:vertAlign w:val="superscript"/>
        </w:rPr>
        <w:t>◦</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rPr>
          <w:vertAlign w:val="superscript"/>
        </w:rPr>
        <w:t>◦</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rPr>
          <w:vertAlign w:val="superscript"/>
        </w:rPr>
        <w:t>◦</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rPr>
          <w:vertAlign w:val="superscript"/>
        </w:rPr>
        <w:t>◦</w:t>
      </w:r>
      <w:r>
        <w:t>.</w:t>
      </w:r>
      <w:r>
        <w:rPr>
          <w:vertAlign w:val="superscript"/>
        </w:rPr>
        <w:t>◦</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rPr>
          <w:vertAlign w:val="superscript"/>
        </w:rPr>
        <w:t>◦</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rPr>
          <w:vertAlign w:val="superscript"/>
        </w:rPr>
        <w:t>◦</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rPr>
          <w:vertAlign w:val="superscript"/>
        </w:rPr>
        <w:t>◦</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rPr>
          <w:vertAlign w:val="superscript"/>
        </w:rPr>
        <w:t>◦</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rPr>
          <w:vertAlign w:val="superscript"/>
        </w:rPr>
        <w:t>◦</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rPr>
          <w:vertAlign w:val="superscript"/>
        </w:rPr>
        <w:t>◦</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rPr>
          <w:vertAlign w:val="superscript"/>
        </w:rPr>
        <w:t>◦</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rPr>
          <w:vertAlign w:val="superscript"/>
        </w:rPr>
        <w:t>◦</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rPr>
          <w:vertAlign w:val="superscript"/>
        </w:rPr>
        <w:t>◦</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rPr>
          <w:vertAlign w:val="superscript"/>
        </w:rPr>
        <w:t>◦</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rPr>
          <w:vertAlign w:val="superscript"/>
        </w:rPr>
        <w:t>◦</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rPr>
          <w:vertAlign w:val="superscript"/>
        </w:rPr>
        <w:t>◦</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rPr>
          <w:vertAlign w:val="superscript"/>
        </w:rPr>
        <w:t>◦</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rPr>
          <w:vertAlign w:val="superscript"/>
        </w:rPr>
        <w:t>◦</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rPr>
          <w:vertAlign w:val="superscript"/>
        </w:rPr>
        <w:t>◦</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rPr>
          <w:vertAlign w:val="superscript"/>
        </w:rPr>
        <w:t>◦</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rPr>
          <w:vertAlign w:val="superscript"/>
        </w:rPr>
        <w:t>◦</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rPr>
          <w:vertAlign w:val="superscript"/>
        </w:rPr>
        <w:t>◦</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rPr>
          <w:vertAlign w:val="superscript"/>
        </w:rPr>
        <w:t>◦</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rPr>
          <w:vertAlign w:val="superscript"/>
        </w:rPr>
        <w:t>◦</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rPr>
          <w:vertAlign w:val="superscript"/>
        </w:rPr>
        <w:t>◦</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rPr>
          <w:vertAlign w:val="superscript"/>
        </w:rPr>
        <w:t>◦</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rPr>
          <w:vertAlign w:val="superscript"/>
        </w:rPr>
        <w:t>◦</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rPr>
          <w:vertAlign w:val="superscript"/>
        </w:rPr>
        <w:t>◦</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rPr>
          <w:vertAlign w:val="superscript"/>
        </w:rPr>
        <w:t>◦</w:t>
      </w:r>
      <w:r>
        <w:t xml:space="preserve">, y actualizó su redacción sobre los derechos de las personas con discapacidad (el dato, en </w:t>
      </w:r>
      <w:r>
        <w:t>7.2</w:t>
      </w:r>
      <w:r>
        <w:t>, n.º 14).</w:t>
      </w:r>
      <w:r>
        <w:rPr>
          <w:vertAlign w:val="superscript"/>
        </w:rPr>
        <w:t>◦</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rPr>
          <w:vertAlign w:val="superscript"/>
        </w:rPr>
        <w:t>◦</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rPr>
          <w:vertAlign w:val="superscript"/>
        </w:rPr>
        <w:t>◦</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rPr>
          <w:vertAlign w:val="superscript"/>
        </w:rPr>
        <w:t>◦</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rPr>
          <w:vertAlign w:val="superscript"/>
        </w:rPr>
        <w:t>◦</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rPr>
          <w:vertAlign w:val="superscript"/>
        </w:rPr>
        <w:t>◦</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rPr>
          <w:vertAlign w:val="superscript"/>
        </w:rPr>
        <w:t>◦</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rPr>
          <w:vertAlign w:val="superscript"/>
        </w:rPr>
        <w:t>◦</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rPr>
          <w:vertAlign w:val="superscript"/>
        </w:rPr>
        <w:t>◦</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rPr>
          <w:vertAlign w:val="superscript"/>
        </w:rPr>
        <w:t>◦</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rPr>
          <w:vertAlign w:val="superscript"/>
        </w:rPr>
        <w:t>◦</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rPr>
          <w:vertAlign w:val="superscript"/>
        </w:rPr>
        <w:t>◦</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rPr>
          <w:vertAlign w:val="superscript"/>
        </w:rPr>
        <w:t>◦</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rPr>
          <w:vertAlign w:val="superscript"/>
        </w:rPr>
        <w:t>◦</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rPr>
          <w:vertAlign w:val="superscript"/>
        </w:rPr>
        <w:t>◦</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rPr>
          <w:vertAlign w:val="superscript"/>
        </w:rPr>
        <w:t>◦</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rPr>
          <w:vertAlign w:val="superscript"/>
        </w:rPr>
        <w:t>◦</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rPr>
          <w:vertAlign w:val="superscript"/>
        </w:rPr>
        <w:t>◦</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rPr>
          <w:vertAlign w:val="superscript"/>
        </w:rPr>
        <w:t>◦</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rPr>
          <w:vertAlign w:val="superscript"/>
        </w:rPr>
        <w:t>◦</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rPr>
          <w:vertAlign w:val="superscript"/>
        </w:rPr>
        <w:t>◦</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rPr>
          <w:vertAlign w:val="superscript"/>
        </w:rPr>
        <w:t>◦</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rPr>
          <w:vertAlign w:val="superscript"/>
        </w:rPr>
        <w:t>◦</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rPr>
          <w:vertAlign w:val="superscript"/>
        </w:rPr>
        <w:t>◦</w:t>
      </w:r>
    </w:p>
    <w:p>
      <w:r>
        <w:t>Cada caso con su fecha y su recurso está en el nivel completo.</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rPr>
          <w:vertAlign w:val="superscript"/>
        </w:rPr>
        <w:t>◦</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rPr>
          <w:vertAlign w:val="superscript"/>
        </w:rPr>
        <w:t>◦</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rPr>
          <w:vertAlign w:val="superscript"/>
        </w:rPr>
        <w:t>◦</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rPr>
          <w:vertAlign w:val="superscript"/>
        </w:rPr>
        <w:t>◦</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rPr>
          <w:vertAlign w:val="superscript"/>
        </w:rPr>
        <w:t>◦</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rPr>
          <w:vertAlign w:val="superscript"/>
        </w:rPr>
        <w:t>◦</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rPr>
          <w:vertAlign w:val="superscript"/>
        </w:rPr>
        <w:t>◦</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rPr>
          <w:vertAlign w:val="superscript"/>
        </w:rPr>
        <w:t>◦</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rPr>
          <w:vertAlign w:val="superscript"/>
        </w:rPr>
        <w:t>◦</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rPr>
          <w:vertAlign w:val="superscript"/>
        </w:rPr>
        <w:t>◦</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rPr>
          <w:vertAlign w:val="superscript"/>
        </w:rPr>
        <w:t>◦</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rPr>
          <w:vertAlign w:val="superscript"/>
        </w:rPr>
        <w:t>◦</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rPr>
          <w:vertAlign w:val="superscript"/>
        </w:rPr>
        <w:t>◦</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rPr>
          <w:vertAlign w:val="superscript"/>
        </w:rPr>
        <w:t>◦</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rPr>
          <w:vertAlign w:val="superscript"/>
        </w:rPr>
        <w:t>◦</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rPr>
          <w:vertAlign w:val="superscript"/>
        </w:rPr>
        <w:t>◦</w:t>
      </w:r>
    </w:p>
    <w:p>
      <w:r>
        <w:t>El procedimiento del Reglamento del Senado (art. 128) está en el nivel completo.</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rPr>
          <w:vertAlign w:val="superscript"/>
        </w:rPr>
        <w:t>◦</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rPr>
          <w:vertAlign w:val="superscript"/>
        </w:rPr>
        <w:t>◦</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rPr>
          <w:vertAlign w:val="superscript"/>
        </w:rPr>
        <w:t>◦</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rPr>
          <w:vertAlign w:val="superscript"/>
        </w:rPr>
        <w:t>◦</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rPr>
          <w:vertAlign w:val="superscript"/>
        </w:rPr>
        <w:t>◦</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rPr>
          <w:vertAlign w:val="superscript"/>
        </w:rPr>
        <w:t>◦</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rPr>
          <w:vertAlign w:val="superscript"/>
        </w:rPr>
        <w:t>◦</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rPr>
          <w:vertAlign w:val="superscript"/>
        </w:rPr>
        <w:t>◦</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rPr>
          <w:vertAlign w:val="superscript"/>
        </w:rPr>
        <w:t>◦</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rPr>
          <w:vertAlign w:val="superscript"/>
        </w:rPr>
        <w:t>◦</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rPr>
          <w:vertAlign w:val="superscript"/>
        </w:rPr>
        <w:t>◦</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rPr>
          <w:vertAlign w:val="superscript"/>
        </w:rPr>
        <w:t>◦</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rPr>
          <w:vertAlign w:val="superscript"/>
        </w:rPr>
        <w:t>◦</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rPr>
          <w:vertAlign w:val="superscript"/>
        </w:rPr>
        <w:t>◦</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rPr>
          <w:vertAlign w:val="superscript"/>
        </w:rPr>
        <w:t>◦</w:t>
      </w:r>
    </w:p>
    <w:p>
      <w:r>
        <w:t>Las sentencias con su fecha, su número y su recurso están en el nivel completo.</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rPr>
          <w:vertAlign w:val="superscript"/>
        </w:rPr>
        <w:t>◦</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rPr>
          <w:vertAlign w:val="superscript"/>
        </w:rPr>
        <w:t>◦</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rPr>
          <w:vertAlign w:val="superscript"/>
        </w:rPr>
        <w:t>◦</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rPr>
          <w:vertAlign w:val="superscript"/>
        </w:rPr>
        <w:t>◦</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rPr>
          <w:vertAlign w:val="superscript"/>
        </w:rPr>
        <w:t>◦</w:t>
      </w:r>
      <w:r>
        <w:t>.</w:t>
      </w:r>
      <w:r>
        <w:rPr>
          <w:vertAlign w:val="superscript"/>
        </w:rPr>
        <w:t>◦</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rPr>
          <w:vertAlign w:val="superscript"/>
        </w:rPr>
        <w:t>◦</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rPr>
          <w:vertAlign w:val="superscript"/>
        </w:rPr>
        <w:t>◦</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rPr>
          <w:vertAlign w:val="superscript"/>
        </w:rPr>
        <w:t>◦</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rPr>
          <w:vertAlign w:val="superscript"/>
        </w:rPr>
        <w:t>◦</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rPr>
          <w:vertAlign w:val="superscript"/>
        </w:rPr>
        <w:t>◦</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rPr>
          <w:vertAlign w:val="superscript"/>
        </w:rPr>
        <w:t>◦</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rPr>
          <w:vertAlign w:val="superscript"/>
        </w:rPr>
        <w:t>◦</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rPr>
          <w:vertAlign w:val="superscript"/>
        </w:rPr>
        <w:t>◦</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rPr>
          <w:vertAlign w:val="superscript"/>
        </w:rPr>
        <w:t>◦</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rPr>
          <w:vertAlign w:val="superscript"/>
        </w:rPr>
        <w:t>◦</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rPr>
          <w:vertAlign w:val="superscript"/>
        </w:rPr>
        <w:t>◦</w:t>
      </w:r>
      <w:r>
        <w:t xml:space="preserve"> A 23-IV-2026 había 726 preguntas sin responder pasados los 40 días, de más de 40.000 registradas en la legislatura en curso.</w:t>
      </w:r>
      <w:r>
        <w:rPr>
          <w:vertAlign w:val="superscript"/>
        </w:rPr>
        <w:t>◦</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rPr>
          <w:vertAlign w:val="superscript"/>
        </w:rPr>
        <w:t>◦</w:t>
      </w:r>
      <w:r>
        <w:t>, pero entre sus datos abiertos de iniciativas, que son cuatro conjuntos (iniciativas legislativas aprobadas, proyectos de ley, propuestas de reforma de estatuto de autonomía y proposiciones de ley), no figuran las preguntas escritas</w:t>
      </w:r>
      <w:r>
        <w:rPr>
          <w:vertAlign w:val="superscript"/>
        </w:rPr>
        <w:t>◦</w:t>
      </w:r>
      <w:r>
        <w:t>. Las cifras de plazos que se han podido leer son de terceros.</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rPr>
          <w:vertAlign w:val="superscript"/>
        </w:rPr>
        <w:t>◦</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rPr>
          <w:vertAlign w:val="superscript"/>
        </w:rPr>
        <w:t>◦</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rPr>
          <w:vertAlign w:val="superscript"/>
        </w:rPr>
        <w:t>◦</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rPr>
          <w:vertAlign w:val="superscript"/>
        </w:rPr>
        <w:t>◦</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rPr>
          <w:vertAlign w:val="superscript"/>
        </w:rPr>
        <w:t>◦</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rPr>
          <w:vertAlign w:val="superscript"/>
        </w:rPr>
        <w:t>◦</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rPr>
          <w:vertAlign w:val="superscript"/>
        </w:rPr>
        <w:t>◦</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rPr>
          <w:vertAlign w:val="superscript"/>
        </w:rPr>
        <w:t>◦</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rPr>
          <w:vertAlign w:val="superscript"/>
        </w:rPr>
        <w:t>◦</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rPr>
          <w:vertAlign w:val="superscript"/>
        </w:rPr>
        <w:t>◦</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rPr>
          <w:vertAlign w:val="superscript"/>
        </w:rPr>
        <w:t>◦</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rPr>
          <w:vertAlign w:val="superscript"/>
        </w:rPr>
        <w:t>◦</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rPr>
          <w:vertAlign w:val="superscript"/>
        </w:rPr>
        <w:t>◦</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rPr>
          <w:vertAlign w:val="superscript"/>
        </w:rPr>
        <w:t>◦</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rPr>
          <w:vertAlign w:val="superscript"/>
        </w:rPr>
        <w:t>◦</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rPr>
          <w:vertAlign w:val="superscript"/>
        </w:rPr>
        <w:t>◦</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rPr>
          <w:vertAlign w:val="superscript"/>
        </w:rPr>
        <w:t>◦</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rPr>
          <w:vertAlign w:val="superscript"/>
        </w:rPr>
        <w:t>◦</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rPr>
          <w:vertAlign w:val="superscript"/>
        </w:rPr>
        <w:t>◦</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rPr>
          <w:vertAlign w:val="superscript"/>
        </w:rPr>
        <w:t>◦</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rPr>
          <w:vertAlign w:val="superscript"/>
        </w:rPr>
        <w:t>◦</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rPr>
          <w:vertAlign w:val="superscript"/>
        </w:rPr>
        <w:t>◦</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rPr>
          <w:vertAlign w:val="superscript"/>
        </w:rPr>
        <w:t>◦</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rPr>
          <w:vertAlign w:val="superscript"/>
        </w:rPr>
        <w:t>◦</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rPr>
          <w:vertAlign w:val="superscript"/>
        </w:rPr>
        <w:t>◦</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rPr>
          <w:vertAlign w:val="superscript"/>
        </w:rPr>
        <w:t>◦</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rPr>
          <w:vertAlign w:val="superscript"/>
        </w:rPr>
        <w:t>◦</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rPr>
          <w:vertAlign w:val="superscript"/>
        </w:rPr>
        <w:t>◦</w:t>
      </w:r>
      <w:r>
        <w:t xml:space="preserve"> Un análisis jurídico de 2024 añade que el informe anual del Tribunal no tiene el contenido que prevé la ley.</w:t>
      </w:r>
      <w:r>
        <w:rPr>
          <w:vertAlign w:val="superscript"/>
        </w:rPr>
        <w:t>◦</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Las transferencias suman el 35,8 % de los ingresos de los gobiernos locales, y las del Estado, el 20,25 %.</w:t>
      </w:r>
      <w:r>
        <w:rPr>
          <w:vertAlign w:val="superscript"/>
        </w:rPr>
        <w:t>◦</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rPr>
          <w:vertAlign w:val="superscript"/>
        </w:rPr>
        <w:t>◦</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rPr>
          <w:vertAlign w:val="superscript"/>
        </w:rPr>
        <w:t>◦</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rPr>
          <w:vertAlign w:val="superscript"/>
        </w:rPr>
        <w:t>◦</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rPr>
          <w:vertAlign w:val="superscript"/>
        </w:rPr>
        <w:t>◦</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rPr>
          <w:vertAlign w:val="superscript"/>
        </w:rPr>
        <w:t>◦</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rPr>
          <w:vertAlign w:val="superscript"/>
        </w:rPr>
        <w:t>◦</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rPr>
          <w:vertAlign w:val="superscript"/>
        </w:rPr>
        <w:t>◦</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rPr>
          <w:vertAlign w:val="superscript"/>
        </w:rPr>
        <w:t>◦</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rPr>
          <w:vertAlign w:val="superscript"/>
        </w:rPr>
        <w:t>◦</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rPr>
          <w:vertAlign w:val="superscript"/>
        </w:rPr>
        <w:t>◦</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rPr>
          <w:vertAlign w:val="superscript"/>
        </w:rPr>
        <w:t>◦</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rPr>
          <w:vertAlign w:val="superscript"/>
        </w:rPr>
        <w:t>◦</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rPr>
          <w:vertAlign w:val="superscript"/>
        </w:rPr>
        <w:t>◦</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rPr>
          <w:vertAlign w:val="superscript"/>
        </w:rPr>
        <w:t>◦</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rPr>
          <w:vertAlign w:val="superscript"/>
        </w:rPr>
        <w:t>◦</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rPr>
          <w:vertAlign w:val="superscript"/>
        </w:rPr>
        <w:t>◦</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rPr>
          <w:vertAlign w:val="superscript"/>
        </w:rPr>
        <w:t>◦</w:t>
      </w:r>
      <w:r>
        <w:t>.</w:t>
      </w:r>
      <w:r>
        <w:rPr>
          <w:vertAlign w:val="superscript"/>
        </w:rPr>
        <w:t>◦</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rPr>
          <w:vertAlign w:val="superscript"/>
        </w:rPr>
        <w:t>◦</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rPr>
          <w:vertAlign w:val="superscript"/>
        </w:rPr>
        <w:t>◦</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rPr>
          <w:vertAlign w:val="superscript"/>
        </w:rPr>
        <w:t>◦</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rPr>
          <w:vertAlign w:val="superscript"/>
        </w:rPr>
        <w:t>◦</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rPr>
          <w:vertAlign w:val="superscript"/>
        </w:rPr>
        <w:t>◦</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rPr>
          <w:vertAlign w:val="superscript"/>
        </w:rPr>
        <w:t>◦</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rPr>
          <w:vertAlign w:val="superscript"/>
        </w:rPr>
        <w:t>◦</w:t>
      </w:r>
      <w:r>
        <w:t>. Tres de ellos fueron nombrados por los Reales Decretos 260, 262 y 263/2017, de 10 de marzo de 2017, y el cargo dura nueve años</w:t>
      </w:r>
      <w:r>
        <w:rPr>
          <w:vertAlign w:val="superscript"/>
        </w:rPr>
        <w:t>◦</w:t>
      </w:r>
      <w:r>
        <w:t>: el suyo se cumplió el 10 de marzo de 2026. El cuarto fue nombrado por el Real Decreto 757/2024, de 29 de julio, para cubrir una vacante, y la ley lo nombra «por el tiempo que a éste restase»</w:t>
      </w:r>
      <w:r>
        <w:rPr>
          <w:vertAlign w:val="superscript"/>
        </w:rPr>
        <w:t>◦</w:t>
      </w:r>
      <w:r>
        <w:t>; el decreto no dice qué vacante cubre. A 21 de septiembre de 2026, los cuatro seguían en la lista de magistrados del Tribunal, porque la ley les deja continuar «hasta que hayan tomado posesión quienes hubieren de sucederles»</w:t>
      </w:r>
      <w:r>
        <w:rPr>
          <w:vertAlign w:val="superscript"/>
        </w:rPr>
        <w:t>◦</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rPr>
          <w:vertAlign w:val="superscript"/>
        </w:rPr>
        <w:t>◦</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rPr>
          <w:vertAlign w:val="superscript"/>
        </w:rPr>
        <w:t>◦</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rPr>
          <w:vertAlign w:val="superscript"/>
        </w:rPr>
        <w:t>◦</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rPr>
          <w:vertAlign w:val="superscript"/>
        </w:rPr>
        <w:t>◦</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rPr>
          <w:vertAlign w:val="superscript"/>
        </w:rPr>
        <w:t>◦</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rPr>
          <w:vertAlign w:val="superscript"/>
        </w:rPr>
        <w:t>◦</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rPr>
          <w:vertAlign w:val="superscript"/>
        </w:rPr>
        <w:t>◦</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rPr>
          <w:vertAlign w:val="superscript"/>
        </w:rPr>
        <w:t>◦</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rPr>
          <w:vertAlign w:val="superscript"/>
        </w:rPr>
        <w:t>◦</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rPr>
          <w:vertAlign w:val="superscript"/>
        </w:rPr>
        <w:t>◦</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INE, Encuesta de Población Activa</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Agencia Tributaria, Modelo 190</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w:t>
      </w:r>
    </w:p>
    <w:p>
      <w:r>
        <w:t>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w:t>
      </w:r>
    </w:p>
    <w:p>
      <w:r>
        <w:t>Los altos cargos que no son funcionarios cotizan en el Régimen General</w:t>
      </w:r>
      <w:r>
        <w:rPr>
          <w:vertAlign w:val="superscript"/>
        </w:rPr>
        <w:t>◦</w:t>
      </w:r>
      <w:r>
        <w:t>; cuántos son y qué cobran está en C.1.</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p>
    <w:p>
      <w:pPr>
        <w:pStyle w:val="ListBullet"/>
      </w:pPr>
      <w:r>
        <w:rPr>
          <w:i/>
        </w:rPr>
        <w:t>Autónomo con sociedad.</w:t>
      </w:r>
      <w:r>
        <w:t xml:space="preserve"> La capa 4 es el Impuesto de Sociedades real de la sociedad, no una hipótesis; por eso no es comparable capa a capa con los demás perfiles. </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rPr>
          <w:vertAlign w:val="superscript"/>
        </w:rPr>
        <w:t>◦</w:t>
      </w:r>
      <w:r>
        <w:t>. La Orden PJC/297/2026 es coherente con ello: los reservistas voluntarios cotizan por desempleo «salvo cuando sean funcionarios de carrera»</w:t>
      </w:r>
      <w:r>
        <w:rPr>
          <w:vertAlign w:val="superscript"/>
        </w:rPr>
        <w:t>◦</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El cuadro mide lo que el funcionario y su empleador aportan, no lo que costará pagar su pensión ni si lo aportado alcanza.</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rPr>
          <w:vertAlign w:val="superscript"/>
        </w:rPr>
        <w:t>◦</w:t>
      </w:r>
      <w:r>
        <w:t>.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w:t>
      </w:r>
    </w:p>
    <w:p>
      <w:r>
        <w:rPr>
          <w:b/>
        </w:rPr>
        <w:t>El IVA de la vida cotidiana.</w:t>
      </w:r>
      <w:r>
        <w:t xml:space="preserve"> No está solo el de la luz y el agua: es la parte principal de la capa del IVA. La recaudación de IVA sobre el consumo de los hogares fue de 61.289 millones de euros en 2022</w:t>
      </w:r>
      <w:r>
        <w:rPr>
          <w:vertAlign w:val="superscript"/>
        </w:rPr>
        <w:t>◦</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rPr>
          <w:vertAlign w:val="superscript"/>
        </w:rPr>
        <w:t>◦</w:t>
      </w:r>
      <w:r>
        <w:t>.</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rPr>
          <w:vertAlign w:val="superscript"/>
        </w:rPr>
        <w:t>◦</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rPr>
          <w:vertAlign w:val="superscript"/>
        </w:rPr>
        <w:t>◦</w:t>
      </w:r>
      <w:r>
        <w:t>, y supone, por decisión de la obra, que gasta entre el 88 y el 100 % (de 20.525 a 23.324 euros): ese reparto es un supuesto, no un dato.</w:t>
      </w:r>
    </w:p>
    <w:p>
      <w:r>
        <w:rPr>
          <w:b/>
        </w:rPr>
        <w:t>Lo que no está en las capas.</w:t>
      </w:r>
      <w:r>
        <w:t xml:space="preserve"> La nueva tasa de basuras, que ronda los 200 euros por hogar en determinados municipios, según el propio Impuestómetro, que no la suma a la espera de estudios</w:t>
      </w:r>
      <w:r>
        <w:rPr>
          <w:vertAlign w:val="superscript"/>
        </w:rPr>
        <w:t>◦</w:t>
      </w:r>
      <w:r>
        <w:t>; las tasas de ITV y de tráfico; el impuesto de matriculación</w:t>
      </w:r>
      <w:r>
        <w:rPr>
          <w:vertAlign w:val="superscript"/>
        </w:rPr>
        <w:t>◦</w:t>
      </w:r>
      <w:r>
        <w:t>; el impuesto sobre las primas de seguros; el efecto de no deflactar el IRPF, que el informe cuenta como subida encubierta pero no cuantifica en euros; y las tasas y aranceles de notarios y registros.</w:t>
      </w:r>
    </w:p>
    <w:p>
      <w:r>
        <w:rPr>
          <w:b/>
        </w:rPr>
        <w:t>Los tributos de la vida diaria, con lo que consta.</w:t>
      </w:r>
      <w:r>
        <w:t xml:space="preserve"> El IBI tiene un tipo mínimo del 0,4 % y máximo del 1,10 % del valor catastral en los inmuebles urbanos</w:t>
      </w:r>
      <w:r>
        <w:rPr>
          <w:vertAlign w:val="superscript"/>
        </w:rPr>
        <w:t>◦</w:t>
      </w:r>
      <w:r>
        <w:t>. El impuesto sobre vehículos de tracción mecánica tiene una cuota base por caballos fiscales —en turismos, de 12,62 a 112,00 euros— que los ayuntamientos pueden subir con un coeficiente no superior a 2</w:t>
      </w:r>
      <w:r>
        <w:rPr>
          <w:vertAlign w:val="superscript"/>
        </w:rPr>
        <w:t>◦</w:t>
      </w:r>
      <w:r>
        <w:t>; ambos están dentro de los tributos municipales. Del permiso de circulación, las tasas de tráfico, la ITV (cuyas tarifas fijan las comunidades autónomas) y el seguro obligatorio no se han verificado los importes, y no están en las capas: se citan como existentes, sin cifra.</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rPr>
          <w:vertAlign w:val="superscript"/>
        </w:rPr>
        <w:t>◦</w:t>
      </w:r>
      <w:r>
        <w:t>. Son medias por hogar, de unas 2,5 personas, no por trabajador (cálculo de la obra con la nota del INE).</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quien sea autónomo debe tenerla en cuenta aparte. Cuánto cuesta no se ha leído en una fuente oficial: no entra todavía.</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nunca se compara con 100 lo que suma 130,6.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Son euros nominales de 2025 y 2026. Los gastos fijos de vivienda y banco no se restan aquí: son costes de un hogar, no de un individuo, y mezclarían dos bases.</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rPr>
          <w:vertAlign w:val="superscript"/>
        </w:rPr>
        <w:t>◦</w:t>
      </w:r>
      <w:r>
        <w:t>.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rPr>
          <w:vertAlign w:val="superscript"/>
        </w:rPr>
        <w:t>◦</w:t>
      </w:r>
      <w:r>
        <w:t>.</w:t>
      </w:r>
    </w:p>
    <w:p>
      <w:r>
        <w:t>Esa ganancia no está garantizada en 2026. La inflación interanual de agosto de 2026 fue del 4,3 %, la más alta desde febrero de 2023; la media de los últimos doce meses es del 3,1 %</w:t>
      </w:r>
      <w:r>
        <w:rPr>
          <w:vertAlign w:val="superscript"/>
        </w:rPr>
        <w:t>◦</w:t>
      </w:r>
      <w:r>
        <w:t>. El INE atribuye la subida del grupo Transporte, hasta el 9,5 %, «principalmente, al incremento de los precios de los combustibles y lubricantes para vehículos personales»</w:t>
      </w:r>
      <w:r>
        <w:rPr>
          <w:vertAlign w:val="superscript"/>
        </w:rPr>
        <w:t>◦</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rPr>
          <w:vertAlign w:val="superscript"/>
        </w:rPr>
        <w:t>◦</w:t>
      </w:r>
      <w:r>
        <w:t>. Lo que queda tras las capas es una fotografía nominal de un año concreto, y la inflación erosiona ese margen en cada año en que los precios suben más deprisa que el salario.</w:t>
      </w:r>
    </w:p>
    <w:p>
      <w:r>
        <w:rPr>
          <w:b/>
        </w:rPr>
        <w:t>El ahorrador paga tres veces por el mismo dinero.</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rPr>
          <w:vertAlign w:val="superscript"/>
        </w:rPr>
        <w:t>◦</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rPr>
          <w:vertAlign w:val="superscript"/>
        </w:rPr>
        <w:t>◦</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rPr>
          <w:vertAlign w:val="superscript"/>
        </w:rPr>
        <w:t>◦</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rPr>
          <w:vertAlign w:val="superscript"/>
        </w:rPr>
        <w:t>◦</w:t>
      </w:r>
      <w:r>
        <w:t>; su página de autónomos, leída el 7-10-2026, la ofrece sin comisión</w:t>
      </w:r>
      <w:r>
        <w:rPr>
          <w:vertAlign w:val="superscript"/>
        </w:rPr>
        <w:t>◦</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Para ilustrarlo se usan dos importes redondos, no una media: sobre 5.000 euros, el interés de 88,44 no cubre ni la media de ASUFIN (167,27), y quedan −78,83.</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el mecanismo no necesita suponer intención para ser injusto.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se pueden valorar con dos referencias oficiales distintas, para no forzar una sola cifra:</w:t>
      </w:r>
    </w:p>
    <w:p>
      <w:pPr>
        <w:pStyle w:val="ListBullet"/>
      </w:pPr>
      <w:r>
        <w:rPr>
          <w:i/>
        </w:rPr>
        <w:t>Con el salario mínimo de 2026,</w:t>
      </w:r>
      <w:r>
        <w:t xml:space="preserve"> 17.094 euros brutos al año</w:t>
      </w:r>
      <w:r>
        <w:rPr>
          <w:vertAlign w:val="superscript"/>
        </w:rPr>
        <w:t>◦</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p>
    <w:p>
      <w:pPr>
        <w:pStyle w:val="ListBullet"/>
      </w:pPr>
      <w:r>
        <w:rPr>
          <w:i/>
        </w:rPr>
        <w:t>Con el salario medio bruto,</w:t>
      </w:r>
      <w:r>
        <w:t xml:space="preserve"> 29.540,26 euros</w:t>
      </w:r>
      <w:r>
        <w:rPr>
          <w:vertAlign w:val="superscript"/>
        </w:rPr>
        <w:t>◦</w:t>
      </w:r>
      <w:r>
        <w:t xml:space="preserve">, la hora vale unos 16,18 euros y las 226 horas, unos 3.657 euros al año; coherente con la propia estimación de la asociación, de 15 euros la hora y 3.390 al año, que queda entre las dos. </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rPr>
          <w:vertAlign w:val="superscript"/>
        </w:rPr>
        <w:t>◦</w:t>
      </w:r>
      <w:r>
        <w:t>. No incluye la cotización por accidentes de trabajo y enfermedades profesionales, que depende de la actividad.</w:t>
      </w:r>
    </w:p>
    <w:p>
      <w:r>
        <w:t>Sumando esa cotización a las dos referencias: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w:t>
      </w:r>
    </w:p>
    <w:p>
      <w:r>
        <w:rPr>
          <w:b/>
        </w:rPr>
        <w:t>Lo que la ley obliga a publicar.</w:t>
      </w:r>
      <w:r>
        <w:t xml:space="preserve"> Las retribuciones de los altos cargos son públicas</w:t>
      </w:r>
      <w:r>
        <w:rPr>
          <w:vertAlign w:val="superscript"/>
        </w:rPr>
        <w:t>◦</w:t>
      </w:r>
      <w:r>
        <w:t>, y el número y las retribuciones del personal eventual, también</w:t>
      </w:r>
      <w:r>
        <w:rPr>
          <w:vertAlign w:val="superscript"/>
        </w:rPr>
        <w:t>◦</w:t>
      </w:r>
      <w:r>
        <w:t>. Pero la ley deja a cada administración publicar lo suyo: sumarlo exige buscar en fuentes distintas, con formatos, fechas y criterios distintos.</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rPr>
          <w:vertAlign w:val="superscript"/>
        </w:rPr>
        <w:t>◦</w:t>
      </w:r>
      <w:r>
        <w:t>. Los importes de 2024 del Portal suman 64,6 millones (cálculo de la obra); los de los asesores no están en él.</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rPr>
          <w:vertAlign w:val="superscript"/>
        </w:rPr>
        <w:t>◦</w:t>
      </w:r>
      <w:r>
        <w:t>. En enero de 2025 había además 46 en organismos autónomos. Son un mínimo (</w:t>
      </w:r>
      <w:r>
        <w:t>5.1</w:t>
      </w:r>
      <w:r>
        <w:t>). Lo que cuesta el conjunto solo consta en la Presidencia del Gobierno: 18,03 millones al año (</w:t>
      </w:r>
      <w:r>
        <w:t>C.2</w:t>
      </w:r>
      <w:r>
        <w:t>).</w:t>
      </w:r>
    </w:p>
    <w:p>
      <w:r>
        <w:rPr>
          <w:b/>
        </w:rPr>
        <w:t>Cargos electos.</w:t>
      </w:r>
      <w:r>
        <w:t xml:space="preserve"> 350 diputados y 266 senadores en la XV Legislatura. Los 17 parlamentos autonómicos suman 1.212 escaños, y 1.262 con las asambleas de Ceuta y Melilla</w:t>
      </w:r>
      <w:r>
        <w:rPr>
          <w:vertAlign w:val="superscript"/>
        </w:rPr>
        <w:t>◦</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Fuente: ISPA 2025 (retribuciones de 2024), recuento de la obra en sus hojas. La nota del propio ISPA advierte de que los datos los facilitan las entidades, de que los listados no son definitivos y de que no responde de su veracidad.</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rPr>
          <w:vertAlign w:val="superscript"/>
        </w:rPr>
        <w:t>◦</w:t>
      </w:r>
      <w:r>
        <w:t>.</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rPr>
          <w:vertAlign w:val="superscript"/>
        </w:rPr>
        <w:t>◦</w:t>
      </w:r>
      <w:r>
        <w:t>. En enero de 2026 trabajaban para ellas 3.071.725 personas: 546.554 en el Estado, 1.930.273 en las comunidades autónomas y 594.898 en la Administración local</w:t>
      </w:r>
      <w:r>
        <w:rPr>
          <w:vertAlign w:val="superscript"/>
        </w:rPr>
        <w:t>◦</w:t>
      </w:r>
      <w:r>
        <w:t>. Cálculo de la obra, solo como orden de magnitud y con fechas que no coinciden: unos 56.000 euros de coste medio por empleado público al año, cotizaciones incluidas.</w:t>
      </w:r>
    </w:p>
    <w:p>
      <w:r>
        <w:t>Los Presupuestos Generales del Estado de 2023 se han prorrogado en 2024, 2025 y 2026, así que sus cifras siguen vigentes.</w:t>
      </w:r>
    </w:p>
    <w:p>
      <w:r>
        <w:rPr>
          <w:b/>
        </w:rPr>
        <w:t>Lo que se puede desglosar.</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rPr>
          <w:vertAlign w:val="superscript"/>
        </w:rPr>
        <w:t>◦</w:t>
      </w:r>
      <w:r>
        <w:t>. Cálculo de la obra: un senador sin cargo y de fuera de Madrid recibe unos 78.555 euros al año, de los que unos 30.700 están exentos de impuestos. {completo} El diputado recibe una indemnización exenta de 2.162,85 euros al mes, o de 1.032,38 si es elegido por Madrid</w:t>
      </w:r>
      <w:r>
        <w:rPr>
          <w:vertAlign w:val="superscript"/>
        </w:rPr>
        <w:t>◦</w:t>
      </w:r>
      <w:r>
        <w:t>.</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rPr>
          <w:vertAlign w:val="superscript"/>
        </w:rPr>
        <w:t>◦</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rPr>
          <w:vertAlign w:val="superscript"/>
        </w:rPr>
        <w:t>◦</w:t>
      </w:r>
      <w:r>
        <w:t>. Ni el Tribunal de Cuentas ni las cuentas atribuyen ese resultado a que el presupuesto esté congelado.</w:t>
      </w:r>
    </w:p>
    <w:p>
      <w:r>
        <w:t>Lo que no dicen ni su presupuesto ni sus cuentas es cuántas personas trabajan en ella. El presupuesto de 2026 dedica 32.500 euros al personal laboral de la Casa y 1.818.350 a «los complementos que percibe el personal que presta servicio en la Casa»</w:t>
      </w:r>
      <w:r>
        <w:rPr>
          <w:vertAlign w:val="superscript"/>
        </w:rPr>
        <w:t>◦</w:t>
      </w:r>
      <w:r>
        <w:t>; y las cuentas explican que esos complementos «se puedan asignar a otro personal que presta servicio en la Casa»</w:t>
      </w:r>
      <w:r>
        <w:rPr>
          <w:vertAlign w:val="superscript"/>
        </w:rPr>
        <w:t>◦</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rPr>
          <w:vertAlign w:val="superscript"/>
        </w:rPr>
        <w:t>◦</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rPr>
          <w:vertAlign w:val="superscript"/>
        </w:rPr>
        <w:t>◦</w:t>
      </w:r>
      <w:r>
        <w:t>.</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rPr>
          <w:vertAlign w:val="superscript"/>
        </w:rPr>
        <w:t>◦</w:t>
      </w:r>
      <w:r>
        <w:t xml:space="preserve"> y, en la práctica, con la mitad del IRPF</w:t>
      </w:r>
      <w:r>
        <w:rPr>
          <w:vertAlign w:val="superscript"/>
        </w:rPr>
        <w:t>◦</w:t>
      </w:r>
      <w:r>
        <w:t>, además de impuestos cedidos enteros y de los fondos del sistema. Sus entregas a cuenta fueron de 156.990 millones de euros en 2026 y serán de 170.529 millones en 2027</w:t>
      </w:r>
      <w:r>
        <w:rPr>
          <w:vertAlign w:val="superscript"/>
        </w:rPr>
        <w:t>◦</w:t>
      </w:r>
      <w:r>
        <w:t>. El País Vasco y Navarra tienen régimen foral propio, que aquí no se analiza. Los ayuntamientos tienen sus impuestos obligatorios, el de bienes inmuebles, el de actividades económicas y el de vehículos, y otros voluntarios</w:t>
      </w:r>
      <w:r>
        <w:rPr>
          <w:vertAlign w:val="superscript"/>
        </w:rPr>
        <w:t>◦</w:t>
      </w:r>
      <w:r>
        <w:t>, más su participación en los impuestos del Estado: 31.826 millones de entregas a cuenta en 2027, importe provisional</w:t>
      </w:r>
      <w:r>
        <w:rPr>
          <w:vertAlign w:val="superscript"/>
        </w:rPr>
        <w:t>◦</w:t>
      </w:r>
      <w:r>
        <w:t>. Cálculo de la obra, como orden de magnitud: la nómina de las comunidades, 108.023 millones en 2024, equivale a unos dos tercios de lo que reciben del sistema de financiación.</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rPr>
          <w:vertAlign w:val="superscript"/>
        </w:rPr>
        <w:t>◦</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7.2 y 8.6</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Es un hecho que no encaja con la dirección de aquellos cinco años, y se dice.</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Solo se recoge lo verificado en el texto oficial.</w:t>
      </w:r>
    </w:p>
    <w:p>
      <w:r>
        <w:rPr>
          <w:b/>
        </w:rPr>
        <w:t>Cuándo se retira cada uno.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Ley General de la Seguridad Social, art. 205.1.a y disposición transitoria séptima</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Ley de Clases Pasivas, art. 28.2.b</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Ley 39/2007, de la carrera militar, arts. 113.4 y 114.2</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Ley 29/2014, art. 94.1.a; Ley Orgánica 9/2015, art. 5.2.b</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Real Decreto 1449/2018, art. 2</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Ley General de la Seguridad Social, disposiciones adicionales 20.ª, 20.ª bis y 20.ª ter</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Ley 7/1985, de Bases del Régimen Local, art. 75.1 y 75.2</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rPr>
          <w:vertAlign w:val="superscript"/>
        </w:rPr>
        <w:t>◦</w:t>
      </w:r>
      <w:r>
        <w:t>. Esa pensión es mensual, igual a la doceava parte del 80 % de las retribuciones del cargo, durante un plazo igual al tiempo que se desempeñó y con un máximo de veinticuatro mensualidades</w:t>
      </w:r>
      <w:r>
        <w:rPr>
          <w:vertAlign w:val="superscript"/>
        </w:rPr>
        <w:t>◦</w:t>
      </w:r>
      <w:r>
        <w:t>. No es vitalicia: la idea, muy extendida, de un 80 % sin límite de plazo no está en la norma. Lo vitalicio es su condición de consejeros natos del Consejo de Estado, con el estatuto de los consejeros permanentes</w:t>
      </w:r>
      <w:r>
        <w:rPr>
          <w:vertAlign w:val="superscript"/>
        </w:rPr>
        <w:t>◦</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rPr>
          <w:vertAlign w:val="superscript"/>
        </w:rPr>
        <w:t>◦</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rPr>
          <w:vertAlign w:val="superscript"/>
        </w:rPr>
        <w:t>◦</w:t>
      </w:r>
      <w:r>
        <w:t>. El real decreto les reconoce derechos, pero no les fija ninguna obligación.</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rPr>
          <w:vertAlign w:val="superscript"/>
        </w:rPr>
        <w:t>◦</w:t>
      </w:r>
      <w:r>
        <w:t>. En el País Vasco, una pensión vitalicia del 50 % del sueldo anual del cargo al llegar a la edad de jubilación, con al menos dos años en el cargo</w:t>
      </w:r>
      <w:r>
        <w:rPr>
          <w:vertAlign w:val="superscript"/>
        </w:rPr>
        <w:t>◦</w:t>
      </w:r>
      <w:r>
        <w:t>. En Andalucía, la asignación del 60 % desde los 65 años se suprimió en 2011</w:t>
      </w:r>
      <w:r>
        <w:rPr>
          <w:vertAlign w:val="superscript"/>
        </w:rPr>
        <w:t>◦</w:t>
      </w:r>
      <w:r>
        <w:t>, y hoy solo quedan la oficina y la seguridad</w:t>
      </w:r>
      <w:r>
        <w:rPr>
          <w:vertAlign w:val="superscript"/>
        </w:rPr>
        <w:t>◦</w:t>
      </w:r>
      <w:r>
        <w:t>. Las otras catorce comunidades están por investigar.</w:t>
      </w:r>
    </w:p>
    <w:p>
      <w:r>
        <w:rPr>
          <w:b/>
        </w:rPr>
        <w:t>Lectura del autor:</w:t>
      </w:r>
      <w:r>
        <w:t xml:space="preserve"> lo previsible es que las demás sigan una tendencia parecida, aunque Andalucía muestra que estos privilegios también se pueden suprimir.</w:t>
      </w:r>
    </w:p>
    <w:p>
      <w:r>
        <w:rPr>
          <w:b/>
        </w:rPr>
        <w:t>Diputados y senadores.</w:t>
      </w:r>
      <w:r>
        <w:t xml:space="preserve"> Durante el mandato, sus cotizaciones a la Seguridad Social las paga el presupuesto de la Cámara</w:t>
      </w:r>
      <w:r>
        <w:rPr>
          <w:vertAlign w:val="superscript"/>
        </w:rPr>
        <w:t>◦</w:t>
      </w:r>
      <w:r>
        <w:t>. El complemento que elevaba su pensión de jubilación con cargo a los presupuestos de las Cámaras, que exigía haber sido diputado o senador al menos siete años</w:t>
      </w:r>
      <w:r>
        <w:rPr>
          <w:vertAlign w:val="superscript"/>
        </w:rPr>
        <w:t>◦</w:t>
      </w:r>
      <w:r>
        <w:t>, se suprimió en 2011, pero sin efecto retroactivo: lo conservan quienes «el día de la constitución del Congreso de los Diputados y del Senado de la X Legislatura hubieren devengado el derecho»</w:t>
      </w:r>
      <w:r>
        <w:rPr>
          <w:vertAlign w:val="superscript"/>
        </w:rPr>
        <w:t>◦</w:t>
      </w:r>
      <w:r>
        <w:t>. La página de protección social del Congreso fija esa fecha: «se mantiene para quienes hubiesen devengado el derecho a su percepción con anterioridad al 13 de diciembre de 2011»</w:t>
      </w:r>
      <w:r>
        <w:rPr>
          <w:vertAlign w:val="superscript"/>
        </w:rPr>
        <w:t>◦</w:t>
      </w:r>
      <w:r>
        <w:t>. Al cesar, quien haya estado al menos dos años en el cargo cobra, mes a mes, una indemnización equivalente a una mensualidad de la asignación constitucional por cada año de mandato o fracción superior a seis meses, con un máximo de veinticuatro</w:t>
      </w:r>
      <w:r>
        <w:rPr>
          <w:vertAlign w:val="superscript"/>
        </w:rPr>
        <w:t>◦</w:t>
      </w:r>
      <w:r>
        <w:t>; desde la X Legislatura es incompatible con «cualquier retribución, sueldo, salario, pensión, dieta, indemnización o percepción de cualquier naturaleza, sea de carácter público o privado»</w:t>
      </w:r>
      <w:r>
        <w:rPr>
          <w:vertAlign w:val="superscript"/>
        </w:rPr>
        <w:t>◦</w:t>
      </w:r>
      <w:r>
        <w:t>.</w:t>
      </w:r>
    </w:p>
    <w:p>
      <w:r>
        <w:rPr>
          <w:b/>
        </w:rPr>
        <w:t>¿Se les puede despedir?</w:t>
      </w:r>
    </w:p>
    <w:p>
      <w:pPr>
        <w:pStyle w:val="ListBullet"/>
      </w:pPr>
      <w:r>
        <w:rPr>
          <w:i/>
        </w:rPr>
        <w:t>Asalariado:</w:t>
      </w:r>
      <w:r>
        <w:t xml:space="preserve"> sí, con indemnización tasada (</w:t>
      </w:r>
      <w:r>
        <w:t>8.6</w:t>
      </w:r>
      <w:r>
        <w:t>): por causas objetivas, 20 días de salario por año trabajado, con un máximo de doce mensualidades</w:t>
      </w:r>
      <w:r>
        <w:rPr>
          <w:vertAlign w:val="superscript"/>
        </w:rPr>
        <w:t>◦</w:t>
      </w:r>
      <w:r>
        <w:t xml:space="preserve">. </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rPr>
          <w:vertAlign w:val="superscript"/>
        </w:rPr>
        <w:t>◦</w:t>
      </w:r>
      <w:r>
        <w:t>. El personal laboral de la Administración sí puede ser despedido, por falta muy grave</w:t>
      </w:r>
      <w:r>
        <w:rPr>
          <w:vertAlign w:val="superscript"/>
        </w:rPr>
        <w:t>◦</w:t>
      </w:r>
      <w:r>
        <w:t xml:space="preserve"> o por las causas del Estatuto de los Trabajadores. </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p>
    <w:p>
      <w:pPr>
        <w:pStyle w:val="ListBullet"/>
      </w:pPr>
      <w:r>
        <w:rPr>
          <w:i/>
        </w:rPr>
        <w:t>Gobierno y alcaldes:</w:t>
      </w:r>
      <w:r>
        <w:t xml:space="preserve"> al Gobierno lo puede hacer caer el Congreso con una moción de censura aprobada por mayoría absoluta</w:t>
      </w:r>
      <w:r>
        <w:rPr>
          <w:vertAlign w:val="superscript"/>
        </w:rPr>
        <w:t>◦</w:t>
      </w:r>
      <w:r>
        <w:t>; al alcalde, una moción de censura de los concejales</w:t>
      </w:r>
      <w:r>
        <w:rPr>
          <w:vertAlign w:val="superscript"/>
        </w:rPr>
        <w:t>◦</w:t>
      </w:r>
      <w:r>
        <w:t xml:space="preserve">. </w:t>
      </w:r>
    </w:p>
    <w:p>
      <w:r>
        <w:t xml:space="preserve">La evaluación del desempeño que la ley exige a todas las administraciones, y la regla transitoria que la sustituye en la del Estado, se explican en </w:t>
      </w:r>
      <w:r>
        <w:t>5.1</w:t>
      </w:r>
      <w:r>
        <w:t>.</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r>
        <w:rPr>
          <w:b/>
        </w:rPr>
        <w:t>Lectura del autor:</w:t>
      </w:r>
      <w:r>
        <w:t xml:space="preserve"> la brecha entre unos regímenes y otros es desproporcionada.</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p>
    <w:p>
      <w:r>
        <w:t>Fuente: Ministerio de Inclusión, Seguridad Social y Migraciones, nota de pensiones de 25-9-2026, que incluye los datos de Clases Pasivas de agosto.</w:t>
      </w:r>
    </w:p>
    <w:p>
      <w:r>
        <w:t>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rPr>
          <w:vertAlign w:val="superscript"/>
        </w:rPr>
        <w:t>◦</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un nombre que sugiere una cosa, y una norma que dice otra; describirla no exige suponer intención.</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p>
    <w:p>
      <w:pPr>
        <w:pStyle w:val="ListBullet"/>
      </w:pPr>
      <w:r>
        <w:rPr>
          <w:i/>
        </w:rPr>
        <w:t>B. Clases Pasivas:</w:t>
      </w:r>
      <w:r>
        <w:t xml:space="preserve"> funcionarios del Estado que ingresaron antes de 2011. Unos 1.774 millones al mes: el 6,6 % de las pensiones y el 10,9 % de la nómina. </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rPr>
          <w:vertAlign w:val="superscript"/>
        </w:rPr>
        <w:t>◦</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p>
    <w:p>
      <w:pPr>
        <w:pStyle w:val="ListBullet"/>
      </w:pPr>
      <w:r>
        <w:rPr>
          <w:b/>
        </w:rPr>
        <w:t>Base legal:</w:t>
      </w:r>
      <w:r>
        <w:t xml:space="preserve"> Constitución, art. 29; Ley Orgánica 4/2001, reguladora del derecho de petición, arts. 4, 9 y 11. </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 xml:space="preserve">Expediente o referencia: </w:t>
      </w:r>
      <w:r>
        <w:rPr>
          <w:i/>
          <w:color w:val="6B665E"/>
        </w:rPr>
        <w:t xml:space="preserve">Remitente: [nombre y apellidos completos, tal como constan en el DNI] · DNI [número] · Domicilio a efectos de notificaciones: </w:t>
      </w:r>
      <w:r>
        <w:rPr>
          <w:i/>
          <w:color w:val="6B665E"/>
        </w:rPr>
        <w:t>Fecha: [día, mes, año] · Lugar:</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lo pedido tiene otro procedimiento específico o es ajeno a sus atribuciones</w:t>
      </w:r>
      <w:r>
        <w:rPr>
          <w:vertAlign w:val="superscript"/>
        </w:rPr>
        <w:t>◦</w:t>
      </w:r>
      <w:r>
        <w:t xml:space="preserve">, o una contestación genérica que no responde a lo pedido. Las cinco respuestas posibles, con lo que contesta la obra, están en </w:t>
      </w:r>
      <w:r>
        <w:t>10.4</w:t>
      </w:r>
      <w:r>
        <w:t>.</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rPr>
          <w:vertAlign w:val="superscript"/>
        </w:rPr>
        <w:t>◦</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rPr>
          <w:vertAlign w:val="superscript"/>
        </w:rPr>
        <w:t>◦</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p>
    <w:p>
      <w:pPr>
        <w:pStyle w:val="ListBullet"/>
      </w:pPr>
      <w:r>
        <w:rPr>
          <w:b/>
        </w:rPr>
        <w:t>Base legal:</w:t>
      </w:r>
      <w:r>
        <w:t xml:space="preserve"> Ley 19/2013, de transparencia, acceso a la información pública y buen gobierno, arts. 12, 17, 20 y 24. </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En [lugar], a [fecha]. Firma:</w:t>
      </w:r>
    </w:p>
    <w:p>
      <w:r>
        <w:rPr>
          <w:b/>
        </w:rPr>
        <w:t>La respuesta probable de la Administración:</w:t>
      </w:r>
      <w:r>
        <w:t xml:space="preserve"> que la información está protegida por algún límite legal</w:t>
      </w:r>
      <w:r>
        <w:rPr>
          <w:vertAlign w:val="superscript"/>
        </w:rPr>
        <w:t>◦</w:t>
      </w:r>
      <w:r>
        <w:t>, que exige una «reelaboración»</w:t>
      </w:r>
      <w:r>
        <w:rPr>
          <w:vertAlign w:val="superscript"/>
        </w:rPr>
        <w:t>◦</w:t>
      </w:r>
      <w:r>
        <w:t xml:space="preserve"> o que ya está publicada en otro sitio.</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rPr>
          <w:vertAlign w:val="superscript"/>
        </w:rPr>
        <w:t>◦</w:t>
      </w:r>
      <w:r>
        <w:t>, y la denegación debe ser motivada</w:t>
      </w:r>
      <w:r>
        <w:rPr>
          <w:vertAlign w:val="superscript"/>
        </w:rPr>
        <w:t>◦</w:t>
      </w:r>
      <w:r>
        <w:t>.</w:t>
      </w:r>
    </w:p>
    <w:p>
      <w:pPr>
        <w:spacing w:after="60"/>
        <w:ind w:left="510" w:hanging="397"/>
      </w:pPr>
      <w:r>
        <w:rPr>
          <w:b w:val="0"/>
        </w:rPr>
        <w:t xml:space="preserve">2. </w:t>
      </w:r>
      <w:r>
        <w:t>Si el límite afecta solo a una parte, hay que dar acceso al resto</w:t>
      </w:r>
      <w:r>
        <w:rPr>
          <w:vertAlign w:val="superscript"/>
        </w:rPr>
        <w:t>◦</w:t>
      </w:r>
      <w:r>
        <w:t>.</w:t>
      </w:r>
    </w:p>
    <w:p>
      <w:pPr>
        <w:spacing w:after="60"/>
        <w:ind w:left="510" w:hanging="397"/>
      </w:pPr>
      <w:r>
        <w:rPr>
          <w:b w:val="0"/>
        </w:rPr>
        <w:t xml:space="preserve">3. </w:t>
      </w:r>
      <w:r>
        <w:t>Contra la denegación o el silencio cabe reclamación ante el Consejo de Transparencia en un mes</w:t>
      </w:r>
      <w:r>
        <w:rPr>
          <w:vertAlign w:val="superscript"/>
        </w:rPr>
        <w:t>◦</w:t>
      </w:r>
      <w:r>
        <w:t>. La obra ya documentó el patrón: cada dato publicado por separado, nunca la suma (</w:t>
      </w:r>
      <w:r>
        <w:t>8.6</w:t>
      </w:r>
      <w:r>
        <w:t>).</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rPr>
          <w:vertAlign w:val="superscript"/>
        </w:rPr>
        <w:t>◦</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rPr>
          <w:vertAlign w:val="superscript"/>
        </w:rPr>
        <w:t>◦</w:t>
      </w:r>
      <w:r>
        <w:t>, y en todo procedimiento sancionador el ciudadano tiene derecho a «la presunción de no existencia de responsabilidad administrativa mientras no se demuestre lo contrario»</w:t>
      </w:r>
      <w:r>
        <w:rPr>
          <w:vertAlign w:val="superscript"/>
        </w:rPr>
        <w:t>◦</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rPr>
          <w:vertAlign w:val="superscript"/>
        </w:rPr>
        <w:t>◦</w:t>
      </w:r>
      <w:r>
        <w:t>, y a copia del expediente, con las pruebas en que se basa</w:t>
      </w:r>
      <w:r>
        <w:rPr>
          <w:vertAlign w:val="superscript"/>
        </w:rPr>
        <w:t>◦</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p>
    <w:p>
      <w:pPr>
        <w:pStyle w:val="ListBullet"/>
      </w:pPr>
      <w:r>
        <w:rPr>
          <w:b/>
        </w:rPr>
        <w:t>Cuándo usarlo:</w:t>
      </w:r>
      <w:r>
        <w:t xml:space="preserve"> cuando Hacienda reclama una deuda tributaria, la pasa a apremio o embarga bienes o cuentas. </w:t>
      </w:r>
    </w:p>
    <w:p>
      <w:pPr>
        <w:pStyle w:val="ListBullet"/>
      </w:pPr>
      <w:r>
        <w:rPr>
          <w:b/>
        </w:rPr>
        <w:t>Base legal:</w:t>
      </w:r>
      <w:r>
        <w:t xml:space="preserve"> Ley 58/2003, General Tributaria, arts. 167.3, 170.3, 223, 224 y 235. </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En [lugar], a [fecha]. Firma:</w:t>
      </w:r>
    </w:p>
    <w:p>
      <w:r>
        <w:rPr>
          <w:b/>
        </w:rPr>
        <w:t>La respuesta probable de la Administración:</w:t>
      </w:r>
      <w:r>
        <w:t xml:space="preserve"> que el motivo alegado no está entre los admitidos por la ley</w:t>
      </w:r>
      <w:r>
        <w:rPr>
          <w:vertAlign w:val="superscript"/>
        </w:rPr>
        <w:t>◦</w:t>
      </w:r>
      <w:r>
        <w:t>, que el recurso no suspende el cobro y que el embargo sigue adelante.</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rPr>
          <w:vertAlign w:val="superscript"/>
        </w:rPr>
        <w:t>◦</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rPr>
          <w:vertAlign w:val="superscript"/>
        </w:rPr>
        <w:t>◦</w:t>
      </w:r>
      <w:r>
        <w:t>: pedir siempre la prueba de la notificación.</w:t>
      </w:r>
    </w:p>
    <w:p>
      <w:pPr>
        <w:spacing w:after="60"/>
        <w:ind w:left="510" w:hanging="397"/>
      </w:pPr>
      <w:r>
        <w:rPr>
          <w:b w:val="0"/>
        </w:rPr>
        <w:t xml:space="preserve">3. </w:t>
      </w:r>
      <w:r>
        <w:t>El espejo: si Hacienda devuelve tarde, debe intereses sin que se le pidan</w:t>
      </w:r>
      <w:r>
        <w:rPr>
          <w:vertAlign w:val="superscript"/>
        </w:rPr>
        <w:t>◦</w:t>
      </w:r>
      <w:r>
        <w:t xml:space="preserve"> (</w:t>
      </w:r>
      <w:r>
        <w:t>D.11</w:t>
      </w:r>
      <w:r>
        <w:t>), y el recargo se aplica solo al ciudadano, sin que la obra haya hallado una justificación oficial de por qué existe en una sola dirección (</w:t>
      </w:r>
      <w:r>
        <w:t>7.6</w:t>
      </w:r>
      <w:r>
        <w:t xml:space="preserve">; </w:t>
      </w:r>
      <w:r>
        <w:t>cargo 13</w:t>
      </w:r>
      <w:r>
        <w:t>).</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p>
    <w:p>
      <w:pPr>
        <w:pStyle w:val="ListBullet"/>
      </w:pPr>
      <w:r>
        <w:rPr>
          <w:b/>
        </w:rPr>
        <w:t>Cuándo usarlo:</w:t>
      </w:r>
      <w:r>
        <w:t xml:space="preserve"> cuando la Administración está obligada a dar algo concreto a una persona, por una norma, un acto o un contrato, y no lo da. </w:t>
      </w:r>
    </w:p>
    <w:p>
      <w:pPr>
        <w:pStyle w:val="ListBullet"/>
      </w:pPr>
      <w:r>
        <w:rPr>
          <w:b/>
        </w:rPr>
        <w:t>Base legal:</w:t>
      </w:r>
      <w:r>
        <w:t xml:space="preserve"> Ley 29/1998, de la Jurisdicción Contencioso-administrativa, art. 29.1; Ley 39/2015, art. 21 (obligación de resolver). </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En [lugar], a [fecha]. Firma:</w:t>
      </w:r>
    </w:p>
    <w:p>
      <w:r>
        <w:rPr>
          <w:b/>
        </w:rPr>
        <w:t>La respuesta probable de la Administración:</w:t>
      </w:r>
      <w:r>
        <w:t xml:space="preserve"> silencio, o que no existe una «prestación concreta» a la que la Administración esté obligada.</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rPr>
          <w:vertAlign w:val="superscript"/>
        </w:rPr>
        <w:t>◦</w:t>
      </w:r>
      <w:r>
        <w:t>, y quien despacha el asunto es directamente responsable de hacerlo en plazo</w:t>
      </w:r>
      <w:r>
        <w:rPr>
          <w:vertAlign w:val="superscript"/>
        </w:rPr>
        <w:t>◦</w:t>
      </w:r>
      <w:r>
        <w:t>.</w:t>
      </w:r>
    </w:p>
    <w:p>
      <w:pPr>
        <w:spacing w:after="60"/>
        <w:ind w:left="510" w:hanging="397"/>
      </w:pPr>
      <w:r>
        <w:rPr>
          <w:b w:val="0"/>
        </w:rPr>
        <w:t xml:space="preserve">3. </w:t>
      </w:r>
      <w:r>
        <w:t>Pasados tres meses, queda el recurso contencioso contra la inactividad</w:t>
      </w:r>
      <w:r>
        <w:rPr>
          <w:vertAlign w:val="superscript"/>
        </w:rPr>
        <w:t>◦</w:t>
      </w:r>
      <w:r>
        <w:t>, y el silencio se archiva en el Registro (</w:t>
      </w:r>
      <w:r>
        <w:t>10.8</w:t>
      </w:r>
      <w:r>
        <w:t>).</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p>
    <w:p>
      <w:pPr>
        <w:pStyle w:val="ListBullet"/>
      </w:pPr>
      <w:r>
        <w:rPr>
          <w:b/>
        </w:rPr>
        <w:t>Cuándo usarlo:</w:t>
      </w:r>
      <w:r>
        <w:t xml:space="preserve"> cuando una administración ha actuado mal o no ha respondido, y se quiere que una institución independiente lo investigue. </w:t>
      </w:r>
    </w:p>
    <w:p>
      <w:pPr>
        <w:pStyle w:val="ListBullet"/>
      </w:pPr>
      <w:r>
        <w:rPr>
          <w:b/>
        </w:rPr>
        <w:t>Base legal:</w:t>
      </w:r>
      <w:r>
        <w:t xml:space="preserve"> Ley Orgánica 3/1981, del Defensor del Pueblo, art. 15. </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En [lugar], a [fecha]. Firma:</w:t>
      </w:r>
    </w:p>
    <w:p>
      <w:r>
        <w:rPr>
          <w:b/>
        </w:rPr>
        <w:t>La respuesta probable de la Administración:</w:t>
      </w:r>
      <w:r>
        <w:t xml:space="preserve"> que no entra en el caso porque está pendiente de resolución judicial</w:t>
      </w:r>
      <w:r>
        <w:rPr>
          <w:vertAlign w:val="superscript"/>
        </w:rPr>
        <w:t>◦</w:t>
      </w:r>
      <w:r>
        <w:t>, o que lo remite a la administración afectada.</w:t>
      </w:r>
    </w:p>
    <w:p>
      <w:r>
        <w:rPr>
          <w:i/>
        </w:rPr>
        <w:t>La respuesta de la obra:</w:t>
      </w:r>
    </w:p>
    <w:p>
      <w:pPr>
        <w:spacing w:after="60"/>
        <w:ind w:left="510" w:hanging="397"/>
      </w:pPr>
      <w:r>
        <w:rPr>
          <w:b w:val="0"/>
        </w:rPr>
        <w:t xml:space="preserve">1. </w:t>
      </w:r>
      <w:r>
        <w:t>El rechazo tiene que hacerse por escrito motivado, y puede informar de las vías más oportunas</w:t>
      </w:r>
      <w:r>
        <w:rPr>
          <w:vertAlign w:val="superscript"/>
        </w:rPr>
        <w:t>◦</w:t>
      </w:r>
      <w:r>
        <w:t>: pedir siempre esa motivación.</w:t>
      </w:r>
    </w:p>
    <w:p>
      <w:pPr>
        <w:spacing w:after="60"/>
        <w:ind w:left="510" w:hanging="397"/>
      </w:pPr>
      <w:r>
        <w:rPr>
          <w:b w:val="0"/>
        </w:rPr>
        <w:t xml:space="preserve">2. </w:t>
      </w:r>
      <w:r>
        <w:t>La queja es gratuita, no necesita abogado y siempre se acusa recibo</w:t>
      </w:r>
      <w:r>
        <w:rPr>
          <w:vertAlign w:val="superscript"/>
        </w:rPr>
        <w:t>◦</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p>
    <w:p>
      <w:pPr>
        <w:pStyle w:val="ListBullet"/>
      </w:pPr>
      <w:r>
        <w:rPr>
          <w:b/>
        </w:rPr>
        <w:t>Cuándo usarlo:</w:t>
      </w:r>
      <w:r>
        <w:t xml:space="preserve"> para dejar escrito que el consentimiento que el sistema presume nunca se ha dado, y archivarlo en el Registro (</w:t>
      </w:r>
      <w:r>
        <w:t>10.8</w:t>
      </w:r>
      <w:r>
        <w:t xml:space="preserve">). </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En [lugar], a [fecha]. Firma:</w:t>
      </w:r>
    </w:p>
    <w:p>
      <w:r>
        <w:rPr>
          <w:b/>
        </w:rPr>
        <w:t>La respuesta probable de la Administración:</w:t>
      </w:r>
      <w:r>
        <w:t xml:space="preserve"> ninguna respuesta, o que el documento «carece de efectos jurídicos», o tratarlo como un escrito pseudolegal.</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rPr>
          <w:vertAlign w:val="superscript"/>
        </w:rPr>
        <w:t>◦</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rPr>
          <w:vertAlign w:val="superscript"/>
        </w:rPr>
        <w:t>◦</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rPr>
          <w:vertAlign w:val="superscript"/>
        </w:rPr>
        <w:t>◦</w:t>
      </w:r>
      <w:r>
        <w:t>; y en todos, a identificar al personal responsable y a dar copia del expediente</w:t>
      </w:r>
      <w:r>
        <w:rPr>
          <w:vertAlign w:val="superscript"/>
        </w:rPr>
        <w:t>◦</w:t>
      </w:r>
      <w:r>
        <w:t>.</w:t>
      </w:r>
    </w:p>
    <w:p>
      <w:pPr>
        <w:spacing w:after="60"/>
        <w:ind w:left="510" w:hanging="397"/>
      </w:pPr>
      <w:r>
        <w:rPr>
          <w:b w:val="0"/>
        </w:rPr>
        <w:t xml:space="preserve">3. </w:t>
      </w:r>
      <w:r>
        <w:t>La presunción de validez admite prueba en contrario, y los actos de un órgano manifiestamente incompetente son nulos</w:t>
      </w:r>
      <w:r>
        <w:rPr>
          <w:vertAlign w:val="superscript"/>
        </w:rPr>
        <w:t>◦</w:t>
      </w:r>
      <w:r>
        <w:t>. Si no contesta, D.10.</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rPr>
          <w:vertAlign w:val="superscript"/>
        </w:rPr>
        <w:t>◦</w:t>
      </w:r>
      <w:r>
        <w:t>. Y la ley dice cuándo vale: las presunciones que la ley establece eximen de probar el hecho presunto, pero «sólo serán admisibles cuando la certeza del hecho indicio del que parte la presunción haya quedado establecida mediante admisión o prueba»</w:t>
      </w:r>
      <w:r>
        <w:rPr>
          <w:vertAlign w:val="superscript"/>
        </w:rPr>
        <w:t>◦</w:t>
      </w:r>
      <w:r>
        <w:t>, y admiten prueba en contrario, salvo que la ley lo prohíba expresamente</w:t>
      </w:r>
      <w:r>
        <w:rPr>
          <w:vertAlign w:val="superscript"/>
        </w:rPr>
        <w:t>◦</w:t>
      </w:r>
      <w:r>
        <w:t>. Esa ley se aplica también, en lo que no regulen las suyas, a los procesos contencioso-administrativos</w:t>
      </w:r>
      <w:r>
        <w:rPr>
          <w:vertAlign w:val="superscript"/>
        </w:rPr>
        <w:t>◦</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rPr>
          <w:vertAlign w:val="superscript"/>
        </w:rPr>
        <w:t>◦</w:t>
      </w:r>
      <w:r>
        <w:t>.</w:t>
      </w:r>
    </w:p>
    <w:p>
      <w:r>
        <w:rPr>
          <w:i/>
        </w:rPr>
        <w:t>La respuesta de la obra:</w:t>
      </w:r>
    </w:p>
    <w:p>
      <w:pPr>
        <w:spacing w:after="60"/>
        <w:ind w:left="510" w:hanging="397"/>
      </w:pPr>
      <w:r>
        <w:rPr>
          <w:b w:val="0"/>
        </w:rPr>
        <w:t xml:space="preserve">1. </w:t>
      </w:r>
      <w:r>
        <w:t>La inadmisión tiene que ser motivada y en cuarenta y cinco días hábiles</w:t>
      </w:r>
      <w:r>
        <w:rPr>
          <w:vertAlign w:val="superscript"/>
        </w:rPr>
        <w:t>◦</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rPr>
          <w:vertAlign w:val="superscript"/>
        </w:rPr>
        <w:t>◦</w:t>
      </w:r>
      <w:r>
        <w:t>, y su incumplimiento da lugar a responsabilidad disciplinaria</w:t>
      </w:r>
      <w:r>
        <w:rPr>
          <w:vertAlign w:val="superscript"/>
        </w:rPr>
        <w:t>◦</w:t>
      </w:r>
      <w:r>
        <w:t>.</w:t>
      </w:r>
    </w:p>
    <w:p>
      <w:pPr>
        <w:spacing w:after="60"/>
        <w:ind w:left="510" w:hanging="397"/>
      </w:pPr>
      <w:r>
        <w:rPr>
          <w:b w:val="0"/>
        </w:rPr>
        <w:t xml:space="preserve">2. </w:t>
      </w:r>
      <w:r>
        <w:t>Se puede pedir a la Administración de la que depende el personal que exija esa responsabilidad</w:t>
      </w:r>
      <w:r>
        <w:rPr>
          <w:vertAlign w:val="superscript"/>
        </w:rPr>
        <w:t>◦</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rPr>
          <w:vertAlign w:val="superscript"/>
        </w:rPr>
        <w:t>◦</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rPr>
          <w:vertAlign w:val="superscript"/>
        </w:rPr>
        <w:t>◦</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rPr>
          <w:vertAlign w:val="superscript"/>
        </w:rPr>
        <w:t>◦</w:t>
      </w:r>
      <w:r>
        <w:t>.</w:t>
      </w:r>
    </w:p>
    <w:p>
      <w:pPr>
        <w:spacing w:after="60"/>
        <w:ind w:left="510" w:hanging="397"/>
      </w:pPr>
      <w:r>
        <w:rPr>
          <w:b w:val="0"/>
        </w:rPr>
        <w:t xml:space="preserve">3. </w:t>
      </w:r>
      <w:r>
        <w:t>El espejo: al ciudadano el recargo se le aplica sin preguntar por qué pagó tarde</w:t>
      </w:r>
      <w:r>
        <w:rPr>
          <w:vertAlign w:val="superscript"/>
        </w:rPr>
        <w:t>◦</w:t>
      </w:r>
      <w:r>
        <w:t xml:space="preserve"> (</w:t>
      </w:r>
      <w:r>
        <w:t>7.6</w:t>
      </w:r>
      <w:r>
        <w:t>). Contra la negativa, recurso de reposición en un mes</w:t>
      </w:r>
      <w:r>
        <w:rPr>
          <w:vertAlign w:val="superscript"/>
        </w:rPr>
        <w:t>◦</w:t>
      </w:r>
      <w:r>
        <w:t>.</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p>
    <w:p>
      <w:pPr>
        <w:pStyle w:val="ListBullet"/>
      </w:pPr>
      <w:r>
        <w:rPr>
          <w:b/>
        </w:rPr>
        <w:t>Base legal:</w:t>
      </w:r>
      <w:r>
        <w:t xml:space="preserve"> Ley 40/2015, del Régimen Jurídico del Sector Público, arts. 32 y 36.1; Ley 39/2015, arts. 67.1, 67.2 y 91.3. </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En [lugar], a [fecha]. Firma:</w:t>
      </w:r>
    </w:p>
    <w:p>
      <w:r>
        <w:rPr>
          <w:b/>
        </w:rPr>
        <w:t>La respuesta probable de la Administración:</w:t>
      </w:r>
      <w:r>
        <w:t xml:space="preserve"> que el daño es de los que el ciudadano «tiene el deber jurídico de soportar», que no hay relación de causalidad, que ha prescrito, o el silencio a los seis meses.</w:t>
      </w:r>
    </w:p>
    <w:p>
      <w:r>
        <w:rPr>
          <w:i/>
        </w:rPr>
        <w:t>La respuesta de la obra:</w:t>
      </w:r>
    </w:p>
    <w:p>
      <w:pPr>
        <w:spacing w:after="60"/>
        <w:ind w:left="510" w:hanging="397"/>
      </w:pPr>
      <w:r>
        <w:rPr>
          <w:b w:val="0"/>
        </w:rPr>
        <w:t xml:space="preserve">1. </w:t>
      </w:r>
      <w:r>
        <w:t>El daño tiene que ser efectivo, evaluable e individualizado</w:t>
      </w:r>
      <w:r>
        <w:rPr>
          <w:vertAlign w:val="superscript"/>
        </w:rPr>
        <w:t>◦</w:t>
      </w:r>
      <w:r>
        <w:t>: documentarlo desde el primer día y presentar la reclamación antes de que pase un año</w:t>
      </w:r>
      <w:r>
        <w:rPr>
          <w:vertAlign w:val="superscript"/>
        </w:rPr>
        <w:t>◦</w:t>
      </w:r>
      <w:r>
        <w:t>.</w:t>
      </w:r>
    </w:p>
    <w:p>
      <w:pPr>
        <w:spacing w:after="60"/>
        <w:ind w:left="510" w:hanging="397"/>
      </w:pPr>
      <w:r>
        <w:rPr>
          <w:b w:val="0"/>
        </w:rPr>
        <w:t xml:space="preserve">2. </w:t>
      </w:r>
      <w:r>
        <w:t>Con sinceridad: la anulación de un acto no da por sí sola derecho a indemnización</w:t>
      </w:r>
      <w:r>
        <w:rPr>
          <w:vertAlign w:val="superscript"/>
        </w:rPr>
        <w:t>◦</w:t>
      </w:r>
      <w:r>
        <w:t>; hay que probar el daño y la relación con el servicio.</w:t>
      </w:r>
    </w:p>
    <w:p>
      <w:pPr>
        <w:spacing w:after="60"/>
        <w:ind w:left="510" w:hanging="397"/>
      </w:pPr>
      <w:r>
        <w:rPr>
          <w:b w:val="0"/>
        </w:rPr>
        <w:t xml:space="preserve">3. </w:t>
      </w:r>
      <w:r>
        <w:t>Si a los seis meses no hay resolución, se entiende desestimada</w:t>
      </w:r>
      <w:r>
        <w:rPr>
          <w:vertAlign w:val="superscript"/>
        </w:rPr>
        <w:t>◦</w:t>
      </w:r>
      <w:r>
        <w:t xml:space="preserve"> y queda la vía contencioso-administrativa; la respuesta, o el silencio, se archivan en el Registro (</w:t>
      </w:r>
      <w:r>
        <w:t>10.8</w:t>
      </w:r>
      <w:r>
        <w:t>).</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aquí no se repite. Cada presunción lleva entre paréntesis el apartado de la obra que la explica; en el escrito que se presente, esos paréntesis se quitan.</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rPr>
          <w:vertAlign w:val="superscript"/>
        </w:rPr>
        <w:t>◦</w:t>
      </w:r>
      <w:r>
        <w:t>; en los municipios, provincias e islas, la ley les reconoce «La presunción de legitimidad y la ejecutividad de sus actos»</w:t>
      </w:r>
      <w:r>
        <w:rPr>
          <w:vertAlign w:val="superscript"/>
        </w:rPr>
        <w:t>◦</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rPr>
          <w:vertAlign w:val="superscript"/>
        </w:rPr>
        <w:t>◦</w:t>
      </w:r>
      <w:r>
        <w:t>, y la Administración puede ejecutarlos por sí misma, previo apercibimiento</w:t>
      </w:r>
      <w:r>
        <w:rPr>
          <w:vertAlign w:val="superscript"/>
        </w:rPr>
        <w:t>◦</w:t>
      </w:r>
      <w:r>
        <w:t>; la providencia de apremio «tendrá la misma fuerza ejecutiva que la sentencia judicial»</w:t>
      </w:r>
      <w:r>
        <w:rPr>
          <w:vertAlign w:val="superscript"/>
        </w:rPr>
        <w:t>◦</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rPr>
          <w:vertAlign w:val="superscript"/>
        </w:rPr>
        <w:t>◦</w:t>
      </w:r>
      <w:r>
        <w:t>; las denuncias de los agentes de tráfico «tendrán valor probatorio, salvo prueba en contrario»</w:t>
      </w:r>
      <w:r>
        <w:rPr>
          <w:vertAlign w:val="superscript"/>
        </w:rPr>
        <w:t>◦</w:t>
      </w:r>
      <w:r>
        <w:t>; las actas de la inspección de los tributos «hacen prueba de los hechos que motiven su formalización, salvo que se acredite lo contrario»</w:t>
      </w:r>
      <w:r>
        <w:rPr>
          <w:vertAlign w:val="superscript"/>
        </w:rPr>
        <w:t>◦</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rPr>
          <w:vertAlign w:val="superscript"/>
        </w:rPr>
        <w:t>◦</w:t>
      </w:r>
      <w:r>
        <w:t>, y lo que acepta en un acta de inspección se presume cierto y solo puede rectificarse probando un error de hecho</w:t>
      </w:r>
      <w:r>
        <w:rPr>
          <w:vertAlign w:val="superscript"/>
        </w:rPr>
        <w:t>◦</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rPr>
          <w:vertAlign w:val="superscript"/>
        </w:rPr>
        <w:t>◦</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rPr>
          <w:vertAlign w:val="superscript"/>
        </w:rPr>
        <w:t>◦</w:t>
      </w:r>
      <w:r>
        <w:t>, y la de tráfico publicada en el BOE se entenderá practicada a los veinte días naturales</w:t>
      </w:r>
      <w:r>
        <w:rPr>
          <w:vertAlign w:val="superscript"/>
        </w:rPr>
        <w:t>◦</w:t>
      </w:r>
      <w:r>
        <w:t>.</w:t>
      </w:r>
    </w:p>
    <w:p>
      <w:pPr>
        <w:spacing w:after="60"/>
        <w:ind w:left="510" w:hanging="397"/>
      </w:pPr>
      <w:r>
        <w:rPr>
          <w:b w:val="0"/>
        </w:rPr>
        <w:t xml:space="preserve">7. </w:t>
      </w:r>
      <w:r>
        <w:rPr>
          <w:b/>
        </w:rPr>
        <w:t>El silencio que dice no.</w:t>
      </w:r>
      <w:r>
        <w:t xml:space="preserve"> En el derecho de petición, el silencio tiene efecto desestimatorio</w:t>
      </w:r>
      <w:r>
        <w:rPr>
          <w:vertAlign w:val="superscript"/>
        </w:rPr>
        <w:t>◦</w:t>
      </w:r>
      <w:r>
        <w:t>, y en el acceso a la información pública, la solicitud sin respuesta «se entenderá que […] ha sido desestimada»</w:t>
      </w:r>
      <w:r>
        <w:rPr>
          <w:vertAlign w:val="superscript"/>
        </w:rPr>
        <w:t>◦</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rPr>
          <w:vertAlign w:val="superscript"/>
        </w:rPr>
        <w:t>◦</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rPr>
          <w:vertAlign w:val="superscript"/>
        </w:rPr>
        <w:t>◦</w:t>
      </w:r>
      <w:r>
        <w:t>, y en todo procedimiento sancionador, «a la presunción de no existencia de responsabilidad administrativa mientras no se demuestre lo contrario»</w:t>
      </w:r>
      <w:r>
        <w:rPr>
          <w:vertAlign w:val="superscript"/>
        </w:rPr>
        <w:t>◦</w:t>
      </w:r>
      <w:r>
        <w:t>.</w:t>
      </w:r>
    </w:p>
    <w:p>
      <w:pPr>
        <w:pStyle w:val="ListBullet"/>
      </w:pPr>
      <w:r>
        <w:t>«La buena fe se presume siempre, y al que afirma la mala fe de un poseedor corresponde la prueba»</w:t>
      </w:r>
      <w:r>
        <w:rPr>
          <w:vertAlign w:val="superscript"/>
        </w:rPr>
        <w:t>◦</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rPr>
          <w:vertAlign w:val="superscript"/>
        </w:rPr>
        <w:t>◦</w:t>
      </w:r>
      <w:r>
        <w:t>.</w:t>
      </w:r>
    </w:p>
    <w:p>
      <w:pPr>
        <w:pStyle w:val="ListBullet"/>
      </w:pPr>
      <w:r>
        <w:t>Toda presunción legal admite prueba en contrario, salvo que la ley lo prohíba expresamente</w:t>
      </w:r>
      <w:r>
        <w:rPr>
          <w:vertAlign w:val="superscript"/>
        </w:rPr>
        <w:t>◦</w:t>
      </w:r>
      <w:r>
        <w:t>; y la que no establece ninguna norma solo vale si entre el hecho demostrado y el que se deduce «haya un enlace preciso y directo según las reglas del criterio humano»</w:t>
      </w:r>
      <w:r>
        <w:rPr>
          <w:vertAlign w:val="superscript"/>
        </w:rPr>
        <w:t>◦</w:t>
      </w:r>
      <w:r>
        <w:t>.</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rPr>
          <w:vertAlign w:val="superscript"/>
        </w:rPr>
        <w:t>◦</w:t>
      </w:r>
      <w:r>
        <w:t>; la jerarquía termina en la Constitución</w:t>
      </w:r>
      <w:r>
        <w:rPr>
          <w:vertAlign w:val="superscript"/>
        </w:rPr>
        <w:t>◦</w:t>
      </w:r>
      <w:r>
        <w:t>, que reconoce derechos «inherentes» a la persona, anteriores a ella</w:t>
      </w:r>
      <w:r>
        <w:rPr>
          <w:vertAlign w:val="superscript"/>
        </w:rPr>
        <w:t>◦</w:t>
      </w:r>
      <w:r>
        <w:t>; y «Ninguna confesión tendrá carácter estatal»</w:t>
      </w:r>
      <w:r>
        <w:rPr>
          <w:vertAlign w:val="superscript"/>
        </w:rPr>
        <w:t>◦</w:t>
      </w:r>
      <w:r>
        <w:t xml:space="preserve">, con lo que ninguna ley de Dios entra en el ordenamiento. Según el aforismo </w:t>
      </w:r>
      <w:r>
        <w:rPr>
          <w:i/>
        </w:rPr>
        <w:t>prior tempore potior iure</w:t>
      </w:r>
      <w:r>
        <w:t>, «Primero en el tiempo, preferido en el derecho»</w:t>
      </w:r>
      <w:r>
        <w:rPr>
          <w:vertAlign w:val="superscript"/>
        </w:rPr>
        <w:t>◦</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rPr>
          <w:vertAlign w:val="superscript"/>
        </w:rPr>
        <w:t>◦</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rPr>
          <w:vertAlign w:val="superscript"/>
        </w:rPr>
        <w:t>◦</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rPr>
          <w:vertAlign w:val="superscript"/>
        </w:rPr>
        <w:t>◦</w:t>
      </w:r>
      <w:r>
        <w:t>; y arrogarse es, en el diccionario jurídico, «Apropiarse indebidamente de honores, títulos o derechos»</w:t>
      </w:r>
      <w:r>
        <w:rPr>
          <w:vertAlign w:val="superscript"/>
        </w:rPr>
        <w:t>◦</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rPr>
          <w:vertAlign w:val="superscript"/>
        </w:rPr>
        <w:t>◦</w:t>
      </w:r>
      <w:r>
        <w:t>. El poder de uno solo vive de que muchos se lo den (</w:t>
      </w:r>
      <w:r>
        <w:t>4.1</w:t>
      </w:r>
      <w:r>
        <w:t>); el aliento que articula sus palabras es el que le prestan quienes creen en él y consienten. Por eso esta parte se llama la vacuna: quien sabe en qué se cree sin prueba ya no consiente sin saberlo.</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rPr>
          <w:vertAlign w:val="superscript"/>
        </w:rPr>
        <w:t>◦</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dictó una sentencia de 736 párrafos</w:t>
      </w:r>
      <w:r>
        <w:rPr>
          <w:vertAlign w:val="superscript"/>
        </w:rPr>
        <w:t>◦</w:t>
      </w:r>
      <w:r>
        <w:t>. En ella reúne a unos litigantes que se presentan con distintos nombres («no hay una lista cerrada»)</w:t>
      </w:r>
      <w:r>
        <w:t>, y les da un nombre común, que es del juez y no de esta obra: litigantes del «argumento comercial pseudolegal organizado» (OPCA, por sus siglas en inglés)</w:t>
      </w:r>
      <w:r>
        <w:rPr>
          <w:vertAlign w:val="superscript"/>
        </w:rPr>
        <w:t>◦</w:t>
      </w:r>
      <w:r>
        <w:t>.</w:t>
      </w:r>
    </w:p>
    <w:p>
      <w:r>
        <w:t>De los papeles que le presentó el propio litigante, el juez dice: «Esto es, por supuesto, un disparate»; no tienen «fuerza ni sentido en derecho»</w:t>
      </w:r>
      <w:r>
        <w:rPr>
          <w:vertAlign w:val="superscript"/>
        </w:rPr>
        <w:t>◦</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y que CanLII la da como la decisión más citada del Tribunal del Banco de la Reina de Alberta desde 2012</w:t>
      </w:r>
      <w:r>
        <w:t>. Fuera de Canadá, el mismo estudio dice que se acepta ampliamente en la Commonwealth: Reino Unido, Australia, Jersey, Irlanda, Nueva Zelanda, Irlanda del Norte y Escocia</w:t>
      </w:r>
      <w:r>
        <w:rPr>
          <w:vertAlign w:val="superscript"/>
        </w:rPr>
        <w:t>◦</w:t>
      </w:r>
      <w:r>
        <w:t>.</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rPr>
          <w:vertAlign w:val="superscript"/>
        </w:rPr>
        <w:t>◦</w:t>
      </w:r>
      <w:r>
        <w:t>. Recoge que los tribunales canadienses ya habían rechazado que haya diferencia legal entre un nombre escrito en mayúsculas y minúsculas y un nombre todo en mayúsculas</w:t>
      </w:r>
      <w:r>
        <w:rPr>
          <w:vertAlign w:val="superscript"/>
        </w:rPr>
        <w:t>◦</w:t>
      </w:r>
      <w:r>
        <w:t>. Y concluye: «Los esquemas de la "persona doble o dividida" no tienen efecto jurídico. No tienen base en la ley. A una persona solo le corresponde una identidad legal»</w:t>
      </w:r>
      <w:r>
        <w:rPr>
          <w:vertAlign w:val="superscript"/>
        </w:rPr>
        <w:t>◦</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que calificó objeciones parecidas de «manifiestamente carentes de fundamento»</w:t>
      </w:r>
      <w:r>
        <w:t>. Y aclaró que la persona acusada es «Rodney Class, el ser humano, y no una corporación ni ninguna otra “entidad ficticia”»</w:t>
      </w:r>
      <w:r>
        <w:rPr>
          <w:vertAlign w:val="superscript"/>
        </w:rPr>
        <w:t>◦</w:t>
      </w:r>
      <w:r>
        <w:t>. Otra petición suya, que decía que su nombre de nacimiento se había convertido en un «nombre comercial registrado» en violación del Código de Comercio Uniforme, la descartó por «no respaldada e irrelevante»</w:t>
      </w:r>
      <w:r>
        <w:rPr>
          <w:vertAlign w:val="superscript"/>
        </w:rPr>
        <w:t>◦</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y si reaparece, el arrendatario vuelve a la finca y cobra los beneficios que perdió, con intereses</w:t>
      </w:r>
      <w:r>
        <w:rPr>
          <w:vertAlign w:val="superscript"/>
        </w:rPr>
        <w:t>◦</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rPr>
          <w:vertAlign w:val="superscript"/>
        </w:rPr>
        <w:t>◦</w:t>
      </w:r>
      <w:r>
        <w:t>, y pidió que lo que debía a su mujer y a sus hijos se pagara desde una cuenta bancaria secreta</w:t>
      </w:r>
      <w:r>
        <w:rPr>
          <w:vertAlign w:val="superscript"/>
        </w:rPr>
        <w:t>◦</w:t>
      </w:r>
      <w:r>
        <w:t>. El juez explica la creencia: quienes venden este esquema aseguran que, «con la combinación correcta de documentos oficiales», una persona puede acceder a su cuenta bancaria secreta y a sus fondos</w:t>
      </w:r>
      <w:r>
        <w:rPr>
          <w:vertAlign w:val="superscript"/>
        </w:rPr>
        <w:t>◦</w:t>
      </w:r>
      <w:r>
        <w:t>. Y responde que todo ese esquema ya lo habían examinado y rechazado otros tribunales: «Yo hago lo mismo»</w:t>
      </w:r>
      <w:r>
        <w:rPr>
          <w:vertAlign w:val="superscript"/>
        </w:rPr>
        <w:t>◦</w:t>
      </w:r>
      <w:r>
        <w:t>.</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y que cualquier ciudadano perjudicado puede reclamar contra ella, o incluso embargar al funcionario, para cobrarse el daño.</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Las leyes de Illinois la exigen, por ejemplo, a los tesoreros y a los recaudadores de condado</w:t>
      </w:r>
      <w:r>
        <w:rPr>
          <w:vertAlign w:val="superscript"/>
        </w:rPr>
        <w:t>◦</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rPr>
          <w:vertAlign w:val="superscript"/>
        </w:rPr>
        <w:t>◦</w:t>
      </w:r>
      <w:r>
        <w:t>, y demandaron directamente a la aseguradora que avalaba su fianza</w:t>
      </w:r>
      <w:r>
        <w:rPr>
          <w:vertAlign w:val="superscript"/>
        </w:rPr>
        <w:t>◦</w:t>
      </w:r>
      <w:r>
        <w:t>. El Tribunal Supremo de Illinois confirmó que la demanda contra la aseguradora se desestimara: «los demandantes, como ciudadanos particulares, no pueden reclamar contra la fianza de cargo público exigida por ley de que se trata»</w:t>
      </w:r>
      <w:r>
        <w:rPr>
          <w:vertAlign w:val="superscript"/>
        </w:rPr>
        <w:t>◦</w:t>
      </w:r>
      <w:r>
        <w:t>. La fianza nombraba como beneficiario al condado; el Tribunal dice que por error, porque las leyes que la exigen nombran al pueblo del Estado de Illinois</w:t>
      </w:r>
      <w:r>
        <w:rPr>
          <w:vertAlign w:val="superscript"/>
        </w:rPr>
        <w:t>◦</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rPr>
          <w:vertAlign w:val="superscript"/>
        </w:rPr>
        <w:t>◦</w:t>
      </w:r>
      <w:r>
        <w:t>) exige a ese funcionario entregar «todas y cada una de las fianzas» y pólizas de seguro que hagan falta para pagar lo que el litigante le reclame</w:t>
      </w:r>
      <w:r>
        <w:rPr>
          <w:vertAlign w:val="superscript"/>
        </w:rPr>
        <w:t>◦</w:t>
      </w:r>
      <w:r>
        <w:t>. De esos documentos, el juez dice que no tienen fuerza legal, y que por eso las amenazas que contienen son, por definición, ilícitas</w:t>
      </w:r>
      <w:r>
        <w:rPr>
          <w:vertAlign w:val="superscript"/>
        </w:rPr>
        <w:t>◦</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rPr>
          <w:vertAlign w:val="superscript"/>
        </w:rPr>
        <w:t>◦</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rPr>
          <w:vertAlign w:val="superscript"/>
        </w:rPr>
        <w:t>◦</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rPr>
          <w:vertAlign w:val="superscript"/>
        </w:rPr>
        <w:t>◦</w:t>
      </w:r>
      <w:r>
        <w:t>.</w:t>
      </w:r>
    </w:p>
    <w:p>
      <w:pPr>
        <w:pStyle w:val="ListBullet"/>
      </w:pPr>
      <w:r>
        <w:rPr>
          <w:b/>
        </w:rPr>
        <w:t>P4.</w:t>
      </w:r>
      <w:r>
        <w:t xml:space="preserve"> «No tendrás en tu bolsa pesa grande y pesa chica. No tendrás en tu casa epha grande y epha pequeño. Pesas cumplidas y justas tendrás»</w:t>
      </w:r>
      <w:r>
        <w:rPr>
          <w:vertAlign w:val="superscript"/>
        </w:rPr>
        <w:t>◦</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rPr>
          <w:vertAlign w:val="superscript"/>
        </w:rPr>
        <w:t>◦</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rPr>
          <w:vertAlign w:val="superscript"/>
        </w:rPr>
        <w:t>◦</w:t>
      </w:r>
      <w:r>
        <w:t>. Y la plegaria Ahuna Vairya: «el Reino es para Ahura, que dará al pobre quien lo sustente»</w:t>
      </w:r>
      <w:r>
        <w:rPr>
          <w:vertAlign w:val="superscript"/>
        </w:rPr>
        <w:t>◦</w:t>
      </w:r>
      <w:r>
        <w:t>.</w:t>
      </w:r>
    </w:p>
    <w:p>
      <w:pPr>
        <w:pStyle w:val="ListBullet2"/>
      </w:pPr>
      <w:r>
        <w:rPr>
          <w:b/>
        </w:rPr>
        <w:t>El islam:</w:t>
      </w:r>
      <w:r>
        <w:t xml:space="preserve"> «¡No obedezcáis las órdenes de los inmoderados, que corrompen en la tierra y no la reforman!»</w:t>
      </w:r>
      <w:r>
        <w:rPr>
          <w:vertAlign w:val="superscript"/>
        </w:rPr>
        <w:t>◦</w:t>
      </w:r>
      <w:r>
        <w:t>. Y: «Mi alianza no incluye a los impíos»</w:t>
      </w:r>
      <w:r>
        <w:rPr>
          <w:vertAlign w:val="superscript"/>
        </w:rPr>
        <w:t>◦</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rPr>
          <w:vertAlign w:val="superscript"/>
        </w:rPr>
        <w:t>◦</w:t>
      </w:r>
      <w:r>
        <w:t>.</w:t>
      </w:r>
    </w:p>
    <w:p>
      <w:pPr>
        <w:pStyle w:val="ListBullet2"/>
      </w:pPr>
      <w:r>
        <w:t>«¿Creéis que os doy autoridad? Servidumbre os doy»</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rPr>
          <w:vertAlign w:val="superscript"/>
        </w:rPr>
        <w:t>◦</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rPr>
          <w:vertAlign w:val="superscript"/>
        </w:rPr>
        <w:t>◦</w:t>
      </w:r>
      <w:r>
        <w:t>; y ha «hecho de vuestro sueño descanso […] del día medio de subsistencia»</w:t>
      </w:r>
      <w:r>
        <w:rPr>
          <w:vertAlign w:val="superscript"/>
        </w:rPr>
        <w:t>◦</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rPr>
          <w:vertAlign w:val="superscript"/>
        </w:rPr>
        <w:t>◦</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rPr>
          <w:vertAlign w:val="superscript"/>
        </w:rPr>
        <w:t>◦</w:t>
      </w:r>
      <w:r>
        <w:t xml:space="preserve">. Corán 4:58 y 8:27, en </w:t>
      </w:r>
      <w:r>
        <w:t>3.2</w:t>
      </w:r>
      <w:r>
        <w:t>.</w:t>
      </w:r>
    </w:p>
    <w:p>
      <w:pPr>
        <w:pStyle w:val="ListBullet2"/>
      </w:pPr>
      <w:r>
        <w:rPr>
          <w:b/>
        </w:rPr>
        <w:t>Persia:</w:t>
      </w:r>
      <w:r>
        <w:t xml:space="preserve"> «no rompas el contrato, ni el que hiciste con un infiel ni el que hiciste con uno de tu fe»</w:t>
      </w:r>
      <w:r>
        <w:rPr>
          <w:vertAlign w:val="superscript"/>
        </w:rPr>
        <w:t>◦</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y, si la víctima murió, a sus herederos</w:t>
      </w:r>
      <w:r>
        <w:rPr>
          <w:vertAlign w:val="superscript"/>
        </w:rPr>
        <w:t>◦</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rPr>
          <w:vertAlign w:val="superscript"/>
        </w:rPr>
        <w:t>◦</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rPr>
          <w:vertAlign w:val="superscript"/>
        </w:rPr>
        <w:t>◦</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rPr>
          <w:vertAlign w:val="superscript"/>
        </w:rPr>
        <w:t>◦</w:t>
      </w:r>
      <w:r>
        <w:t>; el Profeta «les libera de sus cargas y de las cadenas que sobre ellos pesaban»</w:t>
      </w:r>
      <w:r>
        <w:rPr>
          <w:vertAlign w:val="superscript"/>
        </w:rPr>
        <w:t>◦</w:t>
      </w:r>
      <w:r>
        <w:t>; Dios «no os ha impuesto ninguna carga en la religión»</w:t>
      </w:r>
      <w:r>
        <w:rPr>
          <w:vertAlign w:val="superscript"/>
        </w:rPr>
        <w:t>◦</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rPr>
          <w:vertAlign w:val="superscript"/>
        </w:rPr>
        <w:t>◦</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rPr>
          <w:vertAlign w:val="superscript"/>
        </w:rPr>
        <w:t>◦</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rPr>
          <w:vertAlign w:val="superscript"/>
        </w:rPr>
        <w:t>◦</w:t>
      </w:r>
      <w:r>
        <w:t>.</w:t>
      </w:r>
    </w:p>
    <w:p>
      <w:pPr>
        <w:pStyle w:val="ListBullet2"/>
      </w:pPr>
      <w:r>
        <w:t>El gobernante es la barca y el pueblo, el agua: «el agua la sostiene y el agua la vuelca»</w:t>
      </w:r>
      <w:r>
        <w:rPr>
          <w:vertAlign w:val="superscript"/>
        </w:rPr>
        <w:t>◦</w:t>
      </w:r>
      <w:r>
        <w:t>.</w:t>
      </w:r>
    </w:p>
    <w:p>
      <w:pPr>
        <w:pStyle w:val="ListBullet2"/>
      </w:pPr>
      <w:r>
        <w:t>«El Cielo ve como ve mi pueblo; el Cielo oye como oye mi pueblo»</w:t>
      </w:r>
      <w:r>
        <w:rPr>
          <w:vertAlign w:val="superscript"/>
        </w:rPr>
        <w:t>◦</w:t>
      </w:r>
      <w:r>
        <w:t>.</w:t>
      </w:r>
    </w:p>
    <w:p>
      <w:pPr>
        <w:pStyle w:val="ListBullet2"/>
      </w:pPr>
      <w:r>
        <w:t>Los jefes no se pusieron para engrosar sus rangos y salarios, sino «para procurar el beneficio y quitar el daño a todo el pueblo»</w:t>
      </w:r>
      <w:r>
        <w:rPr>
          <w:vertAlign w:val="superscript"/>
        </w:rPr>
        <w:t>◦</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y el señor sabio «toma del pueblo con límite fijo»</w:t>
      </w:r>
      <w:r>
        <w:rPr>
          <w:vertAlign w:val="superscript"/>
        </w:rPr>
        <w:t>◦</w:t>
      </w:r>
      <w:r>
        <w:t>.</w:t>
      </w:r>
    </w:p>
    <w:p>
      <w:pPr>
        <w:pStyle w:val="ListBullet2"/>
      </w:pPr>
      <w:r>
        <w:t>Cargar más que el camino de los reyes sabios Yao y Shun «es un gran Jie o un pequeño Jie»</w:t>
      </w:r>
      <w:r>
        <w:t>, es decir, un tirano</w:t>
      </w:r>
      <w:r>
        <w:rPr>
          <w:vertAlign w:val="superscript"/>
        </w:rPr>
        <w:t>◦</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rPr>
          <w:vertAlign w:val="superscript"/>
        </w:rPr>
        <w:t>◦</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palabras que Xunzi atribuye a Confucio</w:t>
      </w:r>
      <w:r>
        <w:rPr>
          <w:vertAlign w:val="superscript"/>
        </w:rPr>
        <w:t>◦</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rPr>
          <w:vertAlign w:val="superscript"/>
        </w:rPr>
        <w:t>◦</w:t>
      </w:r>
      <w:r>
        <w:t>.</w:t>
      </w:r>
    </w:p>
    <w:p>
      <w:pPr>
        <w:pStyle w:val="ListBullet2"/>
      </w:pPr>
      <w:r>
        <w:t>En el equinoccio «se unifican las medidas y se igualan las balanzas»</w:t>
      </w:r>
      <w:r>
        <w:rPr>
          <w:vertAlign w:val="superscript"/>
        </w:rPr>
        <w:t>◦</w:t>
      </w:r>
      <w:r>
        <w:t>.</w:t>
      </w:r>
    </w:p>
    <w:p>
      <w:pPr>
        <w:pStyle w:val="ListBullet2"/>
      </w:pPr>
      <w:r>
        <w:t>«Los tiranos y los funcionarios corruptos siempre descuidan los linderos»</w:t>
      </w:r>
      <w:r>
        <w:rPr>
          <w:vertAlign w:val="superscript"/>
        </w:rPr>
        <w:t>◦</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o se quedará mirando cómo mueren</w:t>
      </w:r>
      <w:r>
        <w:rPr>
          <w:vertAlign w:val="superscript"/>
        </w:rPr>
        <w:t>◦</w:t>
      </w:r>
      <w:r>
        <w:t>.</w:t>
      </w:r>
    </w:p>
    <w:p>
      <w:pPr>
        <w:pStyle w:val="ListBullet2"/>
      </w:pPr>
      <w:r>
        <w:t>Es noble aquel a quien «se le puede confiar un huérfano»</w:t>
      </w:r>
      <w:r>
        <w:rPr>
          <w:vertAlign w:val="superscript"/>
        </w:rPr>
        <w:t>◦</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y dijo a su señor que así le había comprado la justicia</w:t>
      </w:r>
      <w:r>
        <w:rPr>
          <w:vertAlign w:val="superscript"/>
        </w:rPr>
        <w:t>◦</w:t>
      </w:r>
      <w:r>
        <w:t>.</w:t>
      </w:r>
    </w:p>
    <w:p>
      <w:pPr>
        <w:pStyle w:val="ListBullet2"/>
      </w:pPr>
      <w:r>
        <w:t>«El sabio guarda la mitad izquierda del contrato y no reclama a los demás»</w:t>
      </w:r>
      <w:r>
        <w:rPr>
          <w:vertAlign w:val="superscript"/>
        </w:rPr>
        <w:t>◦</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rPr>
          <w:vertAlign w:val="superscript"/>
        </w:rPr>
        <w:t>◦</w:t>
      </w:r>
      <w:r>
        <w:t>.</w:t>
      </w:r>
    </w:p>
    <w:p>
      <w:pPr>
        <w:pStyle w:val="ListBullet2"/>
      </w:pPr>
      <w:r>
        <w:t>«El castigo no excedía el delito»</w:t>
      </w:r>
      <w:r>
        <w:t>; en los tiempos de desorden, «si uno delinque, se extermina a los tres clanes»</w:t>
      </w:r>
      <w:r>
        <w:rPr>
          <w:vertAlign w:val="superscript"/>
        </w:rPr>
        <w:t>◦</w:t>
      </w:r>
      <w:r>
        <w:t>.</w:t>
      </w:r>
    </w:p>
    <w:p>
      <w:pPr>
        <w:pStyle w:val="ListBullet2"/>
      </w:pPr>
      <w:r>
        <w:t>«Si todos lo odian, hay que examinarlo»</w:t>
      </w:r>
      <w:r>
        <w:rPr>
          <w:vertAlign w:val="superscript"/>
        </w:rPr>
        <w:t>◦</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y quien incurre en ellos comete un delito igual al del reo; y «lo que se gana con los pleitos no es un tesoro»: acumula culpa</w:t>
      </w:r>
      <w:r>
        <w:rPr>
          <w:vertAlign w:val="superscript"/>
        </w:rPr>
        <w:t>◦</w:t>
      </w:r>
      <w:r>
        <w:t>.</w:t>
      </w:r>
    </w:p>
    <w:p>
      <w:pPr>
        <w:pStyle w:val="ListBullet2"/>
      </w:pPr>
      <w:r>
        <w:t>Esperar a que el pueblo sin medios caiga en delito para castigarlo «es tenderle una red al pueblo»</w:t>
      </w:r>
      <w:r>
        <w:rPr>
          <w:vertAlign w:val="superscript"/>
        </w:rPr>
        <w:t>◦</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rPr>
          <w:vertAlign w:val="superscript"/>
        </w:rPr>
        <w:t>◦</w:t>
      </w:r>
      <w:r>
        <w:t xml:space="preserve">; el mismo pasaje, «cuando un Estado va a perecer, multiplica sus reglamentos», está en </w:t>
      </w:r>
      <w:r>
        <w:t>3.2</w:t>
      </w:r>
      <w:r>
        <w:t>.</w:t>
      </w:r>
    </w:p>
    <w:p>
      <w:pPr>
        <w:pStyle w:val="ListBullet2"/>
      </w:pPr>
      <w:r>
        <w:t>«Cuantos más castigos, menos se vence el mal»</w:t>
      </w:r>
      <w:r>
        <w:rPr>
          <w:vertAlign w:val="superscript"/>
        </w:rPr>
        <w:t>◦</w:t>
      </w:r>
      <w:r>
        <w:t>.</w:t>
      </w:r>
    </w:p>
    <w:p>
      <w:pPr>
        <w:pStyle w:val="ListBullet2"/>
      </w:pPr>
      <w:r>
        <w:t>Los gobernantes de hoy cargan pesos excesivos y castigan al que no puede; «sin bienes, [el pueblo] roba»: ¿a quién hay que culpar?</w:t>
      </w:r>
      <w:r>
        <w:rPr>
          <w:vertAlign w:val="superscript"/>
        </w:rPr>
        <w:t>◦</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a los que opinaban sobre las leyes los desterró, y después «nadie se atrevió a opinar sobre las órdenes»</w:t>
      </w:r>
      <w:r>
        <w:rPr>
          <w:vertAlign w:val="superscript"/>
        </w:rPr>
        <w:t>◦</w:t>
      </w:r>
      <w:r>
        <w:t>.</w:t>
      </w:r>
    </w:p>
    <w:p>
      <w:pPr>
        <w:pStyle w:val="ListBullet2"/>
      </w:pPr>
      <w:r>
        <w:t>Han Feizi defiende «agravar las penas para prohibir el mal»</w:t>
      </w:r>
      <w:r>
        <w:t xml:space="preserve"> y la recaudación «para llenar los graneros»</w:t>
      </w:r>
      <w:r>
        <w:t>, y dice que la inteligencia del pueblo no sirve, porque es «como la mente de un niño de pecho»</w:t>
      </w:r>
      <w:r>
        <w:rPr>
          <w:vertAlign w:val="superscript"/>
        </w:rPr>
        <w:t>◦</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rPr>
          <w:vertAlign w:val="superscript"/>
        </w:rPr>
        <w:t>◦</w:t>
      </w:r>
      <w:r>
        <w:t>.</w:t>
      </w:r>
    </w:p>
    <w:p>
      <w:pPr>
        <w:pStyle w:val="ListBullet2"/>
      </w:pPr>
      <w:r>
        <w:t>«El huérfano no será sometido al rico»</w:t>
      </w:r>
      <w:r>
        <w:rPr>
          <w:vertAlign w:val="superscript"/>
        </w:rPr>
        <w:t>◦</w:t>
      </w:r>
      <w:r>
        <w:t>; y Urukagina dice lo mismo de la viuda y el huérfano frente al poderoso.</w:t>
      </w:r>
    </w:p>
    <w:p>
      <w:pPr>
        <w:pStyle w:val="ListBullet2"/>
      </w:pPr>
      <w:r>
        <w:t>Dios hizo para los hombres gobernantes, «un sostén para sostener la espalda del débil»</w:t>
      </w:r>
      <w:r>
        <w:rPr>
          <w:vertAlign w:val="superscript"/>
        </w:rPr>
        <w:t>◦</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rPr>
          <w:vertAlign w:val="superscript"/>
        </w:rPr>
        <w:t>◦</w:t>
      </w:r>
      <w:r>
        <w:t>.</w:t>
      </w:r>
    </w:p>
    <w:p>
      <w:pPr>
        <w:pStyle w:val="ListBullet2"/>
      </w:pPr>
      <w:r>
        <w:t>Hay que esforzarse para que no haya que imponer el tributo «por la escasez del erario»</w:t>
      </w:r>
      <w:r>
        <w:rPr>
          <w:vertAlign w:val="superscript"/>
        </w:rPr>
        <w:t>◦</w:t>
      </w:r>
      <w:r>
        <w:t>.</w:t>
      </w:r>
    </w:p>
    <w:p>
      <w:pPr>
        <w:pStyle w:val="ListBullet2"/>
      </w:pPr>
      <w:r>
        <w:t>Pisístrato «cargó al pueblo lo menos posible»</w:t>
      </w:r>
      <w:r>
        <w:rPr>
          <w:vertAlign w:val="superscript"/>
        </w:rPr>
        <w:t>◦</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rPr>
          <w:vertAlign w:val="superscript"/>
        </w:rPr>
        <w:t>◦</w:t>
      </w:r>
      <w:r>
        <w:t>.</w:t>
      </w:r>
    </w:p>
    <w:p>
      <w:pPr>
        <w:pStyle w:val="ListBullet2"/>
      </w:pPr>
      <w:r>
        <w:t>En Atenas, los inspectores de pesos y medidas, elegidos por sorteo, «vigilan que los vendedores usen pesos y medidas justos»</w:t>
      </w:r>
      <w:r>
        <w:rPr>
          <w:vertAlign w:val="superscript"/>
        </w:rPr>
        <w:t>◦</w:t>
      </w:r>
      <w:r>
        <w:t>.</w:t>
      </w:r>
    </w:p>
    <w:p>
      <w:pPr>
        <w:pStyle w:val="ListBullet2"/>
      </w:pPr>
      <w:r>
        <w:t>«Toma medida justa de tu vecino y devuélvele con justicia la misma medida»</w:t>
      </w:r>
      <w:r>
        <w:rPr>
          <w:vertAlign w:val="superscript"/>
        </w:rPr>
        <w:t>◦</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rPr>
          <w:vertAlign w:val="superscript"/>
        </w:rPr>
        <w:t>◦</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rPr>
          <w:vertAlign w:val="superscript"/>
        </w:rPr>
        <w:t>◦</w:t>
      </w:r>
      <w:r>
        <w:t>.</w:t>
      </w:r>
    </w:p>
    <w:p>
      <w:pPr>
        <w:pStyle w:val="ListBullet2"/>
      </w:pPr>
      <w:r>
        <w:t>«Toma al hombre por sus actos»</w:t>
      </w:r>
      <w:r>
        <w:rPr>
          <w:vertAlign w:val="superscript"/>
        </w:rPr>
        <w:t>◦</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rPr>
          <w:vertAlign w:val="superscript"/>
        </w:rPr>
        <w:t>◦</w:t>
      </w:r>
      <w:r>
        <w:t xml:space="preserve">; su «enderezad vuestras sentencias», en </w:t>
      </w:r>
      <w:r>
        <w:t>3.2</w:t>
      </w:r>
      <w:r>
        <w:t>.</w:t>
      </w:r>
    </w:p>
    <w:p>
      <w:pPr>
        <w:pStyle w:val="ListBullet2"/>
      </w:pPr>
      <w:r>
        <w:t>La ley dice: «no prestes ningún servicio a cambio de regalos»</w:t>
      </w:r>
      <w:r>
        <w:rPr>
          <w:vertAlign w:val="superscript"/>
        </w:rPr>
        <w:t>◦</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rPr>
          <w:vertAlign w:val="superscript"/>
        </w:rPr>
        <w:t>◦</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rPr>
          <w:vertAlign w:val="superscript"/>
        </w:rPr>
        <w:t>◦</w:t>
      </w:r>
      <w:r>
        <w:t>; y «a menudo toda una ciudad sufre por un solo malvado»</w:t>
      </w:r>
      <w:r>
        <w:rPr>
          <w:vertAlign w:val="superscript"/>
        </w:rPr>
        <w:t>◦</w:t>
      </w:r>
      <w:r>
        <w:t xml:space="preserve">. Séneca (De ira I, 19), en </w:t>
      </w:r>
      <w:r>
        <w:t>3.2</w:t>
      </w:r>
      <w:r>
        <w:t>.</w:t>
      </w:r>
    </w:p>
    <w:p>
      <w:pPr>
        <w:pStyle w:val="ListBullet2"/>
      </w:pPr>
      <w:r>
        <w:t xml:space="preserve">Contra P5: el depósito que no se devuelve al que ha enloquecido (Cicerón), en </w:t>
      </w:r>
      <w:r>
        <w:t>3.2</w:t>
      </w:r>
      <w:r>
        <w: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rPr>
          <w:vertAlign w:val="superscript"/>
        </w:rPr>
        <w:t>◦</w:t>
      </w:r>
      <w:r>
        <w:t>. Sus tablillas más antiguas son de hacia 2600 a. C., una fecha que su editor da como «no más que una sugerencia»</w:t>
      </w:r>
      <w:r>
        <w:rPr>
          <w:vertAlign w:val="superscript"/>
        </w:rPr>
        <w:t>◦</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rPr>
          <w:vertAlign w:val="superscript"/>
        </w:rPr>
        <w:t>◦</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rPr>
          <w:vertAlign w:val="superscript"/>
        </w:rPr>
        <w:t>◦</w:t>
      </w:r>
      <w:r>
        <w:t>, y tuvo por el medio de vida más apropiado para el filósofo el que sale del campo</w:t>
      </w:r>
      <w:r>
        <w:rPr>
          <w:vertAlign w:val="superscript"/>
        </w:rPr>
        <w:t>◦</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rPr>
          <w:vertAlign w:val="superscript"/>
        </w:rPr>
        <w:t>◦</w:t>
      </w:r>
      <w:r>
        <w:t>. No todos son independientes: el Talmud comenta la Biblia, Musonio heredó a los griegos y el hadiz nombra a David. Pero al menos tres lo escribieron sin haberse leído entre sí: Grecia, Israel y la India (</w:t>
      </w:r>
      <w:r>
        <w:t>3.1</w:t>
      </w:r>
      <w:r>
        <w:t>).</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rPr>
          <w:vertAlign w:val="superscript"/>
        </w:rPr>
        <w:t>◦</w:t>
      </w:r>
      <w:r>
        <w:t>.</w:t>
      </w:r>
    </w:p>
    <w:p>
      <w:pPr>
        <w:pStyle w:val="ListBullet2"/>
      </w:pPr>
      <w:r>
        <w:t>«El rey que no protege a sus súbditos es en verdad un ladrón»</w:t>
      </w:r>
      <w:r>
        <w:rPr>
          <w:vertAlign w:val="superscript"/>
        </w:rPr>
        <w:t>◦</w:t>
      </w:r>
      <w:r>
        <w:t>.</w:t>
      </w:r>
    </w:p>
    <w:p>
      <w:pPr>
        <w:pStyle w:val="ListBullet2"/>
      </w:pPr>
      <w:r>
        <w:t>El rey que dice a su pueblo que es su protector, y no lo protege o no puede, «debería morir a manos de sus súbditos unidos»</w:t>
      </w:r>
      <w:r>
        <w:rPr>
          <w:vertAlign w:val="superscript"/>
        </w:rPr>
        <w:t>◦</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rPr>
          <w:vertAlign w:val="superscript"/>
        </w:rPr>
        <w:t>◦</w:t>
      </w:r>
      <w:r>
        <w:t>.</w:t>
      </w:r>
    </w:p>
    <w:p>
      <w:pPr>
        <w:pStyle w:val="ListBullet2"/>
      </w:pPr>
      <w:r>
        <w:t>Guru Nanak: «los reyes son tigres, y sus oficiales, perros»; y en la Corte del Señor, «los que traicionaron la confianza del pueblo quedarán deshonrados»</w:t>
      </w:r>
      <w:r>
        <w:rPr>
          <w:vertAlign w:val="superscript"/>
        </w:rPr>
        <w:t>◦</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rPr>
          <w:vertAlign w:val="superscript"/>
        </w:rPr>
        <w:t>◦</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rPr>
          <w:vertAlign w:val="superscript"/>
        </w:rPr>
        <w:t>◦</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rPr>
          <w:vertAlign w:val="superscript"/>
        </w:rPr>
        <w:t>◦</w:t>
      </w:r>
      <w:r>
        <w:t xml:space="preserve">. </w:t>
      </w:r>
      <w:r>
        <w:rPr>
          <w:b/>
        </w:rPr>
        <w:t>Cautela:</w:t>
      </w:r>
      <w:r>
        <w:t xml:space="preserve"> el motivo que da el texto es fiscal.</w:t>
      </w:r>
    </w:p>
    <w:p>
      <w:pPr>
        <w:pStyle w:val="ListBullet2"/>
      </w:pPr>
      <w:r>
        <w:t>En el jainismo, «sobrecargar» a personas y bestias es una falta contra el voto de no violencia</w:t>
      </w:r>
      <w:r>
        <w:rPr>
          <w:vertAlign w:val="superscript"/>
        </w:rPr>
        <w:t>◦</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rPr>
          <w:vertAlign w:val="superscript"/>
        </w:rPr>
        <w:t>◦</w:t>
      </w:r>
      <w:r>
        <w:t>.</w:t>
      </w:r>
    </w:p>
    <w:p>
      <w:pPr>
        <w:pStyle w:val="ListBullet2"/>
      </w:pPr>
      <w:r>
        <w:t>Kabir: «no miden con la cinta completa y cobran grandes sobornos»</w:t>
      </w:r>
      <w:r>
        <w:rPr>
          <w:vertAlign w:val="superscript"/>
        </w:rPr>
        <w:t>◦</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rPr>
          <w:vertAlign w:val="superscript"/>
        </w:rPr>
        <w:t>◦</w:t>
      </w:r>
      <w:r>
        <w:t>.</w:t>
      </w:r>
    </w:p>
    <w:p>
      <w:pPr>
        <w:pStyle w:val="ListBullet2"/>
      </w:pPr>
      <w:r>
        <w:t>Quien, al reclamarle la deuda, huye diciendo «¡no te debo nada!» es un paria</w:t>
      </w:r>
      <w:r>
        <w:rPr>
          <w:vertAlign w:val="superscript"/>
        </w:rPr>
        <w:t>◦</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rPr>
          <w:vertAlign w:val="superscript"/>
        </w:rPr>
        <w:t>◦</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rPr>
          <w:vertAlign w:val="superscript"/>
        </w:rPr>
        <w:t>◦</w:t>
      </w:r>
      <w:r>
        <w:t>: por eso el rey debe reflexionar a fondo antes de castigar.</w:t>
      </w:r>
    </w:p>
    <w:p>
      <w:pPr>
        <w:pStyle w:val="ListBullet2"/>
      </w:pPr>
      <w:r>
        <w:t>Antes de castigar hay que averiguar el motivo, el tiempo y el lugar</w:t>
      </w:r>
      <w:r>
        <w:rPr>
          <w:vertAlign w:val="superscript"/>
        </w:rPr>
        <w:t>◦</w:t>
      </w:r>
      <w:r>
        <w:t>; y si se castiga a un inocente, el rey ayuna tres días</w:t>
      </w:r>
      <w:r>
        <w:rPr>
          <w:vertAlign w:val="superscript"/>
        </w:rPr>
        <w:t>◦</w:t>
      </w:r>
      <w:r>
        <w:t>.</w:t>
      </w:r>
    </w:p>
    <w:p>
      <w:pPr>
        <w:pStyle w:val="ListBullet2"/>
      </w:pPr>
      <w:r>
        <w:t>Ashoka: «aun cumpliendo la ley, algunos son encarcelados, maltratados e incluso muertos sin causa»</w:t>
      </w:r>
      <w:r>
        <w:rPr>
          <w:vertAlign w:val="superscript"/>
        </w:rPr>
        <w:t>◦</w:t>
      </w:r>
      <w:r>
        <w:t>; y pide «igualdad en la ley y en las penas»</w:t>
      </w:r>
      <w:r>
        <w:rPr>
          <w:vertAlign w:val="superscript"/>
        </w:rPr>
        <w:t>◦</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rPr>
          <w:vertAlign w:val="superscript"/>
        </w:rPr>
        <w:t>◦</w:t>
      </w:r>
      <w:r>
        <w:t>.</w:t>
      </w:r>
    </w:p>
    <w:p>
      <w:pPr>
        <w:pStyle w:val="ListBullet2"/>
      </w:pPr>
      <w:r>
        <w:t>«No eres justo por juzgar con precipitación»</w:t>
      </w:r>
      <w:r>
        <w:rPr>
          <w:vertAlign w:val="superscript"/>
        </w:rPr>
        <w:t>◦</w:t>
      </w:r>
      <w:r>
        <w:t>; según el comentario, los versos nacen al ver a unos «señores de la justicia que aceptaban sobornos»</w:t>
      </w:r>
      <w:r>
        <w:rPr>
          <w:vertAlign w:val="superscript"/>
        </w:rPr>
        <w:t>◦</w:t>
      </w:r>
      <w:r>
        <w:t>.</w:t>
      </w:r>
    </w:p>
    <w:p>
      <w:pPr>
        <w:pStyle w:val="ListBullet2"/>
      </w:pPr>
      <w:r>
        <w:t>Guru Nanak: «se hacen jueces y se sientan a impartir justicia […]; aceptan sobornos y niegan el derecho»</w:t>
      </w:r>
      <w:r>
        <w:rPr>
          <w:vertAlign w:val="superscript"/>
        </w:rPr>
        <w:t>◦</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rPr>
          <w:vertAlign w:val="superscript"/>
        </w:rPr>
        <w:t>◦</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rPr>
          <w:vertAlign w:val="superscript"/>
        </w:rPr>
        <w:t>◦</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rPr>
          <w:vertAlign w:val="superscript"/>
        </w:rPr>
        <w:t>◦</w:t>
      </w:r>
      <w:r>
        <w:t>.</w:t>
      </w:r>
    </w:p>
    <w:p>
      <w:pPr>
        <w:pStyle w:val="ListBullet2"/>
      </w:pPr>
      <w:r>
        <w:t>Contra P7: «estas son las dieciocho clases de tortura»</w:t>
      </w:r>
      <w:r>
        <w:rPr>
          <w:vertAlign w:val="superscript"/>
        </w:rPr>
        <w:t>◦</w:t>
      </w:r>
      <w:r>
        <w:t>; pero el mismo capítulo pide «pruebas concluyentes»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rPr>
          <w:vertAlign w:val="superscript"/>
        </w:rPr>
        <w:t>◦</w:t>
      </w:r>
      <w:r>
        <w:t>.</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rPr>
          <w:vertAlign w:val="superscript"/>
        </w:rPr>
        <w:t>◦</w:t>
      </w:r>
      <w:r>
        <w:t>; y «antiguamente el pueblo hacía la guerra a los malos reyes»</w:t>
      </w:r>
      <w:r>
        <w:rPr>
          <w:vertAlign w:val="superscript"/>
        </w:rPr>
        <w:t>◦</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rPr>
          <w:vertAlign w:val="superscript"/>
        </w:rPr>
        <w:t>◦</w:t>
      </w:r>
      <w:r>
        <w:t>, y deben, con sus rebaños, «alimentar a los pobres»</w:t>
      </w:r>
      <w:r>
        <w:rPr>
          <w:vertAlign w:val="superscript"/>
        </w:rPr>
        <w:t>◦</w:t>
      </w:r>
      <w:r>
        <w:t>.</w:t>
      </w:r>
    </w:p>
    <w:p>
      <w:pPr>
        <w:pStyle w:val="ListBullet2"/>
      </w:pPr>
      <w:r>
        <w:rPr>
          <w:b/>
        </w:rPr>
        <w:t>Los yorubas de Oyó:</w:t>
      </w:r>
      <w:r>
        <w:t xml:space="preserve"> el poder del rey «debe ejercerse dentro del límite de la constitución no escrita»</w:t>
      </w:r>
      <w:r>
        <w:t>, y si es tiránico, el Basorun, «como portavoz del pueblo», propone su rechazo</w:t>
      </w:r>
      <w:r>
        <w:rPr>
          <w:vertAlign w:val="superscript"/>
        </w:rPr>
        <w:t>◦</w:t>
      </w:r>
      <w:r>
        <w:t>.</w:t>
      </w:r>
    </w:p>
    <w:p>
      <w:pPr>
        <w:pStyle w:val="ListBullet2"/>
      </w:pPr>
      <w:r>
        <w:rPr>
          <w:b/>
        </w:rPr>
        <w:t>Los iroqueses:</w:t>
      </w:r>
      <w:r>
        <w:t xml:space="preserve"> «esta sarta de wampum da al pueblo el derecho de corregir a sus señores extraviados»</w:t>
      </w:r>
      <w:r>
        <w:rPr>
          <w:vertAlign w:val="superscript"/>
        </w:rPr>
        <w:t>◦</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y no aceptar el consejo de los suyos «era causa legítima de destronamiento»</w:t>
      </w:r>
      <w:r>
        <w:rPr>
          <w:vertAlign w:val="superscript"/>
        </w:rPr>
        <w:t>◦</w:t>
      </w:r>
      <w:r>
        <w:t>.</w:t>
      </w:r>
    </w:p>
    <w:p>
      <w:pPr>
        <w:pStyle w:val="ListBullet2"/>
      </w:pPr>
      <w:r>
        <w:rPr>
          <w:b/>
        </w:rPr>
        <w:t>Los mexicas:</w:t>
      </w:r>
      <w:r>
        <w:t xml:space="preserve"> el señor es nombrado «padre y madre de este reino», y ha de sustentar al pueblo «como á niños que están en la cuna»</w:t>
      </w:r>
      <w:r>
        <w:rPr>
          <w:vertAlign w:val="superscript"/>
        </w:rPr>
        <w:t>◦</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rPr>
          <w:vertAlign w:val="superscript"/>
        </w:rPr>
        <w:t>◦</w:t>
      </w:r>
      <w:r>
        <w:t>; y «no era justo pedir a los vasallos lo que no tenían de cosecha»</w:t>
      </w:r>
      <w:r>
        <w:rPr>
          <w:vertAlign w:val="superscript"/>
        </w:rPr>
        <w:t>◦</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rPr>
          <w:vertAlign w:val="superscript"/>
        </w:rPr>
        <w:t>◦</w:t>
      </w:r>
      <w:r>
        <w:t>; y varios reyes perdieron la vida «por sus crueles exacciones sobre el pueblo llano»</w:t>
      </w:r>
      <w:r>
        <w:rPr>
          <w:vertAlign w:val="superscript"/>
        </w:rPr>
        <w:t>◦</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rPr>
          <w:vertAlign w:val="superscript"/>
        </w:rPr>
        <w:t>◦</w:t>
      </w:r>
      <w:r>
        <w:t>.</w:t>
      </w:r>
    </w:p>
    <w:p>
      <w:pPr>
        <w:pStyle w:val="ListBullet2"/>
      </w:pPr>
      <w:r>
        <w:t>Había jueces en cada pueblo para que el pobre no tuviera que salir a pleitear, porque «muchas veces monta más esto que lo que van a pedir»</w:t>
      </w:r>
      <w:r>
        <w:rPr>
          <w:vertAlign w:val="superscript"/>
        </w:rPr>
        <w:t>◦</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rPr>
          <w:vertAlign w:val="superscript"/>
        </w:rPr>
        <w:t>◦</w:t>
      </w:r>
      <w:r>
        <w:t>.</w:t>
      </w:r>
    </w:p>
    <w:p>
      <w:pPr>
        <w:pStyle w:val="ListBullet2"/>
      </w:pPr>
      <w:r>
        <w:t>El señor cuidaba el mercado «por amor de la gente popular […] para que nadie los hiciese fraude»</w:t>
      </w:r>
      <w:r>
        <w:rPr>
          <w:vertAlign w:val="superscript"/>
        </w:rPr>
        <w:t>◦</w:t>
      </w:r>
      <w:r>
        <w:t>.</w:t>
      </w:r>
    </w:p>
    <w:p>
      <w:pPr>
        <w:pStyle w:val="ListBullet"/>
      </w:pPr>
      <w:r>
        <w:rPr>
          <w:b/>
        </w:rPr>
        <w:t>P5. Devolver lo confiado</w:t>
      </w:r>
      <w:r>
        <w:t xml:space="preserve"> (un punto débil). </w:t>
      </w:r>
    </w:p>
    <w:p>
      <w:pPr>
        <w:pStyle w:val="ListBullet2"/>
      </w:pPr>
      <w:r>
        <w:t>Si el animal del vecino entra entre tus bienes, «hazlo volver a él»</w:t>
      </w:r>
      <w:r>
        <w:t>; y si no sabes de quién es, cuídalo hasta saberlo, y entonces devuélveselo</w:t>
      </w:r>
      <w:r>
        <w:rPr>
          <w:vertAlign w:val="superscript"/>
        </w:rPr>
        <w:t>◦</w:t>
      </w:r>
      <w:r>
        <w:t>.</w:t>
      </w:r>
    </w:p>
    <w:p>
      <w:pPr>
        <w:pStyle w:val="ListBullet2"/>
      </w:pPr>
      <w:r>
        <w:t>El súbdito que guarda los rebaños del jefe debe «presentarlos a su verdadero dueño»</w:t>
      </w:r>
      <w:r>
        <w:t xml:space="preserve"> cuando este quiera</w:t>
      </w:r>
      <w:r>
        <w:rPr>
          <w:vertAlign w:val="superscript"/>
        </w:rPr>
        <w:t>◦</w:t>
      </w:r>
      <w:r>
        <w:t>; y el robo se repara con restitución y multa, en algunas tribus «de cuatro a uno»</w:t>
      </w:r>
      <w:r>
        <w:rPr>
          <w:vertAlign w:val="superscript"/>
        </w:rPr>
        <w:t>◦</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rPr>
          <w:vertAlign w:val="superscript"/>
        </w:rPr>
        <w:t>◦</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rPr>
          <w:vertAlign w:val="superscript"/>
        </w:rPr>
        <w:t>◦</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rPr>
          <w:vertAlign w:val="superscript"/>
        </w:rPr>
        <w:t>◦</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rPr>
          <w:vertAlign w:val="superscript"/>
        </w:rPr>
        <w:t>◦</w:t>
      </w:r>
      <w:r>
        <w:t>, y «las causas se discuten siempre en público»</w:t>
      </w:r>
      <w:r>
        <w:rPr>
          <w:vertAlign w:val="superscript"/>
        </w:rPr>
        <w:t>◦</w:t>
      </w:r>
      <w:r>
        <w:t>.</w:t>
      </w:r>
    </w:p>
    <w:p>
      <w:pPr>
        <w:pStyle w:val="ListBullet2"/>
      </w:pPr>
      <w:r>
        <w:t>Los jueces mexicas pedían primero «la pintura en que estaban escritas ó pintadas las causas», y después los testigos</w:t>
      </w:r>
      <w:r>
        <w:rPr>
          <w:vertAlign w:val="superscript"/>
        </w:rPr>
        <w:t>◦</w:t>
      </w:r>
      <w:r>
        <w:t>; y al señor se le aconsejaba: «antes debes quedar atrás en el castigo y ejecución del que no pasar adelante»</w:t>
      </w:r>
      <w:r>
        <w:rPr>
          <w:vertAlign w:val="superscript"/>
        </w:rPr>
        <w:t>◦</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rPr>
          <w:vertAlign w:val="superscript"/>
        </w:rPr>
        <w:t>◦</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rPr>
          <w:vertAlign w:val="superscript"/>
        </w:rPr>
        <w:t>◦</w:t>
      </w:r>
      <w:r>
        <w:t>.</w:t>
      </w:r>
    </w:p>
    <w:p>
      <w:pPr>
        <w:pStyle w:val="ListBullet2"/>
      </w:pPr>
      <w:r>
        <w:t>«Cuando te pongas a juzgar, no ames los regalos, es decir, los sobornos»</w:t>
      </w:r>
      <w:r>
        <w:rPr>
          <w:vertAlign w:val="superscript"/>
        </w:rPr>
        <w:t>◦</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rPr>
          <w:vertAlign w:val="superscript"/>
        </w:rPr>
        <w:t>◦</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rPr>
          <w:vertAlign w:val="superscript"/>
        </w:rPr>
        <w:t>◦</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rPr>
          <w:vertAlign w:val="superscript"/>
        </w:rPr>
        <w:t>◦</w:t>
      </w:r>
      <w:r>
        <w:t>, y el pueblo vivía «siempre cargado con una exacción u otra»</w:t>
      </w:r>
      <w:r>
        <w:rPr>
          <w:vertAlign w:val="superscript"/>
        </w:rPr>
        <w:t>◦</w:t>
      </w:r>
      <w:r>
        <w:t>. La «ley común» y la «ley casera» de los incas, en 3.2; y la misma ley mandaba comer «las puertas abiertas», para que los ministros de los jueces entraran a inspeccionar las casas</w:t>
      </w:r>
      <w:r>
        <w:rPr>
          <w:vertAlign w:val="superscript"/>
        </w:rPr>
        <w:t>◦</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rPr>
          <w:vertAlign w:val="superscript"/>
        </w:rPr>
        <w:t>◦</w:t>
      </w:r>
      <w:r>
        <w:t>.</w:t>
      </w:r>
    </w:p>
    <w:p>
      <w:pPr>
        <w:pStyle w:val="ListBullet2"/>
      </w:pPr>
      <w:r>
        <w:rPr>
          <w:b/>
        </w:rPr>
        <w:t>Contra P7:</w:t>
      </w:r>
      <w:r>
        <w:t xml:space="preserve"> por la culpa del mayordomo, echaban de la casa a sus hijos y parientes, y «la casa con toda la hacienda se aplicaba al señor»</w:t>
      </w:r>
      <w:r>
        <w:rPr>
          <w:vertAlign w:val="superscript"/>
        </w:rPr>
        <w:t>◦</w:t>
      </w:r>
      <w:r>
        <w:t>; y en la Kebra Nagast, «él, su mujer y sus hijos serán condenados»</w:t>
      </w:r>
      <w:r>
        <w:rPr>
          <w:vertAlign w:val="superscript"/>
        </w:rPr>
        <w:t>◦</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rPr>
          <w:vertAlign w:val="superscript"/>
        </w:rPr>
        <w:t>◦</w:t>
      </w:r>
      <w:r>
        <w:t>; y entre los basutos, la pena de muerte por homicidio se conmutaba, por lo general, «por la confiscación»</w:t>
      </w:r>
      <w:r>
        <w:rPr>
          <w:vertAlign w:val="superscript"/>
        </w:rPr>
        <w:t>◦</w:t>
      </w:r>
      <w:r>
        <w:t>.</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escribió Franz Boas en 1896. Y el mismo Boas pone el límite: «los mismos fenómenos pueden desarrollarse de muchísimas maneras»</w:t>
      </w:r>
      <w:r>
        <w:rPr>
          <w:vertAlign w:val="superscript"/>
        </w:rPr>
        <w:t>◦</w:t>
      </w:r>
      <w:r>
        <w:t>, de modo que el parecido no prueba una misma causa. Con esa doble cautela se leen las tradiciones que siguen, cada una con su fuente.</w:t>
      </w:r>
    </w:p>
    <w:p>
      <w:r>
        <w:rPr>
          <w:b/>
        </w:rPr>
        <w:t>Los inuit.</w:t>
      </w:r>
      <w:r>
        <w:t xml:space="preserve"> «Los ancianos describen los maligait, las leyes naturales, como las leyes más fundamentales arraigadas en la sociedad inuit»</w:t>
      </w:r>
      <w:r>
        <w:t>. El marco educativo del Gobierno de Nunavut los resume en cuatro: trabajar por el bien común, respetar a todos los seres vivos, mantener la armonía, y planificar y prepararse continuamente para un futuro mejor</w:t>
      </w:r>
      <w:r>
        <w:rPr>
          <w:vertAlign w:val="superscript"/>
        </w:rPr>
        <w:t>◦</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rPr>
          <w:vertAlign w:val="superscript"/>
        </w:rPr>
        <w:t>◦</w:t>
      </w:r>
      <w:r>
        <w:t>.</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rPr>
          <w:vertAlign w:val="superscript"/>
        </w:rPr>
        <w:t>◦</w:t>
      </w:r>
      <w:r>
        <w:t>; el mismo autor valoró después la propiedad de los lotes individuales, y así se dice</w:t>
      </w:r>
      <w:r>
        <w:rPr>
          <w:vertAlign w:val="superscript"/>
        </w:rPr>
        <w:t>◦</w:t>
      </w:r>
      <w:r>
        <w:t>. La Confederación Haudenosaunee (iroquesa), de los Bosques del Este, en el norte del actual estado de Nueva York</w:t>
      </w:r>
      <w:r>
        <w:rPr>
          <w:vertAlign w:val="superscript"/>
        </w:rPr>
        <w:t>◦</w:t>
      </w:r>
      <w:r>
        <w:t>, fijó en su Gran Ley de la Paz que los clanes son «los únicos dueños y poseedores del suelo del país», que les corresponde «como derecho de nacimiento»</w:t>
      </w:r>
      <w:r>
        <w:rPr>
          <w:vertAlign w:val="superscript"/>
        </w:rPr>
        <w:t>◦</w:t>
      </w:r>
      <w:r>
        <w:t>, y que las mujeres «serán dueñas de la tierra y del suelo»</w:t>
      </w:r>
      <w:r>
        <w:rPr>
          <w:vertAlign w:val="superscript"/>
        </w:rPr>
        <w:t>◦</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rPr>
          <w:vertAlign w:val="superscript"/>
        </w:rPr>
        <w:t>◦</w:t>
      </w:r>
      <w:r>
        <w:t>. En Mesoamérica, los mexicas organizaban su tejido social en calpulli: «barrio de gente conocida ó linaje antiguo», cuyas tierras «no son en particular de cada uno del barrio, sino en común del calpulli, y el que las posee no las puede enajenar»</w:t>
      </w:r>
      <w:r>
        <w:rPr>
          <w:vertAlign w:val="superscript"/>
        </w:rPr>
        <w:t>◦</w:t>
      </w:r>
      <w:r>
        <w:t>.</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rPr>
          <w:vertAlign w:val="superscript"/>
        </w:rPr>
        <w:t>◦</w:t>
      </w:r>
      <w:r>
        <w:t>. La cárcel, al modo de hoy, no era la vía: la retención por el rey fue su sustituto arcaico</w:t>
      </w:r>
      <w:r>
        <w:rPr>
          <w:vertAlign w:val="superscript"/>
        </w:rPr>
        <w:t>◦</w:t>
      </w:r>
      <w:r>
        <w:t>.</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Los ancianos de los clanes son a la vez sus legisladores, sus ejecutores y sus jueces, y deciden teniendo en cuenta el delito, su pena prevista y el precedente</w:t>
      </w:r>
      <w:r>
        <w:rPr>
          <w:vertAlign w:val="superscript"/>
        </w:rPr>
        <w:t>◦</w:t>
      </w:r>
      <w:r>
        <w:t>. Sigue en uso: en 2024 la UNESCO inscribió en la Lista Representativa del Patrimonio Cultural Inmaterial el Xeer Ciise, «las leyes consuetudinarias orales de las comunidades somalíes issa de Etiopía, Yibuti y Somalia»</w:t>
      </w:r>
      <w:r>
        <w:t>, con tres componentes: una constitución política que reparte el poder y los procesos de decisión, un código penal centrado en la reconciliación y la compensación, y un código de conducta social</w:t>
      </w:r>
      <w:r>
        <w:rPr>
          <w:vertAlign w:val="superscript"/>
        </w:rPr>
        <w:t>◦</w:t>
      </w:r>
      <w:r>
        <w:t>. No es una costumbre aislada: «la sharía islámica está en gran parte integrada en el desarrollo del xeer»</w:t>
      </w:r>
      <w:r>
        <w:rPr>
          <w:vertAlign w:val="superscript"/>
        </w:rPr>
        <w:t>◦</w:t>
      </w:r>
      <w:r>
        <w:t>.</w:t>
      </w:r>
    </w:p>
    <w:p>
      <w:r>
        <w:rPr>
          <w:b/>
        </w:rPr>
        <w:t>Los Andes, los aborígenes australianos y Sudáfrica.</w:t>
      </w:r>
      <w:r>
        <w:t xml:space="preserve"> En los Andes, el ayni y la mita sostuvieron una economía sin moneda: los incas «ni supieron arrendar, ni comprar ni vender, porque no tuvieron moneda»</w:t>
      </w:r>
      <w:r>
        <w:rPr>
          <w:vertAlign w:val="superscript"/>
        </w:rPr>
        <w:t>◦</w:t>
      </w:r>
      <w:r>
        <w:t>. Había ferias de trueque, que «ellos llaman Catu»</w:t>
      </w:r>
      <w:r>
        <w:rPr>
          <w:vertAlign w:val="superscript"/>
        </w:rPr>
        <w:t>◦</w:t>
      </w:r>
      <w:r>
        <w:t>, pero no producción para vender</w:t>
      </w:r>
      <w:r>
        <w:rPr>
          <w:vertAlign w:val="superscript"/>
        </w:rPr>
        <w:t>◦</w:t>
      </w:r>
      <w:r>
        <w:t>. El ayni es un servicio que se presta esperando una reciprocidad medida, entre iguales y vecinos; la mita, el trabajo «prestado» por turnos a la comunidad o al Estado</w:t>
      </w:r>
      <w:r>
        <w:rPr>
          <w:vertAlign w:val="superscript"/>
        </w:rPr>
        <w:t>◦</w:t>
      </w:r>
      <w:r>
        <w:t>.</w:t>
      </w:r>
    </w:p>
    <w:p>
      <w:r>
        <w:t>El derecho consuetudinario aborigen australiano es el de pueblos que ocupan el continente desde hace «al menos 40.000 años»</w:t>
      </w:r>
      <w:r>
        <w:rPr>
          <w:vertAlign w:val="superscript"/>
        </w:rPr>
        <w:t>◦</w:t>
      </w:r>
      <w:r>
        <w:t>, y que hablaban unas 250 lenguas y más de 500 dialectos a la llegada de los europeos</w:t>
      </w:r>
      <w:r>
        <w:rPr>
          <w:vertAlign w:val="superscript"/>
        </w:rPr>
        <w:t>◦</w:t>
      </w:r>
      <w:r>
        <w:t>. Para ellos, «el Tiempo del Sueño es la Ley»</w:t>
      </w:r>
      <w:r>
        <w:rPr>
          <w:vertAlign w:val="superscript"/>
        </w:rPr>
        <w:t>◦</w:t>
      </w:r>
      <w:r>
        <w:t xml:space="preserve">. Sus </w:t>
      </w:r>
      <w:r>
        <w:rPr>
          <w:i/>
        </w:rPr>
        <w:t>songlines</w:t>
      </w:r>
      <w:r>
        <w:t xml:space="preserve"> son «mapas orales del paisaje»</w:t>
      </w:r>
      <w:r>
        <w:rPr>
          <w:vertAlign w:val="superscript"/>
        </w:rPr>
        <w:t>◦</w:t>
      </w:r>
      <w:r>
        <w:t xml:space="preserve"> que transmiten la navegación, los territorios de los clanes y la Ley, incluida la que regula la tierra y cómo tratarse unos a otros</w:t>
      </w:r>
      <w:r>
        <w:rPr>
          <w:vertAlign w:val="superscript"/>
        </w:rPr>
        <w:t>◦</w:t>
      </w:r>
      <w:r>
        <w:t>.</w:t>
      </w:r>
    </w:p>
    <w:p>
      <w:r>
        <w:t>Y en Sudáfrica, tras el apartheid, la Constitución de 1993 pidió «comprensión, no venganza; reparación, no represalia; ubuntu, no victimización»</w:t>
      </w:r>
      <w:r>
        <w:rPr>
          <w:vertAlign w:val="superscript"/>
        </w:rPr>
        <w:t>◦</w:t>
      </w:r>
      <w:r>
        <w:t>, y la Ley 34 de 1995 creó la Comisión de la Verdad y la Reconciliación</w:t>
      </w:r>
      <w:r>
        <w:rPr>
          <w:vertAlign w:val="superscript"/>
        </w:rPr>
        <w:t>◦</w:t>
      </w:r>
      <w:r>
        <w:t>.</w:t>
      </w:r>
    </w:p>
    <w:p>
      <w:r>
        <w:rPr>
          <w:b/>
        </w:rPr>
        <w:t>El Althing, el derecho azteca, el mir, el Vinaya y la Yassa.</w:t>
      </w:r>
      <w:r>
        <w:t xml:space="preserve"> El Althing de Islandia se estableció en Þingvellir en 930, y su ley se hizo sobre el modelo de la del Gulaþing noruego</w:t>
      </w:r>
      <w:r>
        <w:rPr>
          <w:vertAlign w:val="superscript"/>
        </w:rPr>
        <w:t>◦</w:t>
      </w:r>
      <w:r>
        <w:t>. Tenía poderes legislativos y judiciales, y la ley la hacía un cuerpo selecto dentro de la asamblea, la lögrétta: decidían jefes y jueces, ante la asamblea de hombres libres. Fue suprimido en 1800 y restablecido en 1845, como órgano consultivo, en Reikiavik</w:t>
      </w:r>
      <w:r>
        <w:rPr>
          <w:vertAlign w:val="superscript"/>
        </w:rPr>
        <w:t>◦</w:t>
      </w:r>
      <w:r>
        <w:t>.</w:t>
      </w:r>
    </w:p>
    <w:p>
      <w:r>
        <w:t>El derecho azteca tenía tribunales escalonados: jueces ordinarios para los pleitos menores, y apelaciones ante doce jueces superiores que «sentenciaban con parecer del Señor»</w:t>
      </w:r>
      <w:r>
        <w:rPr>
          <w:vertAlign w:val="superscript"/>
        </w:rPr>
        <w:t>◦</w:t>
      </w:r>
      <w:r>
        <w:t>; un juez de barrio que, según Clavijero (siglo XVIII), «se elegía anualmente por los vecinos»; y el cihuacóatl, de cuyas sentencias no se podía apelar «ni aun al mismo rey»</w:t>
      </w:r>
      <w:r>
        <w:rPr>
          <w:vertAlign w:val="superscript"/>
        </w:rPr>
        <w:t>◦</w:t>
      </w:r>
      <w:r>
        <w:t>. Se juzgaba según «las leyes del reino, como las expresaban las pinturas»</w:t>
      </w:r>
      <w:r>
        <w:rPr>
          <w:vertAlign w:val="superscript"/>
        </w:rPr>
        <w:t>◦</w:t>
      </w:r>
      <w:r>
        <w:t>. Nezahualcóyotl, señor de Tezcoco en el siglo XV, «estableció ochenta leyes»</w:t>
      </w:r>
      <w:r>
        <w:rPr>
          <w:vertAlign w:val="superscript"/>
        </w:rPr>
        <w:t>◦</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rPr>
          <w:vertAlign w:val="superscript"/>
        </w:rPr>
        <w:t>◦</w:t>
      </w:r>
      <w:r>
        <w:t>. El Vinaya budista regulaba la convivencia monástica con un código propio y siete principios para resolver las cuestiones legales, entre ellos la decisión por mayoría</w:t>
      </w:r>
      <w:r>
        <w:rPr>
          <w:vertAlign w:val="superscript"/>
        </w:rPr>
        <w:t>◦</w:t>
      </w:r>
      <w:r>
        <w:t>, aunque remite a la ley del rey para medir el robo grave</w:t>
      </w:r>
      <w:r>
        <w:rPr>
          <w:vertAlign w:val="superscript"/>
        </w:rPr>
        <w:t>◦</w:t>
      </w:r>
      <w:r>
        <w:t>. Y la Yassa de Gengis Kan mandaba, según Juvaini, «considerar todas las confesiones como una sola y no distinguirlas entre sí»</w:t>
      </w:r>
      <w:r>
        <w:t>; se escribía en rollos que «se guardan en el tesoro de los príncipes principales»</w:t>
      </w:r>
      <w:r>
        <w:t>, y cada kan que subía al trono ajustaba a ellos sus actos</w:t>
      </w:r>
      <w:r>
        <w:rPr>
          <w:vertAlign w:val="superscript"/>
        </w:rPr>
        <w:t>◦</w:t>
      </w:r>
      <w:r>
        <w:t>. Es la ley de un conquistador, y entra con esa cautela.</w:t>
      </w:r>
    </w:p>
    <w:p>
      <w:r>
        <w:rPr>
          <w:b/>
        </w:rPr>
        <w:t>El tikanga maorí.</w:t>
      </w:r>
      <w:r>
        <w:t xml:space="preserve"> El tikanga maorí de Nueva Zelanda tiene valores y reglas, pero mandan los valores: «son esos valores los que dan la guía principal de conducta»</w:t>
      </w:r>
      <w:r>
        <w:rPr>
          <w:vertAlign w:val="superscript"/>
        </w:rPr>
        <w:t>◦</w:t>
      </w:r>
      <w:r>
        <w:t>. Entre ellos está el utu, que no es solo venganza: es reciprocidad (</w:t>
      </w:r>
      <w:r>
        <w:rPr>
          <w:i/>
        </w:rPr>
        <w:t>tau utuutu</w:t>
      </w:r>
      <w:r>
        <w:t>) y equilibrio, con instituciones como el muru, que trasladaba bienes a los agraviados por la falta de otro</w:t>
      </w:r>
      <w:r>
        <w:rPr>
          <w:vertAlign w:val="superscript"/>
        </w:rPr>
        <w:t>◦</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rPr>
          <w:vertAlign w:val="superscript"/>
        </w:rPr>
        <w:t>◦</w:t>
      </w:r>
      <w:r>
        <w:t>.</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rPr>
          <w:vertAlign w:val="superscript"/>
        </w:rPr>
        <w:t>◦</w:t>
      </w:r>
      <w:r>
        <w:t>.</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rPr>
          <w:vertAlign w:val="superscript"/>
        </w:rPr>
        <w:t>◦</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rPr>
          <w:vertAlign w:val="superscript"/>
        </w:rPr>
        <w:t>◦</w:t>
      </w:r>
      <w:r>
        <w:t>. Lo que cambia son las fuentes (su boletín oficial, su tribunal constitucional, su estadística nacional); lo que no cambia es el orden en que se trabaja y la regla de que ningún dato entra sin su fuente.</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La obra la hizo una persona con ayuda de herramientas de inteligencia artificial: Claude Code, Sofía (el asistente de inteligencia artificial de Google) y NotebookLM (</w:t>
      </w:r>
      <w:r>
        <w:t>0.2</w:t>
      </w:r>
      <w:r>
        <w:t>). Esas herramientas se equivocan, y a veces mucho (</w:t>
      </w:r>
      <w:r>
        <w:t>G.3</w:t>
      </w:r>
      <w:r>
        <w:t>, n.º 6 a 8); por eso el método no descansa en quién trajo un dato, sino en que se compruebe en su original.</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Los pasos se agrupan en cuatro trabajos que no se mezclan: ordenar (paso 2), comprobar todo agrupado por fuente (pasos 3 y 4), redactar (5 y 6) y enlazar al final (</w:t>
      </w:r>
      <w:r>
        <w:t>7</w:t>
      </w:r>
      <w:r>
        <w:t>). El 6-oct-2026, cuando la obra llevaba semanas comprobándose capítulo a capítulo, el autor dijo: «esto que ya lo comprobé cinco veces se está volviendo infinito». De ahí salió el orden de arriba: cada fuente se abre una vez, y esa lectura sirve a todos los capítulos donde aparece.</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 xml:space="preserve">{completo}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p>
    <w:p>
      <w:pPr>
        <w:spacing w:after="60"/>
        <w:ind w:left="510" w:hanging="397"/>
      </w:pPr>
      <w:r>
        <w:rPr>
          <w:b w:val="0"/>
        </w:rPr>
        <w:t xml:space="preserve">2. </w:t>
      </w:r>
      <w:r>
        <w:rPr>
          <w:b/>
        </w:rPr>
        <w:t>Dividirlo en bloques manejables</w:t>
      </w:r>
      <w:r>
        <w:t xml:space="preserve"> (por títulos o capítulos) para no perder rigor por volumen. </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rPr>
          <w:vertAlign w:val="superscript"/>
        </w:rPr>
        <w:t>◦</w:t>
      </w:r>
      <w:r>
        <w:t>.</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rPr>
          <w:vertAlign w:val="superscript"/>
        </w:rPr>
        <w:t>◦</w:t>
      </w:r>
      <w:r>
        <w:t>. Lo que Ulpiano dice de verdad es otra cosa: «derecho natural es el que la naturaleza enseñó a todos los animales, pues este derecho no es propio del género humano, sino común a todos los animales que nacen en la tierra y en el mar, y también a las aves»</w:t>
      </w:r>
      <w:r>
        <w:rPr>
          <w:vertAlign w:val="superscript"/>
        </w:rPr>
        <w:t>◦</w:t>
      </w:r>
      <w:r>
        <w:t>. Su derecho natural incluye el instinto compartido con los animales, no solo la razón moral humana: un matiz que lo distingue del concepto de la ley natural de Cicerón y de Aquino.</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rPr>
          <w:vertAlign w:val="superscript"/>
        </w:rPr>
        <w:t>◦</w:t>
      </w:r>
      <w:r>
        <w:t xml:space="preserve"> y se comprobó en el texto de 1789. Está en el prefacio de </w:t>
      </w:r>
      <w:r>
        <w:rPr>
          <w:i/>
        </w:rPr>
        <w:t>A Fragment on Government</w:t>
      </w:r>
      <w:r>
        <w:t xml:space="preserve"> (1776): «la mayor felicidad del mayor número es la medida de lo justo y de lo injusto»</w:t>
      </w:r>
      <w:r>
        <w:rPr>
          <w:vertAlign w:val="superscript"/>
        </w:rPr>
        <w:t>◦</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rPr>
          <w:vertAlign w:val="superscript"/>
        </w:rPr>
        <w:t>◦</w:t>
      </w:r>
      <w:r>
        <w:t>.</w:t>
      </w:r>
    </w:p>
    <w:p>
      <w:r>
        <w:rPr>
          <w:b/>
        </w:rPr>
        <w:t>«Sine causa nulla obligatio» (Celso).</w:t>
      </w:r>
      <w:r>
        <w:t xml:space="preserve"> Un informe de partida daba como máxima romana «sine causa nulla obligatio». La máxima romana que está comprobada es la de Celso: «no hay obligación alguna de cosas imposibles»</w:t>
      </w:r>
      <w:r>
        <w:rPr>
          <w:vertAlign w:val="superscript"/>
        </w:rPr>
        <w:t>◦</w:t>
      </w:r>
      <w:r>
        <w:t>. Es el lema que recoge el Diccionario panhispánico del español jurídico, que añade que se lee a menudo con «m» (</w:t>
      </w:r>
      <w:r>
        <w:rPr>
          <w:i/>
        </w:rPr>
        <w:t>impossibilium</w:t>
      </w:r>
      <w:r>
        <w:t>),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w:t>
      </w:r>
    </w:p>
    <w:p>
      <w:r>
        <w:t>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w:t>
      </w:r>
    </w:p>
    <w:p>
      <w:r>
        <w:t>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w:t>
      </w:r>
    </w:p>
    <w:p>
      <w:r>
        <w:t>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rPr>
          <w:vertAlign w:val="superscript"/>
        </w:rPr>
        <w:t>◦</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Lo hace con amor incondicional hacia la tribu humana, «mis hermanos», y, ya que ha tenido que leer textos sagrados en esta peripecia, aprovecha para decir que esto sirva «para separar el grano de la paja».</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n.º 7).</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el autor empezó por sus propias creencias y las sometió a la misma vara que pide para el Estado; aquí, con su fecha.</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w:t>
      </w:r>
    </w:p>
    <w:p>
      <w:r>
        <w:t>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cuadra con esos dos usos; el trabajo seguido empezó a final de diciembre. Lo que ese registro no conserve no se puede comprobar.</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p>
    <w:p>
      <w:pPr>
        <w:pStyle w:val="ListBullet"/>
      </w:pPr>
      <w:r>
        <w:rPr>
          <w:b/>
        </w:rPr>
        <w:t>Las llaves de cada sitio oficial</w:t>
      </w:r>
      <w:r>
        <w:t xml:space="preserve"> (</w:t>
      </w:r>
      <w:r>
        <w:t>G.5</w:t>
      </w:r>
      <w:r>
        <w:t xml:space="preserve">) son del 6-oct-2026 y cambian. </w:t>
      </w:r>
    </w:p>
    <w:p>
      <w:pPr>
        <w:pStyle w:val="ListBullet"/>
      </w:pPr>
      <w:r>
        <w:rPr>
          <w:b/>
        </w:rPr>
        <w:t>Las doce trampas son las de esta obra,</w:t>
      </w:r>
      <w:r>
        <w:t xml:space="preserve"> no una lista completa. Hay más en otras obras y en otros países. </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rPr>
          <w:vertAlign w:val="superscript"/>
        </w:rPr>
        <w:t>◦</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rPr>
          <w:vertAlign w:val="superscript"/>
        </w:rPr>
        <w:t>◦</w:t>
      </w:r>
      <w:r>
        <w:t>.</w:t>
      </w:r>
    </w:p>
    <w:p>
      <w:pPr>
        <w:pStyle w:val="ListBullet"/>
      </w:pPr>
      <w:r>
        <w:rPr>
          <w:i/>
        </w:rPr>
        <w:t>Necessitas non habet legem</w:t>
      </w:r>
      <w:r>
        <w:t xml:space="preserve"> («la necesidad no tiene ley, sino que ella misma se hace su ley»)</w:t>
      </w:r>
      <w:r>
        <w:rPr>
          <w:vertAlign w:val="superscript"/>
        </w:rPr>
        <w:t>◦</w:t>
      </w:r>
      <w:r>
        <w:t>.</w:t>
      </w:r>
    </w:p>
    <w:p>
      <w:pPr>
        <w:pStyle w:val="ListBullet"/>
      </w:pPr>
      <w:r>
        <w:rPr>
          <w:i/>
        </w:rPr>
        <w:t>Quod ad ius naturale attinet, omnes homines aequales sunt</w:t>
      </w:r>
      <w:r>
        <w:t xml:space="preserve"> («en lo que atañe al derecho natural, todos los hombres son iguales»)</w:t>
      </w:r>
      <w:r>
        <w:rPr>
          <w:vertAlign w:val="superscript"/>
        </w:rPr>
        <w:t>◦</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rPr>
          <w:vertAlign w:val="superscript"/>
        </w:rPr>
        <w:t>◦</w:t>
      </w:r>
      <w:r>
        <w:t>.</w:t>
      </w:r>
    </w:p>
    <w:p>
      <w:pPr>
        <w:pStyle w:val="ListBullet"/>
      </w:pPr>
      <w:r>
        <w:rPr>
          <w:i/>
        </w:rPr>
        <w:t>Summum ius, summa iniuria</w:t>
      </w:r>
      <w:r>
        <w:t xml:space="preserve"> («excesivo derecho, excesiva injusticia»)</w:t>
      </w:r>
      <w:r>
        <w:rPr>
          <w:vertAlign w:val="superscript"/>
        </w:rPr>
        <w:t>◦</w:t>
      </w:r>
      <w:r>
        <w:t>.</w:t>
      </w:r>
    </w:p>
    <w:p>
      <w:pPr>
        <w:pStyle w:val="ListBullet"/>
      </w:pPr>
      <w:r>
        <w:rPr>
          <w:i/>
        </w:rPr>
        <w:t>Honeste vivere, alterum non laedere, suum cuique tribuere</w:t>
      </w:r>
      <w:r>
        <w:t xml:space="preserve"> («vivir honestamente, no dañar a otro, dar a cada uno lo suyo»): los preceptos del derecho</w:t>
      </w:r>
      <w:r>
        <w:rPr>
          <w:vertAlign w:val="superscript"/>
        </w:rPr>
        <w:t>◦</w:t>
      </w:r>
      <w:r>
        <w:t>.</w:t>
      </w:r>
    </w:p>
    <w:p>
      <w:pPr>
        <w:pStyle w:val="ListBullet"/>
      </w:pPr>
      <w:r>
        <w:rPr>
          <w:i/>
        </w:rPr>
        <w:t>Ius est ars boni et aequi</w:t>
      </w:r>
      <w:r>
        <w:t xml:space="preserve"> («el derecho es el arte de lo bueno y lo equitativo»), la definición de Celso con que se abre el Digesto</w:t>
      </w:r>
      <w:r>
        <w:rPr>
          <w:vertAlign w:val="superscript"/>
        </w:rPr>
        <w:t>◦</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rPr>
          <w:vertAlign w:val="superscript"/>
        </w:rPr>
        <w:t>◦</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rPr>
          <w:vertAlign w:val="superscript"/>
        </w:rPr>
        <w:t>◦</w:t>
      </w:r>
      <w:r>
        <w:t>.</w:t>
      </w:r>
    </w:p>
    <w:p>
      <w:pPr>
        <w:pStyle w:val="Heading3"/>
      </w:pPr>
      <w:r>
        <w:t>Debido proceso y protección de la persona</w:t>
      </w:r>
    </w:p>
    <w:p>
      <w:pPr>
        <w:pStyle w:val="ListBullet"/>
      </w:pPr>
      <w:r>
        <w:rPr>
          <w:i/>
        </w:rPr>
        <w:t>In dubio pro reo</w:t>
      </w:r>
      <w:r>
        <w:t xml:space="preserve"> («en caso de duda, a favor del reo»)</w:t>
      </w:r>
      <w:r>
        <w:rPr>
          <w:vertAlign w:val="superscript"/>
        </w:rPr>
        <w:t>◦</w:t>
      </w:r>
      <w:r>
        <w:t>. Con esas palabras no está en el Digesto; el diccionario la relaciona con Gayo: se debe favorecer más a los reos que a los actores</w:t>
      </w:r>
      <w:r>
        <w:rPr>
          <w:vertAlign w:val="superscript"/>
        </w:rPr>
        <w:t>◦</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rPr>
          <w:vertAlign w:val="superscript"/>
        </w:rPr>
        <w:t>◦</w:t>
      </w:r>
      <w:r>
        <w:t>.</w:t>
      </w:r>
    </w:p>
    <w:p>
      <w:pPr>
        <w:pStyle w:val="ListBullet"/>
      </w:pPr>
      <w:r>
        <w:rPr>
          <w:i/>
        </w:rPr>
        <w:t>Audi alteram partem</w:t>
      </w:r>
      <w:r>
        <w:t xml:space="preserve"> («óigase a la otra parte»), entre las reglas de la justicia</w:t>
      </w:r>
      <w:r>
        <w:rPr>
          <w:vertAlign w:val="superscript"/>
        </w:rPr>
        <w:t>◦</w:t>
      </w:r>
      <w:r>
        <w:t>. Su raíz romana, con otras palabras: quien decide algo sin oír a la otra parte, aunque decida lo justo, no fue justo</w:t>
      </w:r>
      <w:r>
        <w:rPr>
          <w:vertAlign w:val="superscript"/>
        </w:rPr>
        <w:t>◦</w:t>
      </w:r>
      <w:r>
        <w:t>.</w:t>
      </w:r>
    </w:p>
    <w:p>
      <w:pPr>
        <w:pStyle w:val="ListBullet"/>
      </w:pPr>
      <w:r>
        <w:rPr>
          <w:i/>
        </w:rPr>
        <w:t>Nullum crimen nulla poena sine lege</w:t>
      </w:r>
      <w:r>
        <w:t xml:space="preserve"> («no hay delito ni hay pena sin ley»)</w:t>
      </w:r>
      <w:r>
        <w:rPr>
          <w:vertAlign w:val="superscript"/>
        </w:rPr>
        <w:t>◦</w:t>
      </w:r>
      <w:r>
        <w:t xml:space="preserve">; la pieza la citaba solo con la pena, </w:t>
      </w:r>
      <w:r>
        <w:rPr>
          <w:i/>
        </w:rPr>
        <w:t>nulla poena sine lege</w:t>
      </w:r>
      <w:r>
        <w:t>, que el diccionario cuenta entre los tres principios del derecho penal que enunció Feuerbach</w:t>
      </w:r>
      <w:r>
        <w:rPr>
          <w:vertAlign w:val="superscript"/>
        </w:rPr>
        <w:t>◦</w:t>
      </w:r>
      <w:r>
        <w:t>. El principio está en la Declaración de 1789: nadie puede ser castigado sino en virtud de una ley establecida y promulgada antes del delito</w:t>
      </w:r>
      <w:r>
        <w:rPr>
          <w:vertAlign w:val="superscript"/>
        </w:rPr>
        <w:t>◦</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rPr>
          <w:vertAlign w:val="superscript"/>
        </w:rPr>
        <w:t>◦</w:t>
      </w:r>
      <w:r>
        <w:t xml:space="preserve">; con la forma </w:t>
      </w:r>
      <w:r>
        <w:rPr>
          <w:i/>
        </w:rPr>
        <w:t>nemo debet esse judex in propria sua causa</w:t>
      </w:r>
      <w:r>
        <w:t>, la recoge la Britannica, que cita a Coke</w:t>
      </w:r>
      <w:r>
        <w:rPr>
          <w:vertAlign w:val="superscript"/>
        </w:rPr>
        <w:t>◦</w:t>
      </w:r>
      <w:r>
        <w:t>.</w:t>
      </w:r>
    </w:p>
    <w:p>
      <w:pPr>
        <w:pStyle w:val="ListBullet"/>
      </w:pPr>
      <w:r>
        <w:rPr>
          <w:i/>
        </w:rPr>
        <w:t>Non bis in idem</w:t>
      </w:r>
      <w:r>
        <w:t xml:space="preserve"> («no dos veces por lo mismo»)</w:t>
      </w:r>
      <w:r>
        <w:rPr>
          <w:vertAlign w:val="superscript"/>
        </w:rPr>
        <w:t>◦</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rPr>
          <w:vertAlign w:val="superscript"/>
        </w:rPr>
        <w:t>◦</w:t>
      </w:r>
      <w:r>
        <w:t>.</w:t>
      </w:r>
    </w:p>
    <w:p>
      <w:pPr>
        <w:pStyle w:val="ListBullet"/>
      </w:pPr>
      <w:r>
        <w:rPr>
          <w:i/>
        </w:rPr>
        <w:t>Ad impossibilia nemo tenetur</w:t>
      </w:r>
      <w:r>
        <w:t xml:space="preserve"> («nadie está obligado a cosas imposibles»)</w:t>
      </w:r>
      <w:r>
        <w:rPr>
          <w:vertAlign w:val="superscript"/>
        </w:rPr>
        <w:t>◦</w:t>
      </w:r>
      <w:r>
        <w:t>. Las palabras de Celso son otras: no hay obligación de cosas imposibles</w:t>
      </w:r>
      <w:r>
        <w:rPr>
          <w:vertAlign w:val="superscript"/>
        </w:rPr>
        <w:t>◦</w:t>
      </w:r>
      <w:r>
        <w:t>.</w:t>
      </w:r>
    </w:p>
    <w:p>
      <w:pPr>
        <w:pStyle w:val="ListBullet"/>
      </w:pPr>
      <w:r>
        <w:rPr>
          <w:i/>
        </w:rPr>
        <w:t>Actus me invito factus, non est meus actus</w:t>
      </w:r>
      <w:r>
        <w:t xml:space="preserve"> («el acto hecho por mí contra mi voluntad no es mi acto»)</w:t>
      </w:r>
      <w:r>
        <w:rPr>
          <w:vertAlign w:val="superscript"/>
        </w:rPr>
        <w:t>◦</w:t>
      </w:r>
      <w:r>
        <w:t>.</w:t>
      </w:r>
    </w:p>
    <w:p>
      <w:pPr>
        <w:pStyle w:val="ListBullet"/>
      </w:pPr>
      <w:r>
        <w:rPr>
          <w:i/>
        </w:rPr>
        <w:t>Domus sua cuique est tutissimum refugium</w:t>
      </w:r>
      <w:r>
        <w:t xml:space="preserve"> («la casa de cada uno es su refugio más seguro»), de Edward Coke</w:t>
      </w:r>
      <w:r>
        <w:rPr>
          <w:vertAlign w:val="superscript"/>
        </w:rPr>
        <w:t>◦</w:t>
      </w:r>
      <w:r>
        <w:t>. Hoy, el domicilio es inviolable</w:t>
      </w:r>
      <w:r>
        <w:rPr>
          <w:vertAlign w:val="superscript"/>
        </w:rPr>
        <w:t>◦</w:t>
      </w:r>
      <w:r>
        <w:t>.</w:t>
      </w:r>
    </w:p>
    <w:p>
      <w:pPr>
        <w:pStyle w:val="ListBullet"/>
      </w:pPr>
      <w:r>
        <w:rPr>
          <w:i/>
        </w:rPr>
        <w:t>Iudices sententiae suae rationes adducant</w:t>
      </w:r>
      <w:r>
        <w:t xml:space="preserve"> («que los jueces den las razones de su sentencia»), un aforismo de Francis Bacon sobre los tribunales de equidad</w:t>
      </w:r>
      <w:r>
        <w:rPr>
          <w:vertAlign w:val="superscript"/>
        </w:rPr>
        <w:t>◦</w:t>
      </w:r>
      <w:r>
        <w:t>. Hoy, las sentencias serán siempre motivadas</w:t>
      </w:r>
      <w:r>
        <w:rPr>
          <w:vertAlign w:val="superscript"/>
        </w:rPr>
        <w:t>◦</w:t>
      </w:r>
      <w:r>
        <w:t>.</w:t>
      </w:r>
    </w:p>
    <w:p>
      <w:pPr>
        <w:pStyle w:val="ListBullet"/>
      </w:pPr>
      <w:r>
        <w:rPr>
          <w:i/>
        </w:rPr>
        <w:t>In dubio pro operario</w:t>
      </w:r>
      <w:r>
        <w:t xml:space="preserve"> («en caso de duda, a favor del trabajador»)</w:t>
      </w:r>
      <w:r>
        <w:rPr>
          <w:vertAlign w:val="superscript"/>
        </w:rPr>
        <w:t>◦</w:t>
      </w:r>
      <w:r>
        <w:t>.</w:t>
      </w:r>
    </w:p>
    <w:p>
      <w:pPr>
        <w:pStyle w:val="ListBullet"/>
      </w:pPr>
      <w:r>
        <w:rPr>
          <w:i/>
        </w:rPr>
        <w:t>Testis unus, testis nullus</w:t>
      </w:r>
      <w:r>
        <w:t xml:space="preserve"> («un testigo solo, testigo nulo»). La regla está en el derecho de la Iglesia: que ningún juez admita con facilidad el testimonio de uno solo</w:t>
      </w:r>
      <w:r>
        <w:rPr>
          <w:vertAlign w:val="superscript"/>
        </w:rPr>
        <w:t>◦</w:t>
      </w:r>
      <w:r>
        <w:t>.</w:t>
      </w:r>
    </w:p>
    <w:p>
      <w:pPr>
        <w:pStyle w:val="ListBullet"/>
      </w:pPr>
      <w:r>
        <w:rPr>
          <w:i/>
        </w:rPr>
        <w:t>Fiat iustitia et ruat caelum</w:t>
      </w:r>
      <w:r>
        <w:t xml:space="preserve"> («hágase justicia, aunque se hunda el cielo»)</w:t>
      </w:r>
      <w:r>
        <w:rPr>
          <w:vertAlign w:val="superscript"/>
        </w:rPr>
        <w:t>◦</w:t>
      </w:r>
      <w:r>
        <w:t>.</w:t>
      </w:r>
    </w:p>
    <w:p>
      <w:pPr>
        <w:pStyle w:val="Heading3"/>
      </w:pPr>
      <w:r>
        <w:t>Actos propios, consentimiento y buena fe</w:t>
      </w:r>
    </w:p>
    <w:p>
      <w:pPr>
        <w:pStyle w:val="ListBullet"/>
      </w:pPr>
      <w:r>
        <w:rPr>
          <w:i/>
        </w:rPr>
        <w:t>Pacta sunt servanda</w:t>
      </w:r>
      <w:r>
        <w:t xml:space="preserve"> («los pactos deben cumplirse»)</w:t>
      </w:r>
      <w:r>
        <w:rPr>
          <w:vertAlign w:val="superscript"/>
        </w:rPr>
        <w:t>◦</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rPr>
          <w:vertAlign w:val="superscript"/>
        </w:rPr>
        <w:t>◦</w:t>
      </w:r>
      <w:r>
        <w:t>.</w:t>
      </w:r>
    </w:p>
    <w:p>
      <w:pPr>
        <w:pStyle w:val="ListBullet"/>
      </w:pPr>
      <w:r>
        <w:rPr>
          <w:i/>
        </w:rPr>
        <w:t>Qui tacet, consentire videtur</w:t>
      </w:r>
      <w:r>
        <w:t xml:space="preserve"> («quien calla, parece consentir»), y su límite en la regla siguiente: el que calla no confiesa, pero tampoco se considera que niegue</w:t>
      </w:r>
      <w:r>
        <w:rPr>
          <w:vertAlign w:val="superscript"/>
        </w:rPr>
        <w:t>◦</w:t>
      </w:r>
      <w:r>
        <w:t>.</w:t>
      </w:r>
    </w:p>
    <w:p>
      <w:pPr>
        <w:pStyle w:val="ListBullet"/>
      </w:pPr>
      <w:r>
        <w:rPr>
          <w:i/>
        </w:rPr>
        <w:t>Volenti non fit iniuria</w:t>
      </w:r>
      <w:r>
        <w:t xml:space="preserve"> («no se comete injusticia con quien actuó voluntariamente»)</w:t>
      </w:r>
      <w:r>
        <w:rPr>
          <w:vertAlign w:val="superscript"/>
        </w:rPr>
        <w:t>◦</w:t>
      </w:r>
      <w:r>
        <w:t>.</w:t>
      </w:r>
    </w:p>
    <w:p>
      <w:pPr>
        <w:pStyle w:val="ListBullet"/>
      </w:pPr>
      <w:r>
        <w:rPr>
          <w:i/>
        </w:rPr>
        <w:t>Venire contra factum proprium non licet</w:t>
      </w:r>
      <w:r>
        <w:t xml:space="preserve"> («no es lícito ir contra los propios actos»): la doctrina de los actos propios, que ya está en las Decretales, con otras palabras</w:t>
      </w:r>
      <w:r>
        <w:rPr>
          <w:vertAlign w:val="superscript"/>
        </w:rPr>
        <w:t>◦</w:t>
      </w:r>
      <w:r>
        <w:t>.</w:t>
      </w:r>
    </w:p>
    <w:p>
      <w:pPr>
        <w:pStyle w:val="ListBullet"/>
      </w:pPr>
      <w:r>
        <w:rPr>
          <w:i/>
        </w:rPr>
        <w:t>Nemo auditur propriam turpitudinem allegans</w:t>
      </w:r>
      <w:r>
        <w:t xml:space="preserve"> («no se escuche a quien alega su propia torpeza»). Con otras palabras: quien alega su propia torpeza no debe ser oído</w:t>
      </w:r>
      <w:r>
        <w:rPr>
          <w:vertAlign w:val="superscript"/>
        </w:rPr>
        <w:t>◦</w:t>
      </w:r>
      <w:r>
        <w:t>.</w:t>
      </w:r>
    </w:p>
    <w:p>
      <w:pPr>
        <w:pStyle w:val="ListBullet"/>
      </w:pPr>
      <w:r>
        <w:rPr>
          <w:i/>
        </w:rPr>
        <w:t>Quod omnes tangit, ab omnibus approbari debet</w:t>
      </w:r>
      <w:r>
        <w:t xml:space="preserve"> («lo que a todos afecta, por todos debe ser aprobado»)</w:t>
      </w:r>
      <w:r>
        <w:rPr>
          <w:vertAlign w:val="superscript"/>
        </w:rPr>
        <w:t>◦</w:t>
      </w:r>
      <w:r>
        <w:t>.</w:t>
      </w:r>
    </w:p>
    <w:p>
      <w:pPr>
        <w:pStyle w:val="ListBullet"/>
      </w:pPr>
      <w:r>
        <w:rPr>
          <w:i/>
        </w:rPr>
        <w:t>Ignorantia iuris non excusat</w:t>
      </w:r>
      <w:r>
        <w:t xml:space="preserve"> («la ignorancia del derecho no excusa»)</w:t>
      </w:r>
      <w:r>
        <w:rPr>
          <w:vertAlign w:val="superscript"/>
        </w:rPr>
        <w:t>◦</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rPr>
          <w:vertAlign w:val="superscript"/>
        </w:rPr>
        <w:t>◦</w:t>
      </w:r>
      <w:r>
        <w:t>.</w:t>
      </w:r>
    </w:p>
    <w:p>
      <w:pPr>
        <w:pStyle w:val="ListBullet"/>
      </w:pPr>
      <w:r>
        <w:rPr>
          <w:i/>
        </w:rPr>
        <w:t>Nemo ex suo delicto meliorem suam condicionem facere potest</w:t>
      </w:r>
      <w:r>
        <w:t xml:space="preserve"> («nadie puede mejorar su condición por su propio delito»)</w:t>
      </w:r>
      <w:r>
        <w:rPr>
          <w:vertAlign w:val="superscript"/>
        </w:rPr>
        <w:t>◦</w:t>
      </w:r>
      <w:r>
        <w:t>.</w:t>
      </w:r>
    </w:p>
    <w:p>
      <w:pPr>
        <w:pStyle w:val="ListBullet"/>
      </w:pPr>
      <w:r>
        <w:rPr>
          <w:i/>
        </w:rPr>
        <w:t>Nemo damnum facit, nisi qui id fecit, quod facere ius non habet</w:t>
      </w:r>
      <w:r>
        <w:t xml:space="preserve"> («nadie causa daño, sino el que hizo lo que no tenía derecho a hacer»)</w:t>
      </w:r>
      <w:r>
        <w:rPr>
          <w:vertAlign w:val="superscript"/>
        </w:rPr>
        <w:t>◦</w:t>
      </w:r>
      <w:r>
        <w:t>; y no se considera que obra con dolo quien usa de su derecho</w:t>
      </w:r>
      <w:r>
        <w:rPr>
          <w:vertAlign w:val="superscript"/>
        </w:rPr>
        <w:t>◦</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rPr>
          <w:vertAlign w:val="superscript"/>
        </w:rPr>
        <w:t>◦</w:t>
      </w:r>
      <w:r>
        <w:t>.</w:t>
      </w:r>
    </w:p>
    <w:p>
      <w:pPr>
        <w:pStyle w:val="ListBullet"/>
      </w:pPr>
      <w:r>
        <w:rPr>
          <w:i/>
        </w:rPr>
        <w:t>Ubi lex non distinguit, nec nos distinguere debemus</w:t>
      </w:r>
      <w:r>
        <w:t xml:space="preserve"> («donde la ley no diferencia, tampoco debemos diferenciar nosotros»). Lo usa el Tribunal Constitucional</w:t>
      </w:r>
      <w:r>
        <w:rPr>
          <w:vertAlign w:val="superscript"/>
        </w:rPr>
        <w:t>◦</w:t>
      </w:r>
      <w:r>
        <w:t>.</w:t>
      </w:r>
    </w:p>
    <w:p>
      <w:pPr>
        <w:pStyle w:val="ListBullet"/>
      </w:pPr>
      <w:r>
        <w:rPr>
          <w:i/>
        </w:rPr>
        <w:t>Locus regit actum</w:t>
      </w:r>
      <w:r>
        <w:t xml:space="preserve"> («el lugar rige el acto»)</w:t>
      </w:r>
      <w:r>
        <w:rPr>
          <w:vertAlign w:val="superscript"/>
        </w:rPr>
        <w:t>◦</w:t>
      </w:r>
      <w:r>
        <w:t>: la forma de los actos se rige por la ley del lugar donde se celebran</w:t>
      </w:r>
      <w:r>
        <w:rPr>
          <w:vertAlign w:val="superscript"/>
        </w:rPr>
        <w:t>◦</w:t>
      </w:r>
      <w:r>
        <w:t>.</w:t>
      </w:r>
    </w:p>
    <w:p>
      <w:pPr>
        <w:pStyle w:val="ListBullet"/>
      </w:pPr>
      <w:r>
        <w:rPr>
          <w:i/>
        </w:rPr>
        <w:t>Ei incumbit probatio qui dicit, non qui negat</w:t>
      </w:r>
      <w:r>
        <w:t xml:space="preserve"> («incumbe la prueba al que afirma, no al que niega»)</w:t>
      </w:r>
      <w:r>
        <w:rPr>
          <w:vertAlign w:val="superscript"/>
        </w:rPr>
        <w:t>◦</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rPr>
          <w:vertAlign w:val="superscript"/>
        </w:rPr>
        <w:t>◦</w:t>
      </w:r>
      <w:r>
        <w:t>.</w:t>
      </w:r>
    </w:p>
    <w:p>
      <w:pPr>
        <w:pStyle w:val="ListBullet"/>
      </w:pPr>
      <w:r>
        <w:rPr>
          <w:i/>
        </w:rPr>
        <w:t>Res iudicata pro veritate habetur</w:t>
      </w:r>
      <w:r>
        <w:t xml:space="preserve"> («la cosa juzgada se tiene por verdad»)</w:t>
      </w:r>
      <w:r>
        <w:rPr>
          <w:vertAlign w:val="superscript"/>
        </w:rPr>
        <w:t>◦</w:t>
      </w:r>
      <w:r>
        <w:t>.</w:t>
      </w:r>
    </w:p>
    <w:p>
      <w:pPr>
        <w:pStyle w:val="ListBullet"/>
      </w:pPr>
      <w:r>
        <w:rPr>
          <w:i/>
        </w:rPr>
        <w:t>De minimis non curat praetor</w:t>
      </w:r>
      <w:r>
        <w:t xml:space="preserve"> («de los asuntos intrascendentes no se ocupa el magistrado»)</w:t>
      </w:r>
      <w:r>
        <w:rPr>
          <w:vertAlign w:val="superscript"/>
        </w:rPr>
        <w:t>◦</w:t>
      </w:r>
      <w:r>
        <w:t xml:space="preserve">; se cita también como </w:t>
      </w:r>
      <w:r>
        <w:rPr>
          <w:i/>
        </w:rPr>
        <w:t>de minimis non curat lex</w:t>
      </w:r>
      <w:r>
        <w:t>.</w:t>
      </w:r>
    </w:p>
    <w:p>
      <w:pPr>
        <w:pStyle w:val="ListBullet"/>
      </w:pPr>
      <w:r>
        <w:rPr>
          <w:i/>
        </w:rPr>
        <w:t>Sublata causa, tollitur effectus</w:t>
      </w:r>
      <w:r>
        <w:t xml:space="preserve"> («suprimida la causa, cesa el efecto»)</w:t>
      </w:r>
      <w:r>
        <w:rPr>
          <w:vertAlign w:val="superscript"/>
        </w:rPr>
        <w:t>◦</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rPr>
          <w:vertAlign w:val="superscript"/>
        </w:rPr>
        <w:t>◦</w:t>
      </w:r>
      <w:r>
        <w:t>.</w:t>
      </w:r>
    </w:p>
    <w:p>
      <w:pPr>
        <w:pStyle w:val="Heading3"/>
      </w:pPr>
      <w:r>
        <w:t>Origen y prioridad del derecho</w:t>
      </w:r>
    </w:p>
    <w:p>
      <w:pPr>
        <w:pStyle w:val="ListBullet"/>
      </w:pPr>
      <w:r>
        <w:rPr>
          <w:i/>
        </w:rPr>
        <w:t>Prior tempore, potior iure</w:t>
      </w:r>
      <w:r>
        <w:t xml:space="preserve"> («primero en el tiempo, preferido en el derecho»)</w:t>
      </w:r>
      <w:r>
        <w:rPr>
          <w:vertAlign w:val="superscript"/>
        </w:rPr>
        <w:t>◦</w:t>
      </w:r>
      <w:r>
        <w:t>: la prioridad entre derechos iguales sobre una misma cosa, no una regla general de antigüedad.</w:t>
      </w:r>
    </w:p>
    <w:p>
      <w:pPr>
        <w:pStyle w:val="ListBullet"/>
      </w:pPr>
      <w:r>
        <w:rPr>
          <w:i/>
        </w:rPr>
        <w:t>Fictio legis neminem laedit</w:t>
      </w:r>
      <w:r>
        <w:t xml:space="preserve"> («la ficción legal no perjudica a nadie»)</w:t>
      </w:r>
      <w:r>
        <w:rPr>
          <w:vertAlign w:val="superscript"/>
        </w:rPr>
        <w:t>◦</w:t>
      </w:r>
      <w:r>
        <w:t>.</w:t>
      </w:r>
    </w:p>
    <w:p>
      <w:pPr>
        <w:pStyle w:val="ListBullet"/>
      </w:pPr>
      <w:r>
        <w:rPr>
          <w:i/>
        </w:rPr>
        <w:t>Quod initio vitiosum est, non potest tractu temporis convalescere</w:t>
      </w:r>
      <w:r>
        <w:t xml:space="preserve"> («lo que nace viciado no sana con el tiempo»)</w:t>
      </w:r>
      <w:r>
        <w:rPr>
          <w:vertAlign w:val="superscript"/>
        </w:rPr>
        <w:t>◦</w:t>
      </w:r>
      <w:r>
        <w:t>.</w:t>
      </w:r>
    </w:p>
    <w:p>
      <w:pPr>
        <w:pStyle w:val="ListBullet"/>
      </w:pPr>
      <w:r>
        <w:rPr>
          <w:i/>
        </w:rPr>
        <w:t>Nemo plus iuris ad alium transferre potest, quam ipse haberet</w:t>
      </w:r>
      <w:r>
        <w:t xml:space="preserve"> («nadie puede transferir a otro más derecho del que él mismo tiene»)</w:t>
      </w:r>
      <w:r>
        <w:rPr>
          <w:vertAlign w:val="superscript"/>
        </w:rPr>
        <w:t>◦</w:t>
      </w:r>
      <w:r>
        <w:t xml:space="preserve">; y su forma breve, </w:t>
      </w:r>
      <w:r>
        <w:rPr>
          <w:i/>
        </w:rPr>
        <w:t>nemo dat quod non habet</w:t>
      </w:r>
      <w:r>
        <w:t xml:space="preserve"> («nadie da lo que no tiene»)</w:t>
      </w:r>
      <w:r>
        <w:rPr>
          <w:vertAlign w:val="superscript"/>
        </w:rPr>
        <w:t>◦</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rPr>
          <w:vertAlign w:val="superscript"/>
        </w:rPr>
        <w:t>◦</w:t>
      </w:r>
      <w:r>
        <w:t>.</w:t>
      </w:r>
    </w:p>
    <w:p>
      <w:pPr>
        <w:pStyle w:val="ListBullet"/>
      </w:pPr>
      <w:r>
        <w:rPr>
          <w:i/>
        </w:rPr>
        <w:t>Rebus sic stantibus</w:t>
      </w:r>
      <w:r>
        <w:t xml:space="preserve"> («estando así las cosas»): un pacto obliga mientras se mantengan las circunstancias que lo motivaron</w:t>
      </w:r>
      <w:r>
        <w:rPr>
          <w:vertAlign w:val="superscript"/>
        </w:rPr>
        <w:t>◦</w:t>
      </w:r>
      <w:r>
        <w:t>.</w:t>
      </w:r>
    </w:p>
    <w:p>
      <w:pPr>
        <w:pStyle w:val="ListBullet"/>
      </w:pPr>
      <w:r>
        <w:rPr>
          <w:i/>
        </w:rPr>
        <w:t>Vigilantibus non dormientibus iura subveniunt</w:t>
      </w:r>
      <w:r>
        <w:t xml:space="preserve"> («el derecho protege a los vigilantes, no a los que duermen»)</w:t>
      </w:r>
      <w:r>
        <w:rPr>
          <w:vertAlign w:val="superscript"/>
        </w:rPr>
        <w:t>◦</w:t>
      </w:r>
      <w:r>
        <w:t>. Su raíz, en el Digesto: el derecho civil está escrito para los vigilantes</w:t>
      </w:r>
      <w:r>
        <w:rPr>
          <w:vertAlign w:val="superscript"/>
        </w:rPr>
        <w:t>◦</w:t>
      </w:r>
      <w:r>
        <w:t>.</w:t>
      </w:r>
    </w:p>
    <w:p>
      <w:pPr>
        <w:pStyle w:val="ListBullet"/>
      </w:pPr>
      <w:r>
        <w:rPr>
          <w:i/>
        </w:rPr>
        <w:t>Cedant arma togae</w:t>
      </w:r>
      <w:r>
        <w:t xml:space="preserve"> («que las armas cedan ante la toga»): la fuerza, ante el derecho; es un verso del propio Cicerón</w:t>
      </w:r>
      <w:r>
        <w:rPr>
          <w:vertAlign w:val="superscript"/>
        </w:rPr>
        <w:t>◦</w:t>
      </w:r>
      <w:r>
        <w:t>.</w:t>
      </w:r>
    </w:p>
    <w:p>
      <w:pPr>
        <w:pStyle w:val="ListBullet"/>
      </w:pPr>
      <w:r>
        <w:rPr>
          <w:i/>
        </w:rPr>
        <w:t>Silent enim leges inter arma</w:t>
      </w:r>
      <w:r>
        <w:t xml:space="preserve"> («callan las leyes entre las armas»)</w:t>
      </w:r>
      <w:r>
        <w:rPr>
          <w:vertAlign w:val="superscript"/>
        </w:rPr>
        <w:t>◦</w:t>
      </w:r>
      <w:r>
        <w:t>: el reverso de la anterior, la constatación de que la fuerza a veces se impone al derecho.</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pPr>
        <w:pStyle w:val="ListBullet"/>
      </w:pPr>
      <w:r>
        <w:t xml:space="preserve">«Quien tiene oídos para oir, oiga» (Mt 13:9), en </w:t>
      </w:r>
      <w:r>
        <w:t>11.6</w:t>
      </w:r>
      <w:r>
        <w:t>; casi igual en Mt 11:15 y 13:43, Mc 4:9 y 4:23 y Lc 8:8 y 14:35</w:t>
      </w:r>
      <w:r>
        <w:rPr>
          <w:vertAlign w:val="superscript"/>
        </w:rPr>
        <w:t>◦</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rPr>
          <w:vertAlign w:val="superscript"/>
        </w:rPr>
        <w:t>◦</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rPr>
          <w:vertAlign w:val="superscript"/>
        </w:rPr>
        <w:t>◦</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rPr>
          <w:vertAlign w:val="superscript"/>
        </w:rPr>
        <w:t>◦</w:t>
      </w:r>
      <w:r>
        <w:t>; y a quien corrige al que cae le pide hacerlo «considerándote á ti mismo, porque tú no seas también tentado»</w:t>
      </w:r>
      <w:r>
        <w:rPr>
          <w:vertAlign w:val="superscript"/>
        </w:rPr>
        <w:t>◦</w:t>
      </w:r>
      <w:r>
        <w:t>.</w:t>
      </w:r>
    </w:p>
    <w:p>
      <w:pPr>
        <w:pStyle w:val="ListBullet"/>
      </w:pPr>
      <w:r>
        <w:t>La regla de oro: «Y como queréis que os hagan los hombres, así hacedles también vosotros»</w:t>
      </w:r>
      <w:r>
        <w:rPr>
          <w:vertAlign w:val="superscript"/>
        </w:rPr>
        <w:t>◦</w:t>
      </w:r>
      <w:r>
        <w:t>; y en Mateo: «todas las cosas que quisierais que los hombres hiciesen con vosotros, así también haced vosotros con ellos; porque esta es la ley y los profetas»</w:t>
      </w:r>
      <w:r>
        <w:rPr>
          <w:vertAlign w:val="superscript"/>
        </w:rPr>
        <w:t>◦</w:t>
      </w:r>
      <w:r>
        <w:t>.</w:t>
      </w:r>
    </w:p>
    <w:p>
      <w:pPr>
        <w:pStyle w:val="ListBullet"/>
      </w:pPr>
      <w:r>
        <w:t>A quien invita a los que no pueden devolverle la invitación: «porque no te pueden retribuir; mas te será recompensado en la resurrección de los justos»</w:t>
      </w:r>
      <w:r>
        <w:rPr>
          <w:vertAlign w:val="superscript"/>
        </w:rPr>
        <w:t>◦</w:t>
      </w:r>
      <w:r>
        <w:t>.</w:t>
      </w:r>
    </w:p>
    <w:p>
      <w:pPr>
        <w:pStyle w:val="ListBullet"/>
      </w:pPr>
      <w:r>
        <w:t>La parábola del fariseo y el publicano, dicha «á unos que confiaban de sí como justos, y menospreciaban á los otros»</w:t>
      </w:r>
      <w:r>
        <w:rPr>
          <w:vertAlign w:val="superscript"/>
        </w:rPr>
        <w:t>◦</w:t>
      </w:r>
      <w:r>
        <w:t>, acaba así: «cualquiera que se ensalza, será humillado; y el que se humilla, será ensalzado»</w:t>
      </w:r>
      <w:r>
        <w:rPr>
          <w:vertAlign w:val="superscript"/>
        </w:rPr>
        <w:t>◦</w:t>
      </w:r>
      <w:r>
        <w:t>.</w:t>
      </w:r>
    </w:p>
    <w:p>
      <w:pPr>
        <w:pStyle w:val="ListBullet"/>
      </w:pPr>
      <w:r>
        <w:t>Hacerse pequeño: «A él conviene crecer, mas á mí menguar»</w:t>
      </w:r>
      <w:r>
        <w:rPr>
          <w:vertAlign w:val="superscript"/>
        </w:rPr>
        <w:t>◦</w:t>
      </w:r>
      <w:r>
        <w:t>; «vivo, no ya yo, mas vive Cristo en mí»</w:t>
      </w:r>
      <w:r>
        <w:rPr>
          <w:vertAlign w:val="superscript"/>
        </w:rPr>
        <w:t>◦</w:t>
      </w:r>
      <w:r>
        <w:t>; Abraham, que habla a Dios «aunque soy polvo y ceniza»</w:t>
      </w:r>
      <w:r>
        <w:rPr>
          <w:vertAlign w:val="superscript"/>
        </w:rPr>
        <w:t>◦</w:t>
      </w:r>
      <w:r>
        <w:t>; Moisés: «¿Quién soy yo, para que vaya á Faraón, y saque de Egipto á los hijos de Israel?»</w:t>
      </w:r>
      <w:r>
        <w:rPr>
          <w:vertAlign w:val="superscript"/>
        </w:rPr>
        <w:t>◦</w:t>
      </w:r>
      <w:r>
        <w:t>; y Moisés y Aarón ante las quejas del pueblo: «nosotros, ¿qué somos, para que vosotros murmuréis contra nosotros?»</w:t>
      </w:r>
      <w:r>
        <w:rPr>
          <w:vertAlign w:val="superscript"/>
        </w:rPr>
        <w:t>◦</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rPr>
          <w:vertAlign w:val="superscript"/>
        </w:rPr>
        <w:t>◦</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rPr>
          <w:vertAlign w:val="superscript"/>
        </w:rPr>
        <w:t>◦</w:t>
      </w:r>
      <w:r>
        <w:t>.</w:t>
      </w:r>
    </w:p>
    <w:p>
      <w:pPr>
        <w:pStyle w:val="ListBullet"/>
      </w:pPr>
      <w:r>
        <w:t>«No te pondrás contra la sangre de tu prójimo»</w:t>
      </w:r>
      <w:r>
        <w:rPr>
          <w:vertAlign w:val="superscript"/>
        </w:rPr>
        <w:t>◦</w:t>
      </w:r>
      <w:r>
        <w:t>. El hebreo dice, palabra por palabra, «no estarás sobre la sangre de tu prójimo»</w:t>
      </w:r>
      <w:r>
        <w:t>.</w:t>
      </w:r>
    </w:p>
    <w:p>
      <w:pPr>
        <w:pStyle w:val="ListBullet"/>
      </w:pPr>
      <w:r>
        <w:t>«Decid al justo que le irá bien: porque comerá de los frutos de sus manos»</w:t>
      </w:r>
      <w:r>
        <w:rPr>
          <w:vertAlign w:val="superscript"/>
        </w:rPr>
        <w:t>◦</w:t>
      </w:r>
      <w:r>
        <w:t>; donde el hebreo dice «el fruto de sus obras»</w:t>
      </w:r>
      <w:r>
        <w:t>.</w:t>
      </w:r>
    </w:p>
    <w:p>
      <w:pPr>
        <w:pStyle w:val="ListBullet"/>
      </w:pPr>
      <w:r>
        <w:t>«Y andaré en anchura, Porque busqué tus mandamientos»</w:t>
      </w:r>
      <w:r>
        <w:rPr>
          <w:vertAlign w:val="superscript"/>
        </w:rPr>
        <w:t>◦</w:t>
      </w:r>
      <w:r>
        <w:t>; la revisión de 1960 dice «Y andaré en libertad»</w:t>
      </w:r>
      <w:r>
        <w:rPr>
          <w:vertAlign w:val="superscript"/>
        </w:rPr>
        <w:t>◦</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rPr>
          <w:vertAlign w:val="superscript"/>
        </w:rPr>
        <w:t>◦</w:t>
      </w:r>
      <w:r>
        <w:t>.</w:t>
      </w:r>
    </w:p>
    <w:p>
      <w:pPr>
        <w:pStyle w:val="ListBullet"/>
      </w:pPr>
      <w:r>
        <w:t>Meister Eckhart: «Es un hombre pobre el que nada quiere, nada sabe y nada tiene»</w:t>
      </w:r>
      <w:r>
        <w:rPr>
          <w:vertAlign w:val="superscript"/>
        </w:rPr>
        <w:t>◦</w:t>
      </w:r>
      <w:r>
        <w:t>.</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rPr>
          <w:vertAlign w:val="superscript"/>
        </w:rPr>
        <w:t>◦</w:t>
      </w:r>
      <w:r>
        <w:t>.</w:t>
      </w:r>
    </w:p>
    <w:p>
      <w:pPr>
        <w:pStyle w:val="ListBullet"/>
      </w:pPr>
      <w:r>
        <w:t xml:space="preserve">La verdad que deshace lo falso: Corán 17:81, en </w:t>
      </w:r>
      <w:r>
        <w:t>4.4</w:t>
      </w:r>
      <w:r>
        <w:t>; y «lanzamos la Verdad contra lo falso, lo invalida... y éste se disipa»</w:t>
      </w:r>
      <w:r>
        <w:rPr>
          <w:vertAlign w:val="superscript"/>
        </w:rPr>
        <w:t>◦</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rPr>
          <w:vertAlign w:val="superscript"/>
        </w:rPr>
        <w:t>◦</w:t>
      </w:r>
      <w:r>
        <w:t>; el árabe dice «el rostro de tu Señor»</w:t>
      </w:r>
      <w:r>
        <w:t>. Y «¡Todo perece, salvo Él!»</w:t>
      </w:r>
      <w:r>
        <w:rPr>
          <w:vertAlign w:val="superscript"/>
        </w:rPr>
        <w:t>◦</w:t>
      </w:r>
      <w:r>
        <w:t>, donde el árabe dice «salvo Su rostro»</w:t>
      </w:r>
      <w:r>
        <w:t>.</w:t>
      </w:r>
    </w:p>
    <w:p>
      <w:pPr>
        <w:pStyle w:val="ListBullet"/>
      </w:pPr>
      <w:r>
        <w:t>Nada se pierde: «Quien haya hecho el peso de un átomo de bien, lo verá. Y quien haya hecho el peso de un átomo de mal, lo verá»</w:t>
      </w:r>
      <w:r>
        <w:rPr>
          <w:vertAlign w:val="superscript"/>
        </w:rPr>
        <w:t>◦</w:t>
      </w:r>
      <w:r>
        <w:t>.</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rPr>
          <w:vertAlign w:val="superscript"/>
        </w:rPr>
        <w:t>◦</w:t>
      </w:r>
      <w:r>
        <w:t>.</w:t>
      </w:r>
    </w:p>
    <w:p>
      <w:pPr>
        <w:pStyle w:val="ListBullet"/>
      </w:pPr>
      <w:r>
        <w:t>«Al principio, mi manera con los hombres era oír sus palabras y darles crédito en su conducta. Ahora mi manera es oír sus palabras y mirar su conducta»</w:t>
      </w:r>
      <w:r>
        <w:rPr>
          <w:vertAlign w:val="superscript"/>
        </w:rPr>
        <w:t>◦</w:t>
      </w:r>
      <w:r>
        <w:t>.</w:t>
      </w:r>
    </w:p>
    <w:p>
      <w:pPr>
        <w:pStyle w:val="ListBullet"/>
      </w:pPr>
      <w:r>
        <w:t>A la pregunta de si hay una palabra que sirva de regla para toda la vida: «¿No es RECIPROCIDAD esa palabra? Lo que no quieras que te hagan a ti, no lo hagas a otros»</w:t>
      </w:r>
      <w:r>
        <w:rPr>
          <w:vertAlign w:val="superscript"/>
        </w:rPr>
        <w:t>◦</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rPr>
          <w:vertAlign w:val="superscript"/>
        </w:rPr>
        <w:t>◦</w:t>
      </w:r>
      <w:r>
        <w:t>.</w:t>
      </w:r>
    </w:p>
    <w:p>
      <w:pPr>
        <w:pStyle w:val="ListBullet"/>
      </w:pPr>
      <w:r>
        <w:t>«Quien, por comparación consigo mismo, ve igual en todas partes, oh Arjuna, sea placer o sea dolor, ese yogui es tenido por el más alto»</w:t>
      </w:r>
      <w:r>
        <w:rPr>
          <w:vertAlign w:val="superscript"/>
        </w:rPr>
        <w:t>◦</w:t>
      </w:r>
      <w:r>
        <w:t>.</w:t>
      </w:r>
    </w:p>
    <w:p>
      <w:pPr>
        <w:pStyle w:val="ListBullet"/>
      </w:pPr>
      <w:r>
        <w:t>«Sin odio a ningún ser, amistoso y compasivo; sin “mío”, sin sentido del yo, igual en dolor y placer, paciente»</w:t>
      </w:r>
      <w:r>
        <w:rPr>
          <w:vertAlign w:val="superscript"/>
        </w:rPr>
        <w:t>◦</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rPr>
          <w:vertAlign w:val="superscript"/>
        </w:rPr>
        <w:t>◦</w:t>
      </w:r>
      <w:r>
        <w:t xml:space="preserve">. El pali no dice «verdad», sino </w:t>
      </w:r>
      <w:r>
        <w:rPr>
          <w:i/>
        </w:rPr>
        <w:t>sāra</w:t>
      </w:r>
      <w:r>
        <w:t>, «lo esencial»: «tomando lo no esencial por esencial y viendo lo esencial como no esencial, no alcanzan lo esencial»</w:t>
      </w:r>
      <w:r>
        <w:rPr>
          <w:vertAlign w:val="superscript"/>
        </w:rPr>
        <w:t>◦</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rPr>
          <w:vertAlign w:val="superscript"/>
        </w:rPr>
        <w:t>◦</w:t>
      </w:r>
      <w:r>
        <w:t>.</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rPr>
          <w:vertAlign w:val="superscript"/>
        </w:rPr>
        <w:t>◦</w:t>
      </w:r>
      <w:r>
        <w:t>. Es lo que se resume en «como es arriba, es abajo».</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cada persona, si quiere, se la aplica a sí misma.</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y vale tanto como su unión con la primera. Las dos hacen falta: sin la segunda no hay comunidad que se gobierne; sin la primera, la segunda no tiene de dónde recibir su título.</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p>
      <w:r>
        <w:t>La tabla con las cuatro partes de cada árbol, y cómo se comprueba cada una, se ve en el nivel completo.</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rPr>
          <w:vertAlign w:val="superscript"/>
        </w:rPr>
        <w:t>◦</w:t>
      </w:r>
      <w:r>
        <w:t>; «todo buen árbol lleva buenos frutos; mas el árbol maleado lleva malos frutos»</w:t>
      </w:r>
      <w:r>
        <w:rPr>
          <w:vertAlign w:val="superscript"/>
        </w:rPr>
        <w:t>◦</w:t>
      </w:r>
      <w:r>
        <w:t>. El Daodejing dice lo mismo del hombre grande: «se queda con el fruto y no con la flor»</w:t>
      </w:r>
      <w:r>
        <w:rPr>
          <w:vertAlign w:val="superscript"/>
        </w:rPr>
        <w:t>◦</w:t>
      </w:r>
      <w:r>
        <w:t>. Por eso los frutos se miden con datos (</w:t>
      </w:r>
      <w:r>
        <w:t>8</w:t>
      </w:r>
      <w:r>
        <w:t xml:space="preserve">) y el follaje, lo que se siente al vivir en un árbol, se pregunta y no se afirma: es la brújula, que se explica al cerrar el </w:t>
      </w:r>
      <w:r>
        <w:t>capítulo 10</w:t>
      </w:r>
      <w:r>
        <w:t>.</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rPr>
          <w:vertAlign w:val="superscript"/>
        </w:rPr>
        <w:t>◦</w:t>
      </w:r>
      <w:r>
        <w:t>, «Todo esto te daré»</w:t>
      </w:r>
      <w:r>
        <w:rPr>
          <w:vertAlign w:val="superscript"/>
        </w:rPr>
        <w:t>◦</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cada uno con sus patas y su pata coja.</w:t>
      </w:r>
    </w:p>
    <w:p>
      <w:r>
        <w:rPr>
          <w:b/>
        </w:rPr>
        <w:t>Cómo se escribe.</w:t>
      </w:r>
      <w:r>
        <w:t xml:space="preserve"> Antes de medir, no después. Es la regla de la vara: «la vara va antes de los datos» (</w:t>
      </w:r>
      <w:r>
        <w:t>0.5</w:t>
      </w:r>
      <w:r>
        <w:t>).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lo que afecta al ciudadano en su vida diaria frente a lo que organiza al poder.</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lo que mueve el dial es lo que se repite.</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rPr>
          <w:vertAlign w:val="superscript"/>
        </w:rPr>
        <w:t>◦</w:t>
      </w:r>
      <w:r>
        <w:t>, porque en la abundancia podría negar a Dios y en la pobreza, robar</w:t>
      </w:r>
      <w:r>
        <w:rPr>
          <w:vertAlign w:val="superscript"/>
        </w:rPr>
        <w:t>◦</w:t>
      </w:r>
      <w:r>
        <w:t>.</w:t>
      </w:r>
    </w:p>
    <w:p>
      <w:pPr>
        <w:pStyle w:val="ListBullet"/>
      </w:pPr>
      <w:r>
        <w:rPr>
          <w:b/>
        </w:rPr>
        <w:t>El islam.</w:t>
      </w:r>
      <w:r>
        <w:t xml:space="preserve"> Los fieles «cuando gastan, no lo hacen con prodigalidad ni con tacañería, -el término medio es lo justo-»</w:t>
      </w:r>
      <w:r>
        <w:rPr>
          <w:vertAlign w:val="superscript"/>
        </w:rPr>
        <w:t>◦</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rPr>
          <w:vertAlign w:val="superscript"/>
        </w:rPr>
        <w:t>◦</w:t>
      </w:r>
      <w:r>
        <w:t>.</w:t>
      </w:r>
    </w:p>
    <w:p>
      <w:pPr>
        <w:pStyle w:val="ListBullet"/>
      </w:pPr>
      <w:r>
        <w:rPr>
          <w:b/>
        </w:rPr>
        <w:t>China.</w:t>
      </w:r>
      <w:r>
        <w:t xml:space="preserve"> El sabio Shun «tomó los dos extremos de ellas [las opiniones], determinó el Medio y lo empleó en su gobierno del pueblo»</w:t>
      </w:r>
      <w:r>
        <w:rPr>
          <w:vertAlign w:val="superscript"/>
        </w:rPr>
        <w:t>◦</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rPr>
          <w:vertAlign w:val="superscript"/>
        </w:rPr>
        <w:t>◦</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rPr>
          <w:vertAlign w:val="superscript"/>
        </w:rPr>
        <w:t>◦</w:t>
      </w:r>
      <w:r>
        <w:t>.</w:t>
      </w:r>
    </w:p>
    <w:p>
      <w:r>
        <w:t>Hay más pasajes (Deuteronomio, el Zhongyong 4, las Analectas XI, el arpa de Buda y Horacio) que se ven en el nivel completo.</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rPr>
          <w:vertAlign w:val="superscript"/>
        </w:rPr>
        <w:t>◦</w:t>
      </w:r>
      <w:r>
        <w:t>.</w:t>
      </w:r>
    </w:p>
    <w:p>
      <w:pPr>
        <w:pStyle w:val="ListBullet"/>
      </w:pPr>
      <w:r>
        <w:rPr>
          <w:b/>
        </w:rPr>
        <w:t>Hay un exceso de justicia.</w:t>
      </w:r>
      <w:r>
        <w:t xml:space="preserve"> «No seas demasiado justo, ni seas sabio con exceso»</w:t>
      </w:r>
      <w:r>
        <w:rPr>
          <w:vertAlign w:val="superscript"/>
        </w:rPr>
        <w:t>◦</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rPr>
          <w:vertAlign w:val="superscript"/>
        </w:rPr>
        <w:t>◦</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rPr>
          <w:vertAlign w:val="superscript"/>
        </w:rPr>
        <w:t>◦</w:t>
      </w:r>
      <w:r>
        <w:t>.</w:t>
      </w:r>
    </w:p>
    <w:p>
      <w:pPr>
        <w:pStyle w:val="ListBullet"/>
      </w:pPr>
      <w:r>
        <w:rPr>
          <w:b/>
        </w:rPr>
        <w:t>En Persia se elige un polo.</w:t>
      </w:r>
      <w:r>
        <w:t xml:space="preserve"> «Entre estos dos los sabios eligieron bien, no así los necios»</w:t>
      </w:r>
      <w:r>
        <w:rPr>
          <w:vertAlign w:val="superscript"/>
        </w:rPr>
        <w:t>◦</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El número mide la posición, no si algo es bueno o malo.</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rPr>
          <w:vertAlign w:val="superscript"/>
        </w:rPr>
        <w:t>◦</w:t>
      </w:r>
      <w:r>
        <w:t>; «Como el Hijo del hombre no vino para ser servido, sino para servir»</w:t>
      </w:r>
      <w:r>
        <w:rPr>
          <w:vertAlign w:val="superscript"/>
        </w:rPr>
        <w:t>◦</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rPr>
          <w:vertAlign w:val="superscript"/>
        </w:rPr>
        <w:t>◦</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rPr>
          <w:vertAlign w:val="superscript"/>
        </w:rPr>
        <w:t>◦</w:t>
      </w:r>
      <w:r>
        <w:t>. Y dice el centro: «Yo buscaré la perdida, y tornaré la amontada, y ligaré la perniquebrada, y corroboraré la enferma […]. Yo las apacentaré en juicio»</w:t>
      </w:r>
      <w:r>
        <w:rPr>
          <w:vertAlign w:val="superscript"/>
        </w:rPr>
        <w:t>◦</w:t>
      </w:r>
      <w:r>
        <w:t>.</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p>
      <w:r>
        <w:t>La tabla de los nueve diales, con sus dos vicios y su centro, se ve en el nivel completo.</w:t>
      </w: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rPr>
          <w:vertAlign w:val="superscript"/>
        </w:rPr>
        <w:t>◦</w:t>
      </w:r>
      <w:r>
        <w:t>. Y el de P8 lo dice el Eclesiastés: «Porque no se ejecuta luego sentencia sobre la mala obra, el corazón de los hijos de los hombres está en ellos lleno para hacer mal»</w:t>
      </w:r>
      <w:r>
        <w:rPr>
          <w:vertAlign w:val="superscript"/>
        </w:rPr>
        <w:t>◦</w:t>
      </w:r>
      <w:r>
        <w:t>. El defecto de P3 y el de P5 se buscaron en las fuentes ya leídas y no se rellenan: la pereza del perezoso</w:t>
      </w:r>
      <w:r>
        <w:rPr>
          <w:vertAlign w:val="superscript"/>
        </w:rPr>
        <w:t>◦</w:t>
      </w:r>
      <w:r>
        <w:t xml:space="preserve"> es de quien trabaja, no de quien manda, y el caso del arma que no se devuelve a quien ha perdido la razón</w:t>
      </w:r>
      <w:r>
        <w:rPr>
          <w:vertAlign w:val="superscript"/>
        </w:rPr>
        <w:t>◦</w:t>
      </w:r>
      <w:r>
        <w:t xml:space="preserve"> es una excepción a la regla de devolver, no un vicio.</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no es una opinión sobre cómo debería ser el Estado, sino la medida de la distancia entre lo creado y el centro que ya estaba escrito.</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rPr>
          <w:b/>
        </w:rPr>
        <w:t>El diseño del piloto.</w:t>
      </w:r>
      <w:r>
        <w:t xml:space="preserve"> Las palabras que la Constitución promete en su artículo 1.1, «la libertad, la justicia, la igualdad y el pluralismo político»</w:t>
      </w:r>
      <w:r>
        <w:rPr>
          <w:vertAlign w:val="superscript"/>
        </w:rPr>
        <w:t>◦</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w:t>
      </w:r>
    </w:p>
    <w:p>
      <w:r>
        <w:rPr>
          <w:b/>
        </w:rPr>
        <w:t>Lo que el piloto es y lo que no.</w:t>
      </w:r>
      <w:r>
        <w:t xml:space="preserve"> Es la prueba de que el método se puede aplicar sin trampa; no es el veredicto sobre el Estado, que ya está dicho en el dictamen (</w:t>
      </w:r>
      <w:r>
        <w:t>9</w:t>
      </w:r>
      <w:r>
        <w:t>). Si una dimensión no cumple las cuatro condiciones, se queda sin número y va como lectura del autor.</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rPr>
          <w:vertAlign w:val="superscript"/>
        </w:rPr>
        <w:t>◦</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p>
      <w:r>
        <w:t>Los cinco diales, con su centro y sus dos vicios, y lo que sostiene cada flecha, con su remisión, se ven en el nivel completo.</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