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Anexo H. El glosario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13 de octubre de 2026 · Cambios anotados en el capítulo: 11 · Citas leídas en su fuente: 28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reúne las palabras que la obra usa con un sentido preciso, cada una con su definición y el apartado donde se explica: una palabra para cada cosa, y una cosa para cada palabra.</w:t>
      </w:r>
    </w:p>
    <w:p>
      <w:pPr>
        <w:pStyle w:val="ListBullet"/>
      </w:pPr>
      <w:r>
        <w:t>Va por bloques, en el orden de la obra; al final, un índice alfabético lleva a cada palabra.</w:t>
      </w:r>
    </w:p>
    <w:p>
      <w:pPr>
        <w:pStyle w:val="ListBullet"/>
      </w:pPr>
      <w:r>
        <w:t>Lo que solo va como lectura del autor está en su propio bloque, con esa etiqueta.</w:t>
      </w:r>
    </w:p>
    <w:p>
      <w:pPr>
        <w:pStyle w:val="ListBullet"/>
      </w:pPr>
      <w:r>
        <w:t>Cierra con las máximas latinas que la tradición jurídica dejó escritas, cada una con su traducción y su fuente. Ninguna anula una ley con solo citarla.</w:t>
      </w:r>
    </w:p>
    <w:p>
      <w:pPr>
        <w:pStyle w:val="Heading2"/>
      </w:pPr>
      <w:r>
        <w:t>H.0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palabra de la obra significa siempre lo mismo, y aquí está dicha una sola vez, con el apartado donde se explica.</w:t>
      </w:r>
    </w:p>
    <w:p>
      <w:pPr>
        <w:pStyle w:val="Heading2"/>
      </w:pPr>
      <w:r>
        <w:t>H.1 La obra y sus partes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nombres de la obra y de sus partes, cada uno para una sola cosa.</w:t>
      </w:r>
    </w:p>
    <w:p>
      <w:pPr>
        <w:pStyle w:val="Heading2"/>
      </w:pPr>
      <w:r>
        <w:t>H.2 La persona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persona va antes que el Estado, y trae sus derechos al nacer.</w:t>
      </w:r>
    </w:p>
    <w:p>
      <w:pPr>
        <w:pStyle w:val="Heading2"/>
      </w:pPr>
      <w:r>
        <w:t>H.3 Lo que se audita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qué se audita, y con qué palabras se nombra lo que se da por cierto sin serlo.</w:t>
      </w:r>
    </w:p>
    <w:p>
      <w:pPr>
        <w:pStyle w:val="Heading2"/>
      </w:pPr>
      <w:r>
        <w:t>H.4 El orden de las leyes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hay cuatro leyes, y su orden real es el inverso del que da el Estado.</w:t>
      </w:r>
    </w:p>
    <w:p>
      <w:pPr>
        <w:pStyle w:val="Heading2"/>
      </w:pPr>
      <w:r>
        <w:t>H.5 La vara y el método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 qué mide la obra, cuándo da algo por sólido y cómo separa lo probado de lo que es lectura.</w:t>
      </w:r>
    </w:p>
    <w:p>
      <w:pPr>
        <w:pStyle w:val="Heading2"/>
      </w:pPr>
      <w:r>
        <w:t>H.6 El dinero, el tiempo y la carga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dinero, el tiempo de vida que cuesta y lo que el Estado se lleva de él.</w:t>
      </w:r>
    </w:p>
    <w:p>
      <w:pPr>
        <w:pStyle w:val="Heading2"/>
      </w:pPr>
      <w:r>
        <w:t>H.7 El dictamen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conclusión de la obra es un dictamen; el veredicto, si llega, es del jurado.</w:t>
      </w:r>
    </w:p>
    <w:p>
      <w:pPr>
        <w:pStyle w:val="Heading2"/>
      </w:pPr>
      <w:r>
        <w:t>H.8 La salida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salida que propone la obra es la metamorfosis del Estado, por escrito y sin violencia, y el juicio popular de la verdad.</w:t>
      </w:r>
    </w:p>
    <w:p>
      <w:pPr>
        <w:pStyle w:val="Heading2"/>
      </w:pPr>
      <w:r>
        <w:t>H.9 Lo que solo va como lectura del autor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estas palabras no son datos: van siempre bajo «Lectura del autor».</w:t>
      </w:r>
    </w:p>
    <w:p>
      <w:pPr>
        <w:pStyle w:val="Heading2"/>
      </w:pPr>
      <w:r>
        <w:t>H.10 Las máximas latinas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máximas que la tradición jurídica dejó escritas, cada una con su traducción y su fuente; ninguna anula una ley con solo citarla.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Un glosario no prueba nada: define.</w:t>
      </w:r>
      <w:r>
        <w:t xml:space="preserve"> La prueba de cada palabra está en el apartado al que remite; aquí solo se dice qué significa, para que signifique siempre lo mismo.</w:t>
      </w:r>
    </w:p>
    <w:p>
      <w:pPr>
        <w:pStyle w:val="ListBullet"/>
      </w:pPr>
      <w:r>
        <w:rPr>
          <w:b/>
        </w:rPr>
        <w:t>Las máximas no son derecho aplicable por sí solas.</w:t>
      </w:r>
      <w:r>
        <w:t xml:space="preserve"> Ninguna anula una ley con solo citarla; su fuerza depende de que el derecho vigente la haya recogido, como el derecho a ser oído vive hoy en la Constitución porque ella lo recoge, no porque lo diga el latín (</w:t>
      </w:r>
      <w:r>
        <w:t>capítulo 1</w:t>
      </w:r>
      <w:r>
        <w:t>, «Límite honesto de la prueba»).</w:t>
      </w:r>
    </w:p>
    <w:p>
      <w:pPr>
        <w:pStyle w:val="ListBullet"/>
      </w:pPr>
      <w:r>
        <w:rPr>
          <w:b/>
        </w:rPr>
        <w:t>Varias máximas, con las palabras con que se citan, no están en la fuente antigua que se les atribuía:</w:t>
      </w:r>
      <w:r>
        <w:t xml:space="preserve"> </w:t>
      </w:r>
      <w:r>
        <w:rPr>
          <w:i/>
        </w:rPr>
        <w:t>in dubio pro reo</w:t>
      </w:r>
      <w:r>
        <w:t xml:space="preserve">, </w:t>
      </w:r>
      <w:r>
        <w:rPr>
          <w:i/>
        </w:rPr>
        <w:t>ad impossibilia nemo tenetur</w:t>
      </w:r>
      <w:r>
        <w:t xml:space="preserve">, </w:t>
      </w:r>
      <w:r>
        <w:rPr>
          <w:i/>
        </w:rPr>
        <w:t>onus probandi</w:t>
      </w:r>
      <w:r>
        <w:t xml:space="preserve">, </w:t>
      </w:r>
      <w:r>
        <w:rPr>
          <w:i/>
        </w:rPr>
        <w:t>damnum non facit qui iure suo utitur</w:t>
      </w:r>
      <w:r>
        <w:t xml:space="preserve">, </w:t>
      </w:r>
      <w:r>
        <w:rPr>
          <w:i/>
        </w:rPr>
        <w:t>solvitur ambulando</w:t>
      </w:r>
      <w:r>
        <w:t xml:space="preserve"> y </w:t>
      </w:r>
      <w:r>
        <w:rPr>
          <w:i/>
        </w:rPr>
        <w:t>cedant leges inter arma</w:t>
      </w:r>
      <w:r>
        <w:t xml:space="preserve">, que en Cicerón es </w:t>
      </w:r>
      <w:r>
        <w:rPr>
          <w:i/>
        </w:rPr>
        <w:t>silent leges</w:t>
      </w:r>
      <w:r>
        <w:t>. Aquí van con las palabras de la fuente leída.</w:t>
      </w:r>
    </w:p>
    <w:p>
      <w:pPr>
        <w:pStyle w:val="ListBullet"/>
      </w:pPr>
      <w:r>
        <w:rPr>
          <w:b/>
        </w:rPr>
        <w:t>Tres van por fuente secundaria:</w:t>
      </w:r>
      <w:r>
        <w:t xml:space="preserve"> </w:t>
      </w:r>
      <w:r>
        <w:rPr>
          <w:i/>
        </w:rPr>
        <w:t>fictio legis</w:t>
      </w:r>
      <w:r>
        <w:t xml:space="preserve"> y </w:t>
      </w:r>
      <w:r>
        <w:rPr>
          <w:i/>
        </w:rPr>
        <w:t>rebus sic stantibus</w:t>
      </w:r>
      <w:r>
        <w:t>, con una sola fuente, el Black's de 1910; y la casa como refugio, de Coke, tal como la cita una sentencia del Tribunal Supremo de los Estados Unidos. Pueden subir a nivel A leyendo el original.</w:t>
      </w:r>
    </w:p>
    <w:p>
      <w:pPr>
        <w:pStyle w:val="ListBullet"/>
      </w:pPr>
      <w:r>
        <w:rPr>
          <w:b/>
        </w:rPr>
        <w:t>Cuatro no entran</w:t>
      </w:r>
      <w:r>
        <w:t xml:space="preserve">, porque no se han leído en su fuente: </w:t>
      </w:r>
      <w:r>
        <w:rPr>
          <w:i/>
        </w:rPr>
        <w:t>fraus omnia corrumpit</w:t>
      </w:r>
      <w:r>
        <w:t xml:space="preserve"> («el fraude lo corrompe todo»), </w:t>
      </w:r>
      <w:r>
        <w:rPr>
          <w:i/>
        </w:rPr>
        <w:t>excusatio non petita, accusatio manifesta</w:t>
      </w:r>
      <w:r>
        <w:t xml:space="preserve"> («excusa no pedida, acusación manifiesta»), </w:t>
      </w:r>
      <w:r>
        <w:rPr>
          <w:i/>
        </w:rPr>
        <w:t>error iuris non inducit malam fidem</w:t>
      </w:r>
      <w:r>
        <w:t xml:space="preserve"> («el error de derecho no supone mala fe») y </w:t>
      </w:r>
      <w:r>
        <w:rPr>
          <w:i/>
        </w:rPr>
        <w:t>nunc pro tunc</w:t>
      </w:r>
      <w:r>
        <w:t xml:space="preserve"> («ahora por entonces»). Tampoco entran las atribuciones que no se han leído, como la de </w:t>
      </w:r>
      <w:r>
        <w:rPr>
          <w:i/>
        </w:rPr>
        <w:t>sublata causa</w:t>
      </w:r>
      <w:r>
        <w:t xml:space="preserve"> a Tomás de Aquino.</w:t>
      </w:r>
    </w:p>
    <w:p>
      <w:pPr>
        <w:pStyle w:val="Heading2"/>
      </w:pPr>
      <w:r>
        <w:t>Dónde se oye la defensa del Estado</w:t>
      </w:r>
    </w:p>
    <w:p>
      <w:r>
        <w:t>La defensa del Estado frente a las palabras de la obra, y lo que la obra le responde, se oyen en el juicio, en las cuestiones previas (</w:t>
      </w:r>
      <w:r>
        <w:t>11.2</w:t>
      </w:r>
      <w:r>
        <w:t>):</w:t>
      </w:r>
    </w:p>
    <w:p>
      <w:pPr>
        <w:pStyle w:val="ListBullet"/>
      </w:pPr>
      <w:r>
        <w:t>«La obra no es neutral: la vara la pone el autor» (n.º 1);</w:t>
      </w:r>
    </w:p>
    <w:p>
      <w:pPr>
        <w:pStyle w:val="ListBullet"/>
      </w:pPr>
      <w:r>
        <w:t>«El derecho natural y las máximas latinas no son derecho aplicable» (n.º 3);</w:t>
      </w:r>
    </w:p>
    <w:p>
      <w:pPr>
        <w:pStyle w:val="ListBullet"/>
      </w:pPr>
      <w:r>
        <w:t>«Usar la imagen del diablo para el Estado, y hablar de bien y mal, es demonizar al adversario» (n.º 16);</w:t>
      </w:r>
    </w:p>
    <w:p>
      <w:pPr>
        <w:pStyle w:val="ListBullet"/>
      </w:pPr>
      <w:r>
        <w:t>«El Estado no es un ente sin cuerpo: sus cargos responden» (n.º 17);</w:t>
      </w:r>
    </w:p>
    <w:p>
      <w:pPr>
        <w:pStyle w:val="ListBullet"/>
      </w:pPr>
      <w:r>
        <w:t>«La persona jurídica es una ficción necesaria» (n.º 18);</w:t>
      </w:r>
    </w:p>
    <w:p>
      <w:pPr>
        <w:pStyle w:val="ListBullet"/>
      </w:pPr>
      <w:r>
        <w:t>y «El Estado como construcción mental es una tesis ideológica» (n.º 19).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Cada palabra de la obra significa siempre lo mismo, y aquí está dicha una sola vez, con el apartado donde se explica.</w:t>
      </w:r>
    </w:p>
    <w:p>
      <w:pPr>
        <w:pStyle w:val="ListBullet"/>
      </w:pPr>
      <w:r>
        <w:t>La obra es «</w:t>
      </w:r>
      <w:r>
        <w:t>Apocalipsis del Sistema</w:t>
      </w:r>
      <w:r>
        <w:t>»; el Registro es el archivo de los frutos.</w:t>
      </w:r>
    </w:p>
    <w:p>
      <w:pPr>
        <w:pStyle w:val="ListBullet"/>
      </w:pPr>
      <w:r>
        <w:t>El orden de las leyes es la ley de Dios, la ley natural, la costumbre y la ley escrita; el orden oficial es el inverso.</w:t>
      </w:r>
    </w:p>
    <w:p>
      <w:pPr>
        <w:pStyle w:val="ListBullet"/>
      </w:pPr>
      <w:r>
        <w:t>La vara mide en dos pasos, la verdad de los hechos y sus frutos; la convergencia es una mesa con sus patas, y la pata coja se dice.</w:t>
      </w:r>
    </w:p>
    <w:p>
      <w:pPr>
        <w:pStyle w:val="ListBullet"/>
      </w:pPr>
      <w:r>
        <w:t>Lo que no es dato va como lectura del autor, con su etiqueta.</w:t>
      </w:r>
    </w:p>
    <w:p>
      <w:pPr>
        <w:pStyle w:val="ListBullet"/>
      </w:pPr>
      <w:r>
        <w:t>Las máximas latinas son costumbre jurídica escrita: cada una va con su fuente, y ninguna anula una ley con solo citarla.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Anexo H. El glosario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H. El glosario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