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el texto de cada cita en su fuente</w:t>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t xml:space="preserve"> (Monier-Williams, p. 1308)</w:t>
      </w:r>
      <w:r>
        <w:t xml:space="preserve">; y la japonesa, porque </w:t>
      </w:r>
      <w:r>
        <w:rPr>
          <w:i/>
        </w:rPr>
        <w:t>giri</w:t>
      </w:r>
      <w:r>
        <w:t xml:space="preserve"> nombra el deber, no la falta.</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el texto de cada cita en su fuente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el texto de cada cita en su fuente · Anexo F. El Arca: los textos de cada tradición, con su fuent</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F. El Arca: los textos de cada tradición, con su fuente · Las conclusiones, con el texto de cada cita en su fuente</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