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Anexo D. El botiquín: los doce modelos de escrito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2 · Citas leídas en su fuente: 26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 xml:space="preserve">El </w:t>
      </w:r>
      <w:r>
        <w:t>capítulo 10</w:t>
      </w:r>
      <w:r>
        <w:t xml:space="preserve"> explica los cauces (</w:t>
      </w:r>
      <w:r>
        <w:t>10.4</w:t>
      </w:r>
      <w:r>
        <w:t xml:space="preserve"> y </w:t>
      </w:r>
      <w:r>
        <w:t>10.5</w:t>
      </w:r>
      <w:r>
        <w:t>); este anexo pone en la mano los escritos: doce modelos listos para rellenar, cada uno con su base legal, sus plazos y la respuesta probable de la Administración.</w:t>
      </w:r>
    </w:p>
    <w:p>
      <w:pPr>
        <w:pStyle w:val="ListBullet"/>
      </w:pPr>
      <w:r>
        <w:t>Se usan en escalera: primero se pide; si no contestan o contestan con una evasiva, se exige que acrediten; y si siguen callando, se recuerda por escrito la obligación de resolver y la responsabilidad de quien tramita.</w:t>
      </w:r>
    </w:p>
    <w:p>
      <w:pPr>
        <w:pStyle w:val="ListBullet"/>
      </w:pPr>
      <w:r>
        <w:t>El último apartado, D.13, reúne las presunciones en que se sostiene la autoridad del Estado, las que la ley escribe y las que ninguna ley escribe, para pedir, una a una, el hecho demostrado en que se apoyan.</w:t>
      </w:r>
    </w:p>
    <w:p>
      <w:pPr>
        <w:pStyle w:val="ListBullet"/>
      </w:pPr>
      <w:r>
        <w:t>Son modelos, no consejo legal para un caso concreto. No eximen de ninguna obligación vigente ni invitan a desobedecer.</w:t>
      </w:r>
    </w:p>
    <w:p>
      <w:pPr>
        <w:pStyle w:val="Heading2"/>
      </w:pPr>
      <w:r>
        <w:t>D.0 Cómo se usan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escritos son la constancia; se presentan en escalera, con copia sellada, en plazo y en el lenguaje de la Administración.</w:t>
      </w:r>
    </w:p>
    <w:p>
      <w:pPr>
        <w:pStyle w:val="Heading2"/>
      </w:pPr>
      <w:r>
        <w:t>D.1 El escrito de petición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es el escrito de la pregunta de </w:t>
      </w:r>
      <w:r>
        <w:rPr>
          <w:b/>
        </w:rPr>
        <w:t>10.4</w:t>
      </w:r>
      <w:r>
        <w:rPr>
          <w:b/>
        </w:rPr>
        <w:t>, completo: pide la norma, la resolución y la identidad de quien tramita, y deja constancia de buena fe.</w:t>
      </w:r>
    </w:p>
    <w:p>
      <w:r>
        <w:rPr>
          <w:b/>
        </w:rPr>
        <w:t>La respuesta probable de la Administración:</w:t>
      </w:r>
      <w:r>
        <w:t xml:space="preserve"> que no se admite porque lo pedido tiene otro procedimiento específico o es ajeno a sus atribuciones</w:t>
      </w:r>
      <w:r>
        <w:t xml:space="preserve"> (Ley Orgánica 4/2001, art. 8)</w:t>
      </w:r>
      <w:r>
        <w:t xml:space="preserve">, o una contestación genérica que no responde a lo pedido. Las cinco respuestas posibles, con lo que contesta la obra, están en </w:t>
      </w:r>
      <w:r>
        <w:t>10.4</w:t>
      </w:r>
      <w:r>
        <w:t>.</w:t>
      </w:r>
    </w:p>
    <w:p>
      <w:pPr>
        <w:pStyle w:val="Heading2"/>
      </w:pPr>
      <w:r>
        <w:t>D.2 La solicitud de acceso a la información pública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para pedir los datos que tiene la Administración, sin decir para qué se quieren.</w:t>
      </w:r>
    </w:p>
    <w:p>
      <w:r>
        <w:rPr>
          <w:b/>
        </w:rPr>
        <w:t>La respuesta probable de la Administración:</w:t>
      </w:r>
      <w:r>
        <w:t xml:space="preserve"> que la información está protegida por algún límite legal</w:t>
      </w:r>
      <w:r>
        <w:t xml:space="preserve"> (Ley 19/2013, art. 14)</w:t>
      </w:r>
      <w:r>
        <w:t>, que exige una «reelaboración»</w:t>
      </w:r>
      <w:r>
        <w:t xml:space="preserve"> (ídem, art. 18.1.c)</w:t>
      </w:r>
      <w:r>
        <w:t xml:space="preserve"> o que ya está publicada en otro sitio.</w:t>
      </w:r>
    </w:p>
    <w:p>
      <w:pPr>
        <w:pStyle w:val="Heading2"/>
      </w:pPr>
      <w:r>
        <w:t>D.3 Las alegaciones y el recurso contra una multa o una sanción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ante una denuncia o una sanción, alegar en plazo y pedir la prueba; la presunción, aquí, juega a favor del ciudadano.</w:t>
      </w:r>
    </w:p>
    <w:p>
      <w:r>
        <w:rPr>
          <w:b/>
        </w:rPr>
        <w:t>La respuesta probable de la Administración:</w:t>
      </w:r>
      <w:r>
        <w:t xml:space="preserve"> que la denuncia del agente tiene valor probatorio</w:t>
      </w:r>
      <w:r>
        <w:t xml:space="preserve"> (Ley de Tráfico, art. 88; Ley 39/2015, art. 77.5)</w:t>
      </w:r>
      <w:r>
        <w:t xml:space="preserve"> y que las alegaciones no lo desvirtúan.</w:t>
      </w:r>
    </w:p>
    <w:p>
      <w:pPr>
        <w:pStyle w:val="Heading2"/>
      </w:pPr>
      <w:r>
        <w:t>D.4 El recurso contra una liquidación, una providencia de apremio o un embargo de Hacienda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contra lo que cobra Hacienda, recurso en un mes y por los motivos que la ley admite; pedir siempre la prueba de la notificación.</w:t>
      </w:r>
    </w:p>
    <w:p>
      <w:r>
        <w:rPr>
          <w:b/>
        </w:rPr>
        <w:t>La respuesta probable de la Administración:</w:t>
      </w:r>
      <w:r>
        <w:t xml:space="preserve"> que el motivo alegado no está entre los admitidos por la ley</w:t>
      </w:r>
      <w:r>
        <w:t xml:space="preserve"> (Ley General Tributaria, arts. 167.3 y 170.3)</w:t>
      </w:r>
      <w:r>
        <w:t>, que el recurso no suspende el cobro y que el embargo sigue adelante.</w:t>
      </w:r>
    </w:p>
    <w:p>
      <w:pPr>
        <w:pStyle w:val="Heading2"/>
      </w:pPr>
      <w:r>
        <w:t>D.5 La reclamación por inactividad de la Administración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la Administración debe algo concreto y no lo da, se le reclama; a los tres meses queda abierto el recurso.</w:t>
      </w:r>
    </w:p>
    <w:p>
      <w:r>
        <w:rPr>
          <w:b/>
        </w:rPr>
        <w:t>La respuesta probable de la Administración:</w:t>
      </w:r>
      <w:r>
        <w:t xml:space="preserve"> silencio, o que no existe una «prestación concreta» a la que la Administración esté obligada.</w:t>
      </w:r>
    </w:p>
    <w:p>
      <w:pPr>
        <w:pStyle w:val="Heading2"/>
      </w:pPr>
      <w:r>
        <w:t>D.6 La queja al Defensor del Pueblo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una institución independiente investiga la actuación de la Administración; es gratis y no hace falta abogado.</w:t>
      </w:r>
    </w:p>
    <w:p>
      <w:r>
        <w:rPr>
          <w:b/>
        </w:rPr>
        <w:t>La respuesta probable de la Administración:</w:t>
      </w:r>
      <w:r>
        <w:t xml:space="preserve"> que no entra en el caso porque está pendiente de resolución judicial</w:t>
      </w:r>
      <w:r>
        <w:t xml:space="preserve"> (Ley Orgánica 3/1981, art. 17.2)</w:t>
      </w:r>
      <w:r>
        <w:t>, o que lo remite a la administración afectada.</w:t>
      </w:r>
    </w:p>
    <w:p>
      <w:pPr>
        <w:pStyle w:val="Heading2"/>
      </w:pPr>
      <w:r>
        <w:t>D.7 La constancia de no consentimiento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dejar escrito que el consentimiento que se presume nunca se ha dado; no produce efectos legales, y lo dice él mismo.</w:t>
      </w:r>
    </w:p>
    <w:p>
      <w:r>
        <w:rPr>
          <w:b/>
        </w:rPr>
        <w:t>La respuesta probable de la Administración:</w:t>
      </w:r>
      <w:r>
        <w:t xml:space="preserve"> ninguna respuesta, o que el documento «carece de efectos jurídicos», o tratarlo como un escrito pseudolegal.</w:t>
      </w:r>
    </w:p>
    <w:p>
      <w:pPr>
        <w:pStyle w:val="Heading2"/>
      </w:pPr>
      <w:r>
        <w:t>D.8 La solicitud de acreditación de la competencia, de los hechos y de la motivación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dentro de un expediente abierto, antes de discutir el fondo, se pide con qué competencia, con qué hechos probados y con qué motivos se actúa, y quién responde de tramitarlo.</w:t>
      </w:r>
    </w:p>
    <w:p>
      <w:r>
        <w:rPr>
          <w:b/>
        </w:rPr>
        <w:t>La respuesta probable de la Administración:</w:t>
      </w:r>
      <w:r>
        <w:t xml:space="preserve"> que la competencia resulta de una ley que se cita de forma genérica, que el acto es válido</w:t>
      </w:r>
      <w:r>
        <w:t xml:space="preserve"> (Ley 39/2015, art. 39)</w:t>
      </w:r>
      <w:r>
        <w:t xml:space="preserve"> y que no procede dar más información.</w:t>
      </w:r>
    </w:p>
    <w:p>
      <w:pPr>
        <w:pStyle w:val="Heading2"/>
      </w:pPr>
      <w:r>
        <w:t>D.9 La petición de motivación extensa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pregunta de los cimientos: en qué se apoya la presunción por la que el Estado ejerce autoridad sobre la persona, con la relación de presunciones (</w:t>
      </w:r>
      <w:r>
        <w:rPr>
          <w:b/>
        </w:rPr>
        <w:t>D.13</w:t>
      </w:r>
      <w:r>
        <w:rPr>
          <w:b/>
        </w:rPr>
        <w:t>) adjunta.</w:t>
      </w:r>
    </w:p>
    <w:p>
      <w:r>
        <w:rPr>
          <w:b/>
        </w:rPr>
        <w:t>La respuesta probable de la Administración:</w:t>
      </w:r>
      <w:r>
        <w:t xml:space="preserve"> que no se admite porque plantea cuestiones generales y no una petición concreta, o una respuesta que remite a la Constitución y a las leyes vigentes</w:t>
      </w:r>
      <w:r>
        <w:t xml:space="preserve"> (Constitución, art. 9.1; Código Civil, art. 1.2)</w:t>
      </w:r>
      <w:r>
        <w:t>.</w:t>
      </w:r>
    </w:p>
    <w:p>
      <w:pPr>
        <w:pStyle w:val="Heading2"/>
      </w:pPr>
      <w:r>
        <w:t>D.10 El recordatorio de responsabilidad por falta de respuesta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un escrito no se ha resuelto en plazo, se recuerda por escrito la obligación de resolver y la responsabilidad de quien tramita, citando el escrito anterior sin repetirlo.</w:t>
      </w:r>
    </w:p>
    <w:p>
      <w:r>
        <w:rPr>
          <w:b/>
        </w:rPr>
        <w:t>La respuesta probable de la Administración:</w:t>
      </w:r>
      <w:r>
        <w:t xml:space="preserve"> que el retraso se debe a la carga de trabajo, o seguir en silencio.</w:t>
      </w:r>
    </w:p>
    <w:p>
      <w:pPr>
        <w:pStyle w:val="Heading2"/>
      </w:pPr>
      <w:r>
        <w:t>D.11 La reclamación de los intereses de demora que Hacienda debe al ciudadano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espejo del recargo: si el ciudadano paga tarde, paga intereses; si Hacienda devuelve tarde, también los debe, sin que se le pidan.</w:t>
      </w:r>
    </w:p>
    <w:p>
      <w:r>
        <w:rPr>
          <w:b/>
        </w:rPr>
        <w:t>La respuesta probable de la Administración:</w:t>
      </w:r>
      <w:r>
        <w:t xml:space="preserve"> que no procede porque la demora no es imputable a la Administración</w:t>
      </w:r>
      <w:r>
        <w:t xml:space="preserve"> (Ley General Tributaria, art. 31.2)</w:t>
      </w:r>
      <w:r>
        <w:t>, o que los intereses ya se incluyeron.</w:t>
      </w:r>
    </w:p>
    <w:p>
      <w:pPr>
        <w:pStyle w:val="Heading2"/>
      </w:pPr>
      <w:r>
        <w:t>D.12 La reclamación de responsabilidad patrimonial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espejo de la autotutela: si el ciudadano daña, paga; si el funcionamiento de la Administración daña, indemniza.</w:t>
      </w:r>
    </w:p>
    <w:p>
      <w:r>
        <w:rPr>
          <w:b/>
        </w:rPr>
        <w:t>La respuesta probable de la Administración:</w:t>
      </w:r>
      <w:r>
        <w:t xml:space="preserve"> que el daño es de los que el ciudadano «tiene el deber jurídico de soportar», que no hay relación de causalidad, que ha prescrito, o el silencio a los seis meses.</w:t>
      </w:r>
    </w:p>
    <w:p>
      <w:pPr>
        <w:pStyle w:val="Heading2"/>
      </w:pPr>
      <w:r>
        <w:t>D.13 La relación de presunciones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todas las presunciones en que se sostiene la autoridad del Estado sobre la persona, en una sola relación que se adjunta al </w:t>
      </w:r>
      <w:r>
        <w:rPr>
          <w:b/>
        </w:rPr>
        <w:t>D.9</w:t>
      </w:r>
      <w:r>
        <w:rPr>
          <w:b/>
        </w:rPr>
        <w:t>: primero las que la ley escribe; después, las que ninguna ley escribe y se sostienen en la creencia y el consentimiento.</w:t>
      </w:r>
    </w:p>
    <w:p>
      <w:pPr>
        <w:pStyle w:val="Heading3"/>
      </w:pPr>
      <w:r>
        <w:t>Primera parte. Lo que la ley presume</w:t>
      </w:r>
    </w:p>
    <w:p>
      <w:pPr>
        <w:pStyle w:val="Heading3"/>
      </w:pPr>
      <w:r>
        <w:t>Segunda parte. La vacuna: lo que se cree sin prueba</w:t>
      </w:r>
    </w:p>
    <w:p>
      <w:r>
        <w:rPr>
          <w:b/>
        </w:rPr>
        <w:t>Conclusión, lo que arrojan los datos:</w:t>
      </w:r>
      <w:r>
        <w:t xml:space="preserve"> las presunciones de la primera parte están escritas en la ley con sus palabras, y casi todas reparten la carga de la prueba del mismo lado: el Estado se presume válido y cierto, y es el ciudadano quien tiene que probar lo contrario. Las de la segunda parte no las escribe ninguna ley: se sostienen en que se crean. Y la propia ley dice que una presunción necesita un hecho de partida admitido o probado (Ley de Enjuiciamiento Civil, art. 385.1).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t>Son modelos, no consejo legal para un caso concreto. Cada caso tiene sus hechos y sus plazos, y cuando hay dinero en juego conviene un abogado. No se puede correr antes de gatear (</w:t>
      </w:r>
      <w:r>
        <w:t>10.5</w:t>
      </w:r>
      <w:r>
        <w:t>).</w:t>
      </w:r>
    </w:p>
    <w:p>
      <w:pPr>
        <w:pStyle w:val="ListBullet"/>
      </w:pPr>
      <w:r>
        <w:t>Ninguno exime de una obligación vigente (Constitución, art. 9.1), y la constancia de no consentimiento (</w:t>
      </w:r>
      <w:r>
        <w:t>D.7</w:t>
      </w:r>
      <w:r>
        <w:t>) y la relación de presunciones (</w:t>
      </w:r>
      <w:r>
        <w:t>D.13</w:t>
      </w:r>
      <w:r>
        <w:t>) no producen efectos legales por sí mismas: su valor es documental.</w:t>
      </w:r>
    </w:p>
    <w:p>
      <w:pPr>
        <w:pStyle w:val="ListBullet"/>
      </w:pPr>
      <w:r>
        <w:t>La presunción de validez de los actos no nace, para el Derecho, del consentimiento de cada persona, sino de la ley que la establece; la Administración lo contestará así. Lo que el escrito consigue es que esa respuesta quede por escrito.</w:t>
      </w:r>
    </w:p>
    <w:p>
      <w:pPr>
        <w:pStyle w:val="ListBullet"/>
      </w:pPr>
      <w:r>
        <w:t>La Ley de Enjuiciamiento Civil rige los procesos civiles y solo suple a las demás leyes en lo que no regulen (art. 4); el procedimiento administrativo tiene sus propias reglas (Ley 39/2015). El D.9 la cita por su definición de la presunción, no como la norma que rige el expediente.</w:t>
      </w:r>
    </w:p>
    <w:p>
      <w:pPr>
        <w:pStyle w:val="ListBullet"/>
      </w:pPr>
      <w:r>
        <w:t xml:space="preserve">El aforismo </w:t>
      </w:r>
      <w:r>
        <w:rPr>
          <w:i/>
        </w:rPr>
        <w:t>prior tempore potior iure</w:t>
      </w:r>
      <w:r>
        <w:t xml:space="preserve"> resuelve en Derecho conflictos entre derechos, no entre una persona y la ley; y la regla de las leyes es la contraria: la posterior deroga a la anterior</w:t>
      </w:r>
      <w:r>
        <w:t xml:space="preserve"> (Código Civil, art. 2.2)</w:t>
      </w:r>
      <w:r>
        <w:t>. Va solo como pregunta.</w:t>
      </w:r>
    </w:p>
    <w:p>
      <w:pPr>
        <w:pStyle w:val="ListBullet"/>
      </w:pPr>
      <w:r>
        <w:t>La petición de motivación extensa probablemente se inadmitirá por tratar «cuestiones generales». Su fuerza no es ganar, sino dejar constancia de qué se responde y qué se calla.</w:t>
      </w:r>
    </w:p>
    <w:p>
      <w:pPr>
        <w:pStyle w:val="Heading2"/>
      </w:pPr>
      <w:r>
        <w:t>La defensa del Estado</w:t>
      </w:r>
    </w:p>
    <w:p>
      <w:pPr>
        <w:pStyle w:val="ListBullet"/>
      </w:pPr>
      <w:r>
        <w:rPr>
          <w:b/>
        </w:rPr>
        <w:t>Los cauces ya existen, y funcionan.</w:t>
      </w:r>
      <w:r>
        <w:t xml:space="preserve"> El ordenamiento da al ciudadano la petición, el acceso a la información, los recursos, el Defensor del Pueblo y la reclamación de daños: este anexo usa sus propias leyes.</w:t>
      </w:r>
    </w:p>
    <w:p>
      <w:pPr>
        <w:pStyle w:val="ListBullet"/>
      </w:pPr>
      <w:r>
        <w:rPr>
          <w:b/>
        </w:rPr>
        <w:t>Sin la presunción de validez, nada funcionaría.</w:t>
      </w:r>
      <w:r>
        <w:t xml:space="preserve"> Si cada acto tuviera que probarse antes de surtir efecto, la Administración se pararía; por eso la ley lo presume, y por eso también admite prueba en contrario y recurso.</w:t>
      </w:r>
    </w:p>
    <w:p>
      <w:pPr>
        <w:pStyle w:val="ListBullet"/>
      </w:pPr>
      <w:r>
        <w:rPr>
          <w:b/>
        </w:rPr>
        <w:t>La autoridad nace de la Constitución, votada en referéndum, y de las elecciones</w:t>
      </w:r>
      <w:r>
        <w:t>, no de un contrato privado con cada persona.</w:t>
      </w:r>
    </w:p>
    <w:p>
      <w:pPr>
        <w:pStyle w:val="ListBullet"/>
      </w:pPr>
      <w:r>
        <w:rPr>
          <w:b/>
        </w:rPr>
        <w:t>Los escritos en serie colapsan a la Administración</w:t>
      </w:r>
      <w:r>
        <w:t xml:space="preserve"> y retrasan a quien de verdad necesita una respuesta.</w:t>
      </w:r>
    </w:p>
    <w:p>
      <w:r>
        <w:rPr>
          <w:i/>
        </w:rPr>
        <w:t>Los contrapuntos de la obra:</w:t>
      </w:r>
      <w:r>
        <w:t xml:space="preserve"> la obra concede que los cauces existen, y por eso los usa y no pide desobedecer. Pero pide lo que la ley ya obliga a dar: la norma, la resolución, la motivación y el hecho de partida de cada presunción; si existen, contestar cuesta una línea. El referéndum de 1978 no lo votaron quienes no tenían edad ni los nacidos después (</w:t>
      </w:r>
      <w:r>
        <w:t>5.2</w:t>
      </w:r>
      <w:r>
        <w:t xml:space="preserve">; </w:t>
      </w:r>
      <w:r>
        <w:t>cargo 3</w:t>
      </w:r>
      <w:r>
        <w:t>). Y cada modelo exige hechos concretos del propio asunto: no es un formulario para enviar en masa (</w:t>
      </w:r>
      <w:r>
        <w:t>10.4</w:t>
      </w:r>
      <w:r>
        <w:t>, respuesta 5).</w:t>
      </w:r>
    </w:p>
    <w:p>
      <w:pPr>
        <w:pStyle w:val="Heading2"/>
      </w:pPr>
      <w:r>
        <w:t>Dónde se oye la defensa del Estado</w:t>
      </w:r>
    </w:p>
    <w:p>
      <w:r>
        <w:t xml:space="preserve">En cada modelo, con su respuesta probable; las cinco respuestas al escrito de petición, en </w:t>
      </w:r>
      <w:r>
        <w:t>10.4</w:t>
      </w:r>
      <w:r>
        <w:t xml:space="preserve">; y cada presunción del </w:t>
      </w:r>
      <w:r>
        <w:t>D.13</w:t>
      </w:r>
      <w:r>
        <w:t>, con su defensa y su réplica, en los cargos 1 a 23 del juicio (</w:t>
      </w:r>
      <w:r>
        <w:t>11.3</w:t>
      </w:r>
      <w:r>
        <w:t>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Primero se pide; si callan, se exige que acrediten; si siguen callando, se recuerda la obligación de resolver. Cada escrito dice cuál es el siguiente.</w:t>
      </w:r>
    </w:p>
    <w:p>
      <w:pPr>
        <w:pStyle w:val="ListBullet"/>
      </w:pPr>
      <w:r>
        <w:t>El caso concreto, a quien tramita; los cimientos, a quien puede responder por ellos.</w:t>
      </w:r>
    </w:p>
    <w:p>
      <w:pPr>
        <w:pStyle w:val="ListBullet"/>
      </w:pPr>
      <w:r>
        <w:t>Una presunción es «Aceptación de un hecho del que no se tiene prueba y que se infiere de otro hecho demostrado». El escrito pide ese hecho.</w:t>
      </w:r>
    </w:p>
    <w:p>
      <w:pPr>
        <w:pStyle w:val="ListBullet"/>
      </w:pPr>
      <w:r>
        <w:t>La ley también presume a favor de la persona: la inocencia y la buena fe.</w:t>
      </w:r>
    </w:p>
    <w:p>
      <w:pPr>
        <w:pStyle w:val="ListBullet"/>
      </w:pPr>
      <w:r>
        <w:t>Copia sellada, plazo vigilado y, si hay dinero en juego, abogado.</w:t>
      </w:r>
    </w:p>
    <w:p>
      <w:pPr>
        <w:pStyle w:val="ListBullet"/>
      </w:pPr>
      <w:r>
        <w:t>Todo lo que se afirma se puede comprobar, y todo lo que se pide se puede conceder (</w:t>
      </w:r>
      <w:r>
        <w:t>10.4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Anexo D. El botiquín: los doce modelos de escrito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D. El botiquín: los doce modelos de escrito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