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el texto de cada cita en su fuente</w:t>
      </w:r>
    </w:p>
    <w:p>
      <w:pPr>
        <w:pStyle w:val="Heading1"/>
      </w:pPr>
      <w:r>
        <w:t>7 La auditoría: la Constitución frente a los hechos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5 de octubre de 2026 · Última revisión: 12 de octubre de 2026 · Cambios anotados en el capítulo: 7 · Citas leídas en su fuente: 56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Si la Constitución es la traducción escrita del contrato social, la pregunta de si se cumple se puede partir en 169 preguntas comprobables, una por artículo: la norma, el hecho y su fuente.</w:t>
      </w:r>
    </w:p>
    <w:p>
      <w:pPr>
        <w:pStyle w:val="ListBullet"/>
      </w:pPr>
      <w:r>
        <w:t>La auditoría da 93 artículos que se cumplen, 69 que no y 7 pendientes. En 23 de los 69 ya hay una declaración formal de un tribunal o de un organismo externo.</w:t>
      </w:r>
    </w:p>
    <w:p>
      <w:pPr>
        <w:pStyle w:val="ListBullet"/>
      </w:pPr>
      <w:r>
        <w:t>El incumplimiento no se reparte igual: recae en el 62,1 % de los artículos que afectan al ciudadano y en el 27,2 % de los que organizan el poder. Y cuando el freno de otro poder actúa, corrige al poder en el 26,32 % de los casos, y protege al ciudadano en el 4,65 %.</w:t>
      </w:r>
    </w:p>
    <w:p>
      <w:pPr>
        <w:pStyle w:val="ListBullet"/>
      </w:pPr>
      <w:r>
        <w:t>Cada pieza, sola, es defendible. Juntas, forman un cuerpo que ninguna explica sola.</w:t>
      </w:r>
    </w:p>
    <w:p>
      <w:pPr>
        <w:pStyle w:val="ListBullet"/>
      </w:pPr>
      <w:r>
        <w:t>Una norma puede seguir en pie y haberse vaciado: es la corrupción de la forma. Y se mide como mide el propio Tribunal de Cuentas: por los resultados.</w:t>
      </w:r>
    </w:p>
    <w:p>
      <w:pPr>
        <w:pStyle w:val="ListBullet"/>
      </w:pPr>
      <w:r>
        <w:t>El cobro del Estado está blindado, y sus deberes con el ciudadano, aplazados: lo uno se ejecuta sin juez; lo otro no se puede pedir a un juez sin una ley que lo desarrolle.</w:t>
      </w:r>
    </w:p>
    <w:p>
      <w:pPr>
        <w:pStyle w:val="ListBullet"/>
      </w:pPr>
      <w:r>
        <w:t>Algunos diseños legales enfrentan a la gente sin que nadie actúe de mala fe: obligan a decidir deprisa con la prueba incompleta.</w:t>
      </w:r>
    </w:p>
    <w:p>
      <w:pPr>
        <w:pStyle w:val="ListBullet"/>
      </w:pPr>
      <w:r>
        <w:t>Nada de esto es la tiranía sistemática que la teoría pide para el derecho de resistencia (</w:t>
      </w:r>
      <w:r>
        <w:t>6.5</w:t>
      </w:r>
      <w:r>
        <w:t>): los frenos actúan, a veces. Es una asimetría medida.</w:t>
      </w:r>
    </w:p>
    <w:p>
      <w:pPr>
        <w:pStyle w:val="Heading2"/>
      </w:pPr>
      <w:r>
        <w:t>7.1 El método: auditar el contrato social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«¿se cumple el contrato social?» no tiene respuesta comprobable así formulada. Pero si la Constitución es su traducción escrita, la pregunta se parte en 169 preguntas que sí la tienen.</w:t>
      </w:r>
    </w:p>
    <w:p>
      <w:r>
        <w:rPr>
          <w:b/>
        </w:rPr>
        <w:t>Conclusión, lo que arrojan los datos:</w:t>
      </w:r>
      <w:r>
        <w:t xml:space="preserve"> la Constitución se puede auditar artículo por artículo, con fuente, sin opinar. Se cumplen 93 de 169 artículos, y en 23 de los 69 incumplidos ya hay declaración formal externa. Y aparece una asimetría medible: el sistema resuelve mejor sus conflictos internos que sus obligaciones con el ciudadano. Lo que no prueba: una ruptura del pacto en el sentido que la teoría clásica reserva para su último recurso.</w:t>
      </w:r>
    </w:p>
    <w:p>
      <w:pPr>
        <w:pStyle w:val="Heading2"/>
      </w:pPr>
      <w:r>
        <w:t>7.2 El método de Núremberg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poder no se juzga con relatos, sino con sus propios documentos. Quince normas, cada una frente al hecho que le sigue.</w:t>
      </w:r>
    </w:p>
    <w:p>
      <w:pPr>
        <w:pStyle w:val="Heading2"/>
      </w:pPr>
      <w:r>
        <w:t>7.3 La Constitución y los hechos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once casos más con el mismo método. Dos rompen el patrón, y uno, leído en su original, no es lo que parecía.</w:t>
      </w:r>
    </w:p>
    <w:p>
      <w:r>
        <w:rPr>
          <w:b/>
        </w:rPr>
        <w:t>Conclusión, lo que arrojan los datos:</w:t>
      </w:r>
      <w:r>
        <w:t xml:space="preserve"> ninguno de estos casos, por separado, prueba más de lo que dice. Juntos extienden el mismo patrón de </w:t>
      </w:r>
      <w:r>
        <w:t>7.2</w:t>
      </w:r>
      <w:r>
        <w:t xml:space="preserve"> a otros terrenos: el voto de quien vive fuera, la lengua, la igualdad en la Corona, la vivienda. Ninguna pieza sola sostiene una acusación; juntas, dibujan un cuerpo hecho de partes legales, cada una defendible.</w:t>
      </w:r>
    </w:p>
    <w:p>
      <w:pPr>
        <w:pStyle w:val="Heading2"/>
      </w:pPr>
      <w:r>
        <w:t>7.4 El bien común frente al organigrama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separados en dos grupos, los mismos 169 artículos muestran que la Constitución se incumple el doble en lo que promete al ciudadano que en lo que organiza al poder. Y que el freno actúa cinco veces más cuando el poder se controla a sí mismo.</w:t>
      </w:r>
    </w:p>
    <w:p>
      <w:r>
        <w:rPr>
          <w:b/>
        </w:rPr>
        <w:t>Conclusión, lo que arrojan los datos:</w:t>
      </w:r>
      <w:r>
        <w:t xml:space="preserve"> el ciudadano encuentra su Constitución incumplida en más de tres de cada cinco artículos que le afectan directamente; el aparato del poder, en casi tres de cada diez de los de su propio funcionamiento. Y el freno de Montesquieu funciona en España, pero de forma desigual: protege más al poder que al ciudadano.</w:t>
      </w:r>
    </w:p>
    <w:p>
      <w:pPr>
        <w:pStyle w:val="Heading2"/>
      </w:pPr>
      <w:r>
        <w:t>7.5 La corrupción de la forma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algo puede conservar su nombre, su cargo y su título y haber perdido la sustancia que lo sostenía. Las tradiciones lo vieron; y el propio sistema auditado mide así: por los resultados.</w:t>
      </w:r>
    </w:p>
    <w:p>
      <w:r>
        <w:rPr>
          <w:b/>
        </w:rPr>
        <w:t>Conclusión, lo que arrojan los datos:</w:t>
      </w:r>
      <w:r>
        <w:t xml:space="preserve"> la idea de que una forma sin sustancia es corrupción la sostienen tradiciones sin contacto documentado entre sí, y varias la hicieron institución: el taburete ashanti, el título iroqués, el veedor inca, la regla de Qumrán. Y es la medida del propio sistema: la norma internacional de auditoría, la ley europea y el Tribunal de Cuentas miden por los resultados. Aplicada a la Constitución, encuentra corrupciones puntuales y lagunas de origen, y también restauraciones.</w:t>
      </w:r>
    </w:p>
    <w:p>
      <w:pPr>
        <w:pStyle w:val="Heading2"/>
      </w:pPr>
      <w:r>
        <w:t>7.6 El cobro blindado y el deber aplazado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cuando el ciudadano incumple, el Estado cobra solo y deprisa; cuando incumple el Estado, el ciudadano no tiene un mecanismo igual. No hace falta suponer mala fe: bastan los artículos, las cifras y las sentencias.</w:t>
      </w:r>
    </w:p>
    <w:p>
      <w:pPr>
        <w:pStyle w:val="Heading3"/>
      </w:pPr>
      <w:r>
        <w:t>El cobro</w:t>
      </w:r>
    </w:p>
    <w:p>
      <w:pPr>
        <w:pStyle w:val="Heading3"/>
      </w:pPr>
      <w:r>
        <w:t>El deber</w:t>
      </w:r>
    </w:p>
    <w:p>
      <w:r>
        <w:rPr>
          <w:b/>
        </w:rPr>
        <w:t>Conclusión, lo que arrojan los datos:</w:t>
      </w:r>
      <w:r>
        <w:t xml:space="preserve"> no es que los deberes sean desiguales en el papel: la Constitución pide mucho al Estado. Es que el mecanismo para hacerlos cumplir es distinto. El incumplimiento del ciudadano se cobra con autotutela, embargo sin juez y recargo; el del Estado, en la vivienda o la infancia, no tiene un mecanismo que el ciudadano pueda activar solo, porque el art. 53.3 exige antes una ley. Y solo dos de los doce principios rectores, la infancia y la vivienda, tienen dato propio en esta auditoría: afirmar que los otros diez fallan igual sería sobreafirmar.</w:t>
      </w:r>
    </w:p>
    <w:p>
      <w:pPr>
        <w:pStyle w:val="Heading2"/>
      </w:pPr>
      <w:r>
        <w:t>7.7 El diseño legal que enfrenta a la gente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no es que la gente sea peor. Algunos diseños legales obligan a decidir deprisa, cuando la prueba aún no existe, y pueden enfrentar a las personas sin que nadie haya actuado de mala fe.</w:t>
      </w:r>
    </w:p>
    <w:p>
      <w:r>
        <w:rPr>
          <w:b/>
        </w:rPr>
        <w:t>Conclusión, lo que arrojan los datos:</w:t>
      </w:r>
      <w:r>
        <w:t xml:space="preserve"> tres frentes distintos, la ocupación, la denuncia y las visitas, comparten una estructura: una decisión que hay que tomar deprisa, cuando la prueba completa no existe todavía. En los tres, la letra defiende a quien la crítica dice desprotegido: el propietario tiene la vía rápida; el denunciado, la audiencia y la tasa real de denegaciones; el progenitor investigado, el derecho a pedir que no se suspendan las visitas. Lo que falla, cuando falla, es la distancia entre lo que la ley promete y lo que el reloj del primer momento permite verificar.</w:t>
      </w:r>
    </w:p>
    <w:p>
      <w:pPr>
        <w:pStyle w:val="Heading2"/>
      </w:pPr>
      <w:r>
        <w:t>Límite honesto de la prueba</w:t>
      </w:r>
    </w:p>
    <w:p>
      <w:pPr>
        <w:pStyle w:val="ListBullet"/>
      </w:pPr>
      <w:r>
        <w:rPr>
          <w:b/>
        </w:rPr>
        <w:t>La auditoría mide cumplimiento normativo</w:t>
      </w:r>
      <w:r>
        <w:t xml:space="preserve">, no intención: si el hecho documentado coincide con la norma. Un resultado medido no es una causa demostrada. </w:t>
      </w:r>
    </w:p>
    <w:p>
      <w:pPr>
        <w:pStyle w:val="ListBullet"/>
      </w:pPr>
      <w:r>
        <w:rPr>
          <w:b/>
        </w:rPr>
        <w:t>No es tiranía sistemática.</w:t>
      </w:r>
      <w:r>
        <w:t xml:space="preserve"> Los contrapesos actúan: hay doce intentos frenados, y el sistema se corrigió en casos reales. El umbral clásico del derecho de resistencia (</w:t>
      </w:r>
      <w:r>
        <w:t>6.5</w:t>
      </w:r>
      <w:r>
        <w:t xml:space="preserve">) no está en un porcentaje, sino en la gravedad y en el agotamiento de las vías pacíficas, que no están agotadas. </w:t>
      </w:r>
    </w:p>
    <w:p>
      <w:pPr>
        <w:pStyle w:val="ListBullet"/>
      </w:pPr>
      <w:r>
        <w:rPr>
          <w:b/>
        </w:rPr>
        <w:t>Un caso, corregido.</w:t>
      </w:r>
      <w:r>
        <w:t xml:space="preserve"> La ficha del derecho de reunión (art. 21) se apoyaba en una lectura equivocada de la ley de seguridad ciudadana: el art. 36.2 castiga la perturbación grave, no la protesta pacífica, y el Constitucional lo declaró constitucional. Por el criterio de la propia obra, cuenta como cumplimiento limpio, y así van las cifras de este capítulo (93, 69 y 7; 62,1 % y 4,65 %).</w:t>
      </w:r>
    </w:p>
    <w:p>
      <w:pPr>
        <w:pStyle w:val="ListBullet"/>
      </w:pPr>
      <w:r>
        <w:rPr>
          <w:b/>
        </w:rPr>
        <w:t>Tres casos, pasados a pendiente.</w:t>
      </w:r>
      <w:r>
        <w:t xml:space="preserve"> El art. 7 (sindicatos) se contaba como incumplimiento sin que lo sostuviera el único hecho leído, un informe del Tribunal de Cuentas de 2014 sobre un contrato concreto que cumplía la ley; el art. 110 (reclamar la presencia del Gobierno) se apoyaba en un conflicto de agosto de 2026 todavía abierto; y el art. 111 (el Gobierno, sometido a las preguntas de las Cámaras) se apoyaba en una cifra de plazos que incluye el plazo ampliado, que es legal, y que calculan terceros con datos que el Congreso publica pregunta a pregunta, pero no en un conjunto de datos abiertos con que auditarla en bloque. Los tres pasan de incumplir a pendiente (</w:t>
      </w:r>
      <w:r>
        <w:t>anexo A</w:t>
      </w:r>
      <w:r>
        <w:t>), y por eso el recuento es 93, 69 y 7, y el incumplimiento del organigrama del poder, el 27,2 %.</w:t>
      </w:r>
    </w:p>
    <w:p>
      <w:pPr>
        <w:pStyle w:val="ListBullet"/>
      </w:pPr>
      <w:r>
        <w:rPr>
          <w:b/>
        </w:rPr>
        <w:t>Los casos son una selección</w:t>
      </w:r>
      <w:r>
        <w:t xml:space="preserve">, con su fuente. La auditoría completa, con los 169 artículos, está en el </w:t>
      </w:r>
      <w:r>
        <w:t>anexo A</w:t>
      </w:r>
      <w:r>
        <w:t>.</w:t>
      </w:r>
    </w:p>
    <w:p>
      <w:pPr>
        <w:pStyle w:val="ListBullet"/>
      </w:pPr>
      <w:r>
        <w:rPr>
          <w:b/>
        </w:rPr>
        <w:t>La corrupción de la forma es un diagnóstico puntual</w:t>
      </w:r>
      <w:r>
        <w:t xml:space="preserve">, no una sentencia sobre la institución entera. Dos de los siete casos están reparados o en reparación, y dos son lagunas de diseño. </w:t>
      </w:r>
    </w:p>
    <w:p>
      <w:pPr>
        <w:pStyle w:val="ListBullet"/>
      </w:pPr>
      <w:r>
        <w:rPr>
          <w:b/>
        </w:rPr>
        <w:t>Solo dos de los doce principios rectores</w:t>
      </w:r>
      <w:r>
        <w:t xml:space="preserve"> tienen dato propio en esta auditoría. </w:t>
      </w:r>
    </w:p>
    <w:p>
      <w:pPr>
        <w:pStyle w:val="ListBullet"/>
      </w:pPr>
      <w:r>
        <w:rPr>
          <w:b/>
        </w:rPr>
        <w:t>Fuentes secundarias:</w:t>
      </w:r>
      <w:r>
        <w:t xml:space="preserve"> el Museo del Holocausto de Estados Unidos (Núremberg), la descripción del </w:t>
      </w:r>
      <w:r>
        <w:rPr>
          <w:i/>
        </w:rPr>
        <w:t>Frankenstate</w:t>
      </w:r>
      <w:r>
        <w:t xml:space="preserve"> (el artículo de Scheppele es de pago), la prensa ghanesa, la Británica (esenios), Idealista News (Torrejón) y la sentencia del Supremo sobre la expropiación (no se ha podido leer); el estudio de 2023 sobre la prisión permanente, por su título.</w:t>
      </w:r>
    </w:p>
    <w:p>
      <w:pPr>
        <w:pStyle w:val="ListBullet"/>
      </w:pPr>
      <w:r>
        <w:rPr>
          <w:b/>
        </w:rPr>
        <w:t>Lo que no entra:</w:t>
      </w:r>
      <w:r>
        <w:t xml:space="preserve"> las «unas 3.000 toneladas» de documentos de Núremberg (una cifra de divulgación; el informe de Jackson habla de más de 100.000 documentos revisados y unos 4.000 usados); la frase atribuida a Confucio sobre el usurpador llamado rey (sale de una enciclopedia); los mayas (sin acceso al libro); la frase sobre la manipulación del juramento ashanti (no localizada); la sentencia de la Audiencia de Málaga (solo un blog); la previsión de 42.059 millones en intereses (solo prensa); la frase del manual del Tribunal de Cuentas Europeo (no localizada).</w:t>
      </w:r>
    </w:p>
    <w:p>
      <w:pPr>
        <w:pStyle w:val="Heading2"/>
      </w:pPr>
      <w:r>
        <w:t>Dónde se oye la defensa del Estado</w:t>
      </w:r>
    </w:p>
    <w:p>
      <w:r>
        <w:t>La defensa del Estado frente a este capítulo, y lo que la obra le responde, se oyen en el juicio:</w:t>
      </w:r>
    </w:p>
    <w:p>
      <w:pPr>
        <w:pStyle w:val="ListBullet"/>
      </w:pPr>
      <w:r>
        <w:t>«El Estado cumple la mayoría» y «la lectura de conjunto»: frente al dictamen (</w:t>
      </w:r>
      <w:r>
        <w:t>11.4</w:t>
      </w:r>
      <w:r>
        <w:t>);</w:t>
      </w:r>
    </w:p>
    <w:p>
      <w:pPr>
        <w:pStyle w:val="ListBullet"/>
      </w:pPr>
      <w:r>
        <w:t xml:space="preserve">«Cuando el propio sistema se frenó a sí mismo»: </w:t>
      </w:r>
      <w:r>
        <w:t>cargo 24</w:t>
      </w:r>
      <w:r>
        <w:t xml:space="preserve"> (</w:t>
      </w:r>
      <w:r>
        <w:t>11.3</w:t>
      </w:r>
      <w:r>
        <w:t>);</w:t>
      </w:r>
    </w:p>
    <w:p>
      <w:pPr>
        <w:pStyle w:val="ListBullet"/>
      </w:pPr>
      <w:r>
        <w:t xml:space="preserve">«El voto exterior y el dinero de los partidos»: </w:t>
      </w:r>
      <w:r>
        <w:t>cargo 6</w:t>
      </w:r>
      <w:r>
        <w:t>;</w:t>
      </w:r>
    </w:p>
    <w:p>
      <w:pPr>
        <w:pStyle w:val="ListBullet"/>
      </w:pPr>
      <w:r>
        <w:t xml:space="preserve">el Fondo de Reserva: </w:t>
      </w:r>
      <w:r>
        <w:t>cargo 15</w:t>
      </w:r>
      <w:r>
        <w:t xml:space="preserve">; la asignación de diputados y senadores: </w:t>
      </w:r>
      <w:r>
        <w:t>cargo 6</w:t>
      </w:r>
      <w:r>
        <w:t>;</w:t>
      </w:r>
    </w:p>
    <w:p>
      <w:pPr>
        <w:pStyle w:val="ListBullet"/>
      </w:pPr>
      <w:r>
        <w:t xml:space="preserve">la ocupación y la suspensión de visitas: </w:t>
      </w:r>
      <w:r>
        <w:t>cargo 27</w:t>
      </w:r>
      <w:r>
        <w:t>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La Constitución se puede auditar como un contrato: 169 preguntas, una por artículo, con la norma, el hecho y la fuente.</w:t>
      </w:r>
    </w:p>
    <w:p>
      <w:pPr>
        <w:pStyle w:val="ListBullet"/>
      </w:pPr>
      <w:r>
        <w:t>Se cumplen 93 artículos y no se cumplen 69; en 23 de esos 69 ya hay una declaración formal externa.</w:t>
      </w:r>
    </w:p>
    <w:p>
      <w:pPr>
        <w:pStyle w:val="ListBullet"/>
      </w:pPr>
      <w:r>
        <w:t>El incumplimiento recae dos veces más en lo que la Constitución promete al ciudadano (62,1 %) que en lo que organiza al poder (27,2 %); y el freno actúa más de cinco veces más cuando el poder se controla a sí mismo (26,32 %) que cuando protege al ciudadano (4,65 %).</w:t>
      </w:r>
    </w:p>
    <w:p>
      <w:pPr>
        <w:pStyle w:val="ListBullet"/>
      </w:pPr>
      <w:r>
        <w:t>El método de Núremberg: juzgar al poder con sus propios documentos. «Debemos probar hechos increíbles con pruebas creíbles».</w:t>
      </w:r>
    </w:p>
    <w:p>
      <w:pPr>
        <w:pStyle w:val="ListBullet"/>
      </w:pPr>
      <w:r>
        <w:t>La corrupción de la forma: conservar el nombre y perder la sustancia. «El tirano se distingue del rey por los hechos, no por el nombre». Y el propio sistema mide así: por los resultados.</w:t>
      </w:r>
    </w:p>
    <w:p>
      <w:pPr>
        <w:pStyle w:val="ListBullet"/>
      </w:pPr>
      <w:r>
        <w:t>El cobro está blindado y el deber, aplazado: lo uno se ejecuta sin juez; lo otro necesita antes una ley.</w:t>
      </w:r>
    </w:p>
    <w:p>
      <w:pPr>
        <w:pStyle w:val="ListBullet"/>
      </w:pPr>
      <w:r>
        <w:t>Algunos diseños legales enfrentan a la gente sin mala fe de nadie: obligan a decidir antes de saber.</w:t>
      </w:r>
    </w:p>
    <w:p>
      <w:pPr>
        <w:pStyle w:val="ListBullet"/>
      </w:pPr>
      <w:r>
        <w:rPr>
          <w:b/>
        </w:rPr>
        <w:t>Lo que aquí se expone que hay que podar (lectura del autor):</w:t>
      </w:r>
      <w:r>
        <w:t xml:space="preserve"> dar por cumplido lo que solo está escrito: la forma que conserva el nombre y pierde la sustancia en los artículos que no se cumplen, y el cobro que se ejecuta mientras el deber se aplaza.</w:t>
      </w:r>
    </w:p>
    <w:p>
      <w:pPr>
        <w:pStyle w:val="ListBullet"/>
      </w:pPr>
      <w:r>
        <w:rPr>
          <w:b/>
        </w:rPr>
        <w:t>Lo siguiente:</w:t>
      </w:r>
      <w:r>
        <w:t xml:space="preserve"> lo que llega a la vida diaria: el dinero, lo que se lleva cada año de lo que cuesta el trabajo, la vivienda, los hijos y la confianza; la otra mitad de la vara, los frutos (</w:t>
      </w:r>
      <w:r>
        <w:t>capítulo 8</w:t>
      </w:r>
      <w:r>
        <w:t>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el texto de cada cita en su fuente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el texto de cada cita en su fuente · 7 La auditoría: la Constitución frente a los hechos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 La auditoría: la Constitución frente a los hechos · Las conclusiones, con el texto de cada cita en su fuente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