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3 Lo que todas las tradiciones guardaron: el Arca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22 · Citas leídas en su fuente: 175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El Arca es la ley de Dios tal como la guardaron todas las tradiciones, sea cual sea el nombre que cada pueblo dé a Dios.</w:t>
      </w:r>
    </w:p>
    <w:p>
      <w:pPr>
        <w:pStyle w:val="ListBullet"/>
      </w:pPr>
      <w:r>
        <w:t>Nueve principios se repiten en pueblos sin contacto documentado entre sí: el gobernante existe para el pueblo; impuestos moderados; no quitar al pueblo su tiempo; pesas y medidas justas; devolver lo confiado; no a la usura; cada uno responde de lo suyo; el castigo no es un negocio; y más leyes, más pobreza.</w:t>
      </w:r>
    </w:p>
    <w:p>
      <w:pPr>
        <w:pStyle w:val="ListBullet"/>
      </w:pPr>
      <w:r>
        <w:t>Cada principio tiene también su pata coja, el texto que dice lo contrario. Casi siempre lo escribió quien mandaba, o se escribió para él.</w:t>
      </w:r>
    </w:p>
    <w:p>
      <w:pPr>
        <w:pStyle w:val="ListBullet"/>
      </w:pPr>
      <w:r>
        <w:t>Si es tan antigua, ¿por qué casi nadie la conoce? Porque no se escribió, porque se escribió en latín o porque quedó fuera de las listas.</w:t>
      </w:r>
    </w:p>
    <w:p>
      <w:pPr>
        <w:pStyle w:val="ListBullet"/>
      </w:pPr>
      <w:r>
        <w:t>Todos los principios tienen un mismo hilo: hemos venido a servir. El que manda sirve, quien sirve no pierde, y lo que no sirve se separa.</w:t>
      </w:r>
    </w:p>
    <w:p>
      <w:pPr>
        <w:pStyle w:val="ListBullet"/>
      </w:pPr>
      <w:r>
        <w:t>Doce tradiciones cuentan que se recibió una ley, una enseñanza o una sabiduría para vivir; nueve, que se perdió o que muchos se apartan de ella; y diez, que hay un camino de vuelta.</w:t>
      </w:r>
    </w:p>
    <w:p>
      <w:pPr>
        <w:pStyle w:val="Heading2"/>
      </w:pPr>
      <w:r>
        <w:t>3.1 La convergencia y la pata coja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pueblos sin contacto documentado coinciden en guardar, y además pasa la vara, es ley de Dios. Lo que solo se repite puede ser costumbre torcida.</w:t>
      </w:r>
    </w:p>
    <w:p>
      <w:r>
        <w:rPr>
          <w:b/>
        </w:rPr>
        <w:t>Conclusión, lo que arrojan los datos:</w:t>
      </w:r>
      <w:r>
        <w:t xml:space="preserve"> lo que fue legal durante siglos no era justo, y lo confesó el mismo poder que lo había hecho legal, al derogarlo. Lo legal, por sí solo, no prueba que algo sea justo (</w:t>
      </w:r>
      <w:r>
        <w:t>1.6</w:t>
      </w:r>
      <w:r>
        <w:t>).</w:t>
      </w:r>
    </w:p>
    <w:p>
      <w:pPr>
        <w:pStyle w:val="Heading2"/>
      </w:pPr>
      <w:r>
        <w:t>3.2 El Arca: la ley de Dios, principio por principio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nueve principios se repiten en pueblos sin contacto documentado entre sí, cada uno con tres o más patas, y cada uno con su pata coja.</w:t>
      </w:r>
    </w:p>
    <w:p>
      <w:pPr>
        <w:pStyle w:val="Heading3"/>
      </w:pPr>
      <w:r>
        <w:t>P1. El gobernante existe para el pueblo</w:t>
      </w:r>
    </w:p>
    <w:p>
      <w:pPr>
        <w:pStyle w:val="Heading3"/>
      </w:pPr>
      <w:r>
        <w:t>P2. Impuestos moderados</w:t>
      </w:r>
    </w:p>
    <w:p>
      <w:pPr>
        <w:pStyle w:val="Heading3"/>
      </w:pPr>
      <w:r>
        <w:t>P3. No quitar al pueblo su tiempo</w:t>
      </w:r>
    </w:p>
    <w:p>
      <w:pPr>
        <w:pStyle w:val="Heading3"/>
      </w:pPr>
      <w:r>
        <w:t>P4. Pesas y medidas justas</w:t>
      </w:r>
    </w:p>
    <w:p>
      <w:pPr>
        <w:pStyle w:val="Heading3"/>
      </w:pPr>
      <w:r>
        <w:t>P5. Devolver lo confiado</w:t>
      </w:r>
    </w:p>
    <w:p>
      <w:pPr>
        <w:pStyle w:val="Heading3"/>
      </w:pPr>
      <w:r>
        <w:t>P6. Contra la usura; perdonar las deudas</w:t>
      </w:r>
    </w:p>
    <w:p>
      <w:pPr>
        <w:pStyle w:val="Heading3"/>
      </w:pPr>
      <w:r>
        <w:t>P7. Cada uno responde de lo suyo; examinar antes de castigar</w:t>
      </w:r>
    </w:p>
    <w:p>
      <w:pPr>
        <w:pStyle w:val="Heading3"/>
      </w:pPr>
      <w:r>
        <w:t>P8. El castigo no es un negocio; contra el soborno</w:t>
      </w:r>
    </w:p>
    <w:p>
      <w:pPr>
        <w:pStyle w:val="Heading3"/>
      </w:pPr>
      <w:r>
        <w:t>P9. Más leyes, más pobreza</w:t>
      </w:r>
    </w:p>
    <w:p>
      <w:r>
        <w:rPr>
          <w:b/>
        </w:rPr>
        <w:t>Conclusión, lo que arrojan los datos:</w:t>
      </w:r>
      <w:r>
        <w:t xml:space="preserve"> los nueve principios aparecen en civilizaciones de todos los continentes (China, la India, Israel, el islam, Persia, Mesopotamia, Egipto, Grecia y Roma, África, América y Oceanía), cada uno con tres o más patas independientes. Y cada uno tiene su pata coja, dicha. Con la vara de la convergencia (</w:t>
      </w:r>
      <w:r>
        <w:t>3.1</w:t>
      </w:r>
      <w:r>
        <w:t>), la mesa se sostiene.</w:t>
      </w:r>
    </w:p>
    <w:p>
      <w:pPr>
        <w:pStyle w:val="Heading2"/>
      </w:pPr>
      <w:r>
        <w:t>3.3 La usura, la línea roja más antigua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cobrar por el solo paso del tiempo lo condenaron Israel, Grecia y el islam, y la India lo limitó; y perdonar las deudas es la ley más antigua que se conserva escrita.</w:t>
      </w:r>
    </w:p>
    <w:p>
      <w:r>
        <w:rPr>
          <w:b/>
        </w:rPr>
        <w:t>Conclusión, lo que arrojan los datos:</w:t>
      </w:r>
      <w:r>
        <w:t xml:space="preserve"> el perdón de las deudas y la condena de la usura aparecen en Mesopotamia, Israel, Grecia, el islam y la India, y las recogen también Etiopía, Nicea y España, que parten de la Biblia; y la propia ley española todavía anula el préstamo usurario. La pata coja también está: la usura permitida con el extranjero y el interés limitado, no prohibido.</w:t>
      </w:r>
    </w:p>
    <w:p>
      <w:pPr>
        <w:pStyle w:val="Heading2"/>
      </w:pPr>
      <w:r>
        <w:t>3.4 Quién escribe la pata coja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un texto contradice el Arca, casi siempre lo escribió quien mandaba o su ministro, o se escribió para él.</w:t>
      </w:r>
    </w:p>
    <w:p>
      <w:r>
        <w:rPr>
          <w:b/>
        </w:rPr>
        <w:t>Conclusión, lo que arrojan los datos:</w:t>
      </w:r>
      <w:r>
        <w:t xml:space="preserve"> de los 13 textos de la pata coja examinados, 11 los escribió quien mandaba o su ministro, se escribieron para el que mandaba, o eximían o beneficiaban a quien los transmitía o aplicaba. Las dos excepciones no tenían poder. Es el mismo resultado que el del </w:t>
      </w:r>
      <w:r>
        <w:t>capítulo 1</w:t>
      </w:r>
      <w:r>
        <w:t>: 7 de 8.</w:t>
      </w:r>
    </w:p>
    <w:p>
      <w:pPr>
        <w:pStyle w:val="Heading2"/>
      </w:pPr>
      <w:r>
        <w:t>3.5 Por qué casi nadie la conoce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ley más antigua casi nadie la conoce porque no se escribió, porque se escribió en latín o porque quedó fuera de las listas.</w:t>
      </w:r>
    </w:p>
    <w:p>
      <w:r>
        <w:rPr>
          <w:b/>
        </w:rPr>
        <w:t>Conclusión, lo que arrojan los datos</w:t>
      </w:r>
      <w:r>
        <w:t xml:space="preserve"> (por sus frutos: análisis, no juicio): puestos en orden, los hechos marcan un sendero. Hacia el año 200, Tertuliano defendía el libro de Enoc. Hacia el 220, Julio Africano, que trabajaba para el emperador, leyó a los ángeles del Génesis como hombres. En el 380, la fe de la Iglesia pasó a ser la que mandaba el Imperio. En el 419, el Concilio de Cartago fijó la lista sin Enoc, y san Agustín rechazó su relato de los ángeles. Una lista de libros admitidos y rechazados atribuida a los papas, el Decreto Gelasiano, puso entre los apócrifos «el libro de las hijas de Adán, la Leptogénesis»</w:t>
      </w:r>
      <w:r>
        <w:t xml:space="preserve"> (Decreto Gelasiano, en la traducción inglesa de la edición de von Dobschütz, 1912)</w:t>
      </w:r>
      <w:r>
        <w:br/>
      </w:r>
      <w:r>
        <w:rPr>
          <w:b/>
        </w:rPr>
        <w:t>leída en su fuente · Decreto Gelasiano, en la traducción inglesa de la edición de von Dobschütz, 1912</w:t>
      </w:r>
      <w:r>
        <w:br/>
      </w:r>
      <w:r>
        <w:rPr>
          <w:b/>
        </w:rPr>
        <w:t>Archivo leído:</w:t>
      </w:r>
      <w:r>
        <w:t xml:space="preserve"> gel_en.html (ant\canon\gel_en.html) · contraste del archivo de pasajes: ✔</w:t>
      </w:r>
      <w:r>
        <w:br/>
      </w:r>
      <w:r>
        <w:rPr>
          <w:b/>
        </w:rPr>
        <w:t>Lugar:</w:t>
      </w:r>
      <w:r>
        <w:t xml:space="preserve"> Decreto Gelasiano, en la traducción inglesa de la edición de von Dobschütz, 1912</w:t>
      </w:r>
      <w:r>
        <w:br/>
      </w:r>
      <w:r>
        <w:rPr>
          <w:b/>
        </w:rPr>
        <w:t>Tal como está en la fuente:</w:t>
      </w:r>
      <w:r>
        <w:t xml:space="preserve"> the book of the daughters of Adam Leptogeneseos apocryphus</w:t>
      </w:r>
      <w:r>
        <w:t>; el editor de Jubileos, R. H. Charles, ve en ese libro el de los Jubileos, o una obra corta basada en él, y da la fecha de la lista por dudosa</w:t>
      </w:r>
      <w:r>
        <w:t xml:space="preserve"> (R. H. Charles, The Book of Jubilees or the Little Genesis (El libro de los Jubileos o el Pequeño Génesis), 1902, introducción)</w:t>
      </w:r>
      <w:r>
        <w:t>. En Occidente, a medida que la Iglesia se unía al poder imperial, esos libros pasaron de leerse a reinterpretarse, después a quedar fuera de la lista y por último a contarse entre los apócrifos. Mientras, la Iglesia etíope los conservó. Es la dirección que marcan los hechos, no un juicio sobre la intención de nadie. Y tiene su pata coja: el canon común conserva el aviso de los ángeles caídos (Judas 6 y 2 Pedro 2:4) y los textos que más deslegitiman a los reyes (1 Sam 8), y el primer descarte de Enoc no lo hizo ningún emperador, sino las Escrituras judías, como recoge Tertuliano.</w:t>
      </w:r>
    </w:p>
    <w:p>
      <w:pPr>
        <w:pStyle w:val="Heading2"/>
      </w:pPr>
      <w:r>
        <w:t>3.6 El hilo del Arca: servir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nueve principios del Arca dicen lo mismo de nueve maneras: hemos venido a servir. El que manda sirve, quien sirve no pierde, y lo que no sirve se separa.</w:t>
      </w:r>
    </w:p>
    <w:p>
      <w:r>
        <w:rPr>
          <w:b/>
        </w:rPr>
        <w:t>Conclusión, lo que arrojan los datos:</w:t>
      </w:r>
      <w:r>
        <w:t xml:space="preserve"> Israel y el cristianismo, China, la India (la Gita y el budismo) y el islam coinciden: el ser humano está para servir y guardar, el que manda sirve y quien sirve no pierde. Entre Israel, China y la India no hay contacto documentado. Y lo que el Arca prohíbe es siempre lo contrario: servirse del otro.</w:t>
      </w:r>
    </w:p>
    <w:p>
      <w:pPr>
        <w:pStyle w:val="Heading2"/>
      </w:pPr>
      <w:r>
        <w:t>3.7 Arqueología en busca de las reglas del juego de la vida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doce tradiciones cuentan que se recibió una ley, una enseñanza o una sabiduría para vivir; nueve, que se perdió o que muchos se apartan de ella; y diez, que hay un camino de vuelta, que es volver a lo recibido.</w:t>
      </w:r>
    </w:p>
    <w:p>
      <w:r>
        <w:rPr>
          <w:b/>
        </w:rPr>
        <w:t>Conclusión, lo que arrojan los datos:</w:t>
      </w:r>
    </w:p>
    <w:p>
      <w:r>
        <w:rPr>
          <w:b/>
        </w:rPr>
        <w:t>Conclusión, lo que arrojan los datos: el aviso y quién juzga.</w:t>
      </w:r>
      <w:r>
        <w:t xml:space="preserve"> Con dos preguntas más, si hay aviso antes de la consecuencia y quién la ejecuta, se leyeron 71 textos de once tradiciones; la cuenta, tradición por tradición, está en F.9.</w:t>
      </w:r>
    </w:p>
    <w:p>
      <w:r>
        <w:rPr>
          <w:b/>
        </w:rPr>
        <w:t>Conclusión, lo que arrojan los datos: el séptimo sello, tal como lo dice el texto.</w:t>
      </w:r>
      <w:r>
        <w:t xml:space="preserve"> El último libro de la Biblia, el Apocalipsis (la palabra se explica en </w:t>
      </w:r>
      <w:r>
        <w:t>0.2</w:t>
      </w:r>
      <w:r>
        <w:t>), cuenta un libro «escrito de dentro y de fuera, sellado con siete sellos»</w:t>
      </w:r>
      <w:r>
        <w:t xml:space="preserve"> (Ap 5:1)</w:t>
      </w:r>
      <w:r>
        <w:br/>
      </w:r>
      <w:r>
        <w:rPr>
          <w:b/>
        </w:rPr>
        <w:t>leída en su fuente · Ap 5:1</w:t>
      </w:r>
      <w:r>
        <w:br/>
      </w:r>
      <w:r>
        <w:rPr>
          <w:b/>
        </w:rPr>
        <w:t>Archivo leído:</w:t>
      </w:r>
      <w:r>
        <w:t xml:space="preserve"> spaRV1909_vpl.txt (biblia_rv1909\spaRV1909_vpl.txt) · contraste del archivo de pasajes: ✔</w:t>
      </w:r>
      <w:r>
        <w:br/>
      </w:r>
      <w:r>
        <w:rPr>
          <w:b/>
        </w:rPr>
        <w:t>Lugar:</w:t>
      </w:r>
      <w:r>
        <w:t xml:space="preserve"> Ap 5:1 (RV1909)</w:t>
      </w:r>
      <w:r>
        <w:br/>
      </w:r>
      <w:r>
        <w:rPr>
          <w:b/>
        </w:rPr>
        <w:t>Tal como está en la fuente:</w:t>
      </w:r>
      <w:r>
        <w:t xml:space="preserve"> Y VI en la mano derecha del que estaba sentado sobre el trono un libro escrito de dentro y de fuera, sellado con siete sellos.</w:t>
      </w:r>
      <w:r>
        <w:t>. Leído en la Reina-Valera Antigua y en el griego, dice esto; los pasajes, en F.9.</w:t>
      </w:r>
    </w:p>
    <w:p>
      <w:r>
        <w:rPr>
          <w:b/>
        </w:rPr>
        <w:t>Conclusión, lo que arrojan los datos: todo se ve y, en la mayoría, queda escrito.</w:t>
      </w:r>
      <w:r>
        <w:t xml:space="preserve"> Con otra pregunta, si todo se ve y si todo queda escrito, se leyeron trece tradiciones: las doce de arriba y el norte. Los pasajes, en F.9.</w:t>
      </w:r>
    </w:p>
    <w:p>
      <w:r>
        <w:rPr>
          <w:b/>
        </w:rPr>
        <w:t>Conclusión, lo que arrojan los datos: el ungido, tal como lo dice el texto.</w:t>
      </w:r>
      <w:r>
        <w:t xml:space="preserve"> La palabra «Cristo» sí está en los textos, y dice esto; los pasajes, en F.9.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La convergencia no es unanimidad.</w:t>
      </w:r>
      <w:r>
        <w:t xml:space="preserve"> Cada principio tiene su pata coja, a veces dentro de la misma tradición (la usura con el extranjero en Dt 23:20; la obediencia al mal gobernante en algunos hadices). Se dicen todas.</w:t>
      </w:r>
    </w:p>
    <w:p>
      <w:pPr>
        <w:pStyle w:val="ListBullet"/>
      </w:pPr>
      <w:r>
        <w:rPr>
          <w:b/>
        </w:rPr>
        <w:t>Las fuentes no son todas «puras».</w:t>
      </w:r>
      <w:r>
        <w:t xml:space="preserve"> Muchas de las de África, América y Oceanía las escribieron autores formados en el cristianismo u observadores europeos, y Garcilaso idealiza a los incas. Valen como constancia de lo que esas tradiciones contaban de sí mismas. </w:t>
      </w:r>
    </w:p>
    <w:p>
      <w:pPr>
        <w:pStyle w:val="ListBullet"/>
      </w:pPr>
      <w:r>
        <w:rPr>
          <w:b/>
        </w:rPr>
        <w:t>No todas las patas cuentan como independientes, y algunas fechas se discuten.</w:t>
      </w:r>
      <w:r>
        <w:t xml:space="preserve"> Un texto que repite a otro, que es de la misma obra o que se parece a un código vecino se dice, pero no cuenta aparte: Etiopía, Nicea y España parten de la Biblia en la usura (</w:t>
      </w:r>
      <w:r>
        <w:t>3.3</w:t>
      </w:r>
      <w:r>
        <w:t xml:space="preserve">); 1 Samuel y 1 Reyes son una sola narración (P2); el Código de la Alianza trata el mismo caso que Hammurabi (P5). Y varias fechas no están cerradas: las Analectas 20.1 están en un libro que una tesis tradicional tiene por tardío (P4), y no se puede probar que ningún texto chino sobre pesas y medidas sea más antiguo que él, porque el Canon de Shun y el Yueling tampoco tienen fecha cerrada; las máximas de Ptahhotep pudieron componerse en el Reino Medio (P3); y la fecha de la Gran Ley de la Paz se discute, desde 1142 hasta las últimas décadas del siglo XVI, y su texto escrito es reciente: la versión que se cita es de 1916 (P1). Sirven para el siglo y la región, no para un año exacto. </w:t>
      </w:r>
    </w:p>
    <w:p>
      <w:pPr>
        <w:pStyle w:val="ListBullet"/>
      </w:pPr>
      <w:r>
        <w:rPr>
          <w:b/>
        </w:rPr>
        <w:t>Los hadices</w:t>
      </w:r>
      <w:r>
        <w:t xml:space="preserve"> se leyeron en una copia de datos de la colección, no en su edición impresa: van como fuente secundaria hasta cotejarlos.</w:t>
      </w:r>
    </w:p>
    <w:p>
      <w:pPr>
        <w:pStyle w:val="ListBullet"/>
      </w:pPr>
      <w:r>
        <w:rPr>
          <w:b/>
        </w:rPr>
        <w:t>Las sociedades grandes necesitan ley escrita,</w:t>
      </w:r>
      <w:r>
        <w:t xml:space="preserve"> y la obra no propone abolirla: pide respetar el orden de las fuentes (</w:t>
      </w:r>
      <w:r>
        <w:t>1.7</w:t>
      </w:r>
      <w:r>
        <w:t xml:space="preserve">). Y no todos los órdenes de costumbre eran igualitarios: el derecho </w:t>
      </w:r>
      <w:r>
        <w:rPr>
          <w:i/>
        </w:rPr>
        <w:t>brehon</w:t>
      </w:r>
      <w:r>
        <w:t xml:space="preserve"> graduaba la compensación según el rango de la víctima. </w:t>
      </w:r>
    </w:p>
    <w:p>
      <w:pPr>
        <w:pStyle w:val="ListBullet"/>
      </w:pPr>
      <w:r>
        <w:rPr>
          <w:b/>
        </w:rPr>
        <w:t>La Ley de la usura de 1908 es para los préstamos,</w:t>
      </w:r>
      <w:r>
        <w:t xml:space="preserve"> no para los impuestos: el impuesto no es un préstamo, y presentarla ante la Agencia Tributaria sería un error. Su valor es de coherencia. </w:t>
      </w:r>
    </w:p>
    <w:p>
      <w:pPr>
        <w:pStyle w:val="ListBullet"/>
      </w:pPr>
      <w:r>
        <w:rPr>
          <w:b/>
        </w:rPr>
        <w:t>Hoy las leyes se publican gratis en el BOE, en español.</w:t>
      </w:r>
      <w:r>
        <w:t xml:space="preserve"> El latín ya no es la barrera; si lo es el volumen, se examina en el </w:t>
      </w:r>
      <w:r>
        <w:t>cargo 8</w:t>
      </w:r>
      <w:r>
        <w:t xml:space="preserve">. </w:t>
      </w:r>
    </w:p>
    <w:p>
      <w:pPr>
        <w:pStyle w:val="ListBullet"/>
      </w:pPr>
      <w:r>
        <w:rPr>
          <w:b/>
        </w:rPr>
        <w:t>Fuentes secundarias, marcadas en el texto:</w:t>
      </w:r>
      <w:r>
        <w:t xml:space="preserve"> la treintena de cancelaciones de deudas, las tablillas de cuentas, las fechas de Qin y los avisos de fecha y de dependencia entre textos de </w:t>
      </w:r>
      <w:r>
        <w:t>3.2</w:t>
      </w:r>
      <w:r>
        <w:t xml:space="preserve"> y </w:t>
      </w:r>
      <w:r>
        <w:t>3.3</w:t>
      </w:r>
      <w:r>
        <w:t>. Los que llevan la nota «referencia hallada en Wikipedia, sin leer en su fuente» no están leídos en su fuente: Wikipedia no vale como fuente, solo ayudó a encontrar la referencia.</w:t>
      </w:r>
    </w:p>
    <w:p>
      <w:pPr>
        <w:pStyle w:val="ListBullet"/>
      </w:pPr>
      <w:r>
        <w:rPr>
          <w:b/>
        </w:rPr>
        <w:t xml:space="preserve">La arqueología de </w:t>
      </w:r>
      <w:r>
        <w:rPr>
          <w:b/>
        </w:rPr>
        <w:t>3.7</w:t>
      </w:r>
      <w:r>
        <w:rPr>
          <w:b/>
        </w:rPr>
        <w:t xml:space="preserve"> se sostiene en tres patas independientes, no en doce.</w:t>
      </w:r>
      <w:r>
        <w:t xml:space="preserve"> La Biblia hebrea, el Nuevo Testamento, la tradición rabínica y el islam son de un mismo tronco; Persia, Mesopotamia, Egipto y Grecia tuvieron contacto con Israel; y el Popol Vuh se escribió hacia 1554-1558, después de la llegada de los españoles (fecha de nivel C, </w:t>
      </w:r>
      <w:r>
        <w:t>2.3</w:t>
      </w:r>
      <w:r>
        <w:t xml:space="preserve">). De la Enseñanza para Merikare solo se leyó el resumen de Budge; Génesis Rabbah 21 va en una versión inglesa sin traductor nombrado (fuente secundaria); Platón se leyó en la traducción de Jowett, que no trae la numeración de Stephanus (el Protágoras, también en el griego de Burnet, que sí la trae); y los versos de la Bhagavad Gita se numeran por el sánscrito, porque la traducción de Arnold no los numera. La cuenta del aviso y de quién ejecuta va sobre la etiqueta que se puso a cada texto al leerlo: es la lectura de quien lo leyó, y cualquiera puede repetirla con los pasajes de F.9. </w:t>
      </w:r>
    </w:p>
    <w:p>
      <w:pPr>
        <w:pStyle w:val="Heading2"/>
      </w:pPr>
      <w:r>
        <w:t>Dónde se oye la defensa del Estado</w:t>
      </w:r>
    </w:p>
    <w:p>
      <w:r>
        <w:t>La defensa del Estado frente a este capítulo, y lo que la obra le responde, se oyen en el juicio:</w:t>
      </w:r>
    </w:p>
    <w:p>
      <w:pPr>
        <w:pStyle w:val="ListBullet"/>
      </w:pPr>
      <w:r>
        <w:rPr>
          <w:b/>
        </w:rPr>
        <w:t xml:space="preserve">en el </w:t>
      </w:r>
      <w:r>
        <w:rPr>
          <w:b/>
        </w:rPr>
        <w:t>cargo 1</w:t>
      </w:r>
      <w:r>
        <w:rPr>
          <w:b/>
        </w:rPr>
        <w:t xml:space="preserve"> («La ley humana, primera fuente»):</w:t>
      </w:r>
      <w:r>
        <w:t xml:space="preserve"> «las sociedades complejas necesitan ley escrita»;</w:t>
      </w:r>
    </w:p>
    <w:p>
      <w:pPr>
        <w:pStyle w:val="ListBullet"/>
      </w:pPr>
      <w:r>
        <w:rPr>
          <w:b/>
        </w:rPr>
        <w:t xml:space="preserve">en el </w:t>
      </w:r>
      <w:r>
        <w:rPr>
          <w:b/>
        </w:rPr>
        <w:t>cargo 7</w:t>
      </w:r>
      <w:r>
        <w:rPr>
          <w:b/>
        </w:rPr>
        <w:t xml:space="preserve"> («Lo legal es lo justo»):</w:t>
      </w:r>
      <w:r>
        <w:t xml:space="preserve"> «el Estado de derecho fue quien abolió la esclavitud»;</w:t>
      </w:r>
    </w:p>
    <w:p>
      <w:pPr>
        <w:pStyle w:val="ListBullet"/>
      </w:pPr>
      <w:r>
        <w:rPr>
          <w:b/>
        </w:rPr>
        <w:t xml:space="preserve">en el </w:t>
      </w:r>
      <w:r>
        <w:rPr>
          <w:b/>
        </w:rPr>
        <w:t>cargo 8</w:t>
      </w:r>
      <w:r>
        <w:rPr>
          <w:b/>
        </w:rPr>
        <w:t xml:space="preserve"> («Todos conocen todas las leyes»):</w:t>
      </w:r>
      <w:r>
        <w:t xml:space="preserve"> «hoy las leyes se publican para todos»;</w:t>
      </w:r>
    </w:p>
    <w:p>
      <w:pPr>
        <w:pStyle w:val="ListBullet"/>
      </w:pPr>
      <w:r>
        <w:rPr>
          <w:b/>
        </w:rPr>
        <w:t xml:space="preserve">y en el </w:t>
      </w:r>
      <w:r>
        <w:rPr>
          <w:b/>
        </w:rPr>
        <w:t>cargo 13</w:t>
      </w:r>
      <w:r>
        <w:rPr>
          <w:b/>
        </w:rPr>
        <w:t xml:space="preserve"> («El cobro sin juez»):</w:t>
      </w:r>
      <w:r>
        <w:t xml:space="preserve"> «la usura no se aplica a los impuestos».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Arca es la ley de Dios tal como la guardaron todos los pueblos: lo que converge y además pasa la vara.</w:t>
      </w:r>
    </w:p>
    <w:p>
      <w:pPr>
        <w:pStyle w:val="ListBullet"/>
      </w:pPr>
      <w:r>
        <w:t>Nueve principios se repiten en pueblos sin contacto documentado entre sí: el gobernante sirve al pueblo, impuestos moderados, el tiempo del pueblo es suyo, medidas justas, devolver lo confiado, no a la usura, cada uno responde de lo suyo, el castigo no es un negocio, y más leyes, más pobreza.</w:t>
      </w:r>
    </w:p>
    <w:p>
      <w:pPr>
        <w:pStyle w:val="ListBullet"/>
      </w:pPr>
      <w:r>
        <w:t>Cada principio tiene su pata coja, y casi siempre la escribió quien mandaba.</w:t>
      </w:r>
    </w:p>
    <w:p>
      <w:pPr>
        <w:pStyle w:val="ListBullet"/>
      </w:pPr>
      <w:r>
        <w:t>Perdonar las deudas es la ley escrita más antigua que se conserva, y la ley española todavía anula el préstamo usurario.</w:t>
      </w:r>
    </w:p>
    <w:p>
      <w:pPr>
        <w:pStyle w:val="ListBullet"/>
      </w:pPr>
      <w:r>
        <w:t>Casi nadie conoce esta ley porque no se escribió, porque se escribió en latín o porque quedó fuera de las listas.</w:t>
      </w:r>
    </w:p>
    <w:p>
      <w:pPr>
        <w:pStyle w:val="ListBullet"/>
      </w:pPr>
      <w:r>
        <w:t>El hilo del Arca es servir. Ante cada ley, cada institución y cada acto, la pregunta es una sola: ¿sirve, o se sirve?</w:t>
      </w:r>
    </w:p>
    <w:p>
      <w:pPr>
        <w:pStyle w:val="ListBullet"/>
      </w:pPr>
      <w:r>
        <w:t>Las reglas del juego de la vida: doce tradiciones cuentan que se recibieron; nueve, que se perdieron o que muchos se apartan de ellas; y diez, que hay un camino de vuelta (</w:t>
      </w:r>
      <w:r>
        <w:t>3.7</w:t>
      </w:r>
      <w:r>
        <w:t>).</w:t>
      </w:r>
    </w:p>
    <w:p>
      <w:pPr>
        <w:pStyle w:val="ListBullet"/>
      </w:pPr>
      <w:r>
        <w:rPr>
          <w:b/>
        </w:rPr>
        <w:t>Lo siguiente:</w:t>
      </w:r>
      <w:r>
        <w:t xml:space="preserve"> el otro lado: lo que las tradiciones dicen del mal sin cuerpo, y cómo distinguirlo (</w:t>
      </w:r>
      <w:r>
        <w:t>capítulo 4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3 Lo que todas las tradiciones guardaron: el Arca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Lo que todas las tradiciones guardaron: el Arca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