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gradecimientos del autor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5 de octubre de 2026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gradecimientos del autor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adecimientos del autor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