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drawing>
          <wp:inline xmlns:a="http://schemas.openxmlformats.org/drawingml/2006/main" xmlns:pic="http://schemas.openxmlformats.org/drawingml/2006/picture">
            <wp:extent cx="1620000" cy="1620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20000" cy="1620000"/>
                    </a:xfrm>
                    <a:prstGeom prst="rect"/>
                  </pic:spPr>
                </pic:pic>
              </a:graphicData>
            </a:graphic>
          </wp:inline>
        </w:drawing>
      </w:r>
    </w:p>
    <w:p>
      <w:pPr>
        <w:jc w:val="center"/>
      </w:pPr>
      <w:r>
        <w:rPr>
          <w:rFonts w:ascii="Georgia" w:hAnsi="Georgia" w:eastAsia="Georgia" w:cs="Georgia"/>
          <w:b/>
          <w:color w:val="1F1D1A"/>
          <w:sz w:val="60"/>
        </w:rPr>
        <w:t>Apocalipsis del Sistema</w:t>
      </w:r>
    </w:p>
    <w:p>
      <w:pPr>
        <w:spacing w:after="80"/>
        <w:jc w:val="center"/>
      </w:pPr>
      <w:r>
        <w:rPr>
          <w:rFonts w:ascii="Segoe UI" w:hAnsi="Segoe UI" w:eastAsia="Segoe UI" w:cs="Segoe UI"/>
          <w:b w:val="0"/>
          <w:color w:val="1F1D1A"/>
          <w:sz w:val="28"/>
        </w:rPr>
        <w:t>Edición de lectura</w:t>
      </w:r>
    </w:p>
    <w:p>
      <w:pPr>
        <w:spacing w:after="80"/>
        <w:jc w:val="center"/>
      </w:pPr>
      <w:r>
        <w:rPr>
          <w:rFonts w:ascii="Segoe UI" w:hAnsi="Segoe UI" w:eastAsia="Segoe UI" w:cs="Segoe UI"/>
          <w:b w:val="0"/>
          <w:color w:val="6B665E"/>
          <w:sz w:val="24"/>
        </w:rPr>
        <w:t>Kiko Orozco Rocamora</w:t>
      </w:r>
    </w:p>
    <w:p>
      <w:pPr>
        <w:spacing w:after="80"/>
        <w:jc w:val="center"/>
      </w:pPr>
      <w:r>
        <w:rPr>
          <w:rFonts w:ascii="Segoe UI" w:hAnsi="Segoe UI" w:eastAsia="Segoe UI" w:cs="Segoe UI"/>
          <w:b/>
          <w:color w:val="6B665E"/>
          <w:sz w:val="24"/>
        </w:rPr>
        <w:t>Las conclusiones, con el texto de cada cita en su fuente</w:t>
      </w:r>
    </w:p>
    <w:p>
      <w:pPr>
        <w:spacing w:after="80"/>
        <w:jc w:val="center"/>
      </w:pPr>
      <w:r>
        <w:rPr>
          <w:rFonts w:ascii="Segoe UI" w:hAnsi="Segoe UI" w:eastAsia="Segoe UI" w:cs="Segoe UI"/>
          <w:b w:val="0"/>
          <w:color w:val="6B665E"/>
          <w:sz w:val="18"/>
        </w:rPr>
        <w:t>Versión del 13 de octubre de 2026 · huella SHA-256 de los textos 2a4fcfc34e05630b…</w:t>
      </w:r>
    </w:p>
    <w:p>
      <w:pPr>
        <w:spacing w:before="360"/>
        <w:jc w:val="center"/>
      </w:pPr>
      <w:r>
        <w:rPr>
          <w:rFonts w:ascii="Georgia" w:hAnsi="Georgia" w:eastAsia="Georgia" w:cs="Georgia"/>
          <w:b w:val="0"/>
          <w:i/>
          <w:color w:val="6B665E"/>
          <w:sz w:val="22"/>
        </w:rPr>
        <w:t>«Esta obra no pide fe, la somete a examen».</w:t>
      </w:r>
    </w:p>
    <w:p>
      <w:r>
        <w:br w:type="page"/>
      </w:r>
    </w:p>
    <w:p>
      <w:pPr>
        <w:pStyle w:val="Heading1"/>
      </w:pPr>
      <w:r>
        <w:t>Contenido</w:t>
      </w:r>
    </w:p>
    <w:p>
      <w:pPr>
        <w:spacing w:after="40"/>
      </w:pPr>
      <w:r>
        <w:t>Agradecimientos del autor</w:t>
      </w:r>
    </w:p>
    <w:p>
      <w:pPr>
        <w:spacing w:after="40"/>
      </w:pPr>
      <w:r>
        <w:t>0 Propósito, y cómo se lee esta obra</w:t>
      </w:r>
    </w:p>
    <w:p>
      <w:pPr>
        <w:spacing w:after="40"/>
      </w:pPr>
      <w:r>
        <w:t>1 El orden de las leyes</w:t>
      </w:r>
    </w:p>
    <w:p>
      <w:pPr>
        <w:spacing w:after="40"/>
      </w:pPr>
      <w:r>
        <w:t>2 La persona y los derechos que preceden al Estado</w:t>
      </w:r>
    </w:p>
    <w:p>
      <w:pPr>
        <w:spacing w:after="40"/>
      </w:pPr>
      <w:r>
        <w:t>3 Lo que todas las tradiciones guardaron: el Arca</w:t>
      </w:r>
    </w:p>
    <w:p>
      <w:pPr>
        <w:spacing w:after="40"/>
      </w:pPr>
      <w:r>
        <w:t>4 Discernir: el mal sin cuerpo</w:t>
      </w:r>
    </w:p>
    <w:p>
      <w:pPr>
        <w:spacing w:after="40"/>
      </w:pPr>
      <w:r>
        <w:t>5 Lo que se da por supuesto</w:t>
      </w:r>
    </w:p>
    <w:p>
      <w:pPr>
        <w:spacing w:after="40"/>
      </w:pPr>
      <w:r>
        <w:t>6 Cómo se construyó el Estado</w:t>
      </w:r>
    </w:p>
    <w:p>
      <w:pPr>
        <w:spacing w:after="40"/>
      </w:pPr>
      <w:r>
        <w:t>7 La auditoría: la Constitución frente a los hechos</w:t>
      </w:r>
    </w:p>
    <w:p>
      <w:pPr>
        <w:spacing w:after="40"/>
      </w:pPr>
      <w:r>
        <w:t>8 Los frutos</w:t>
      </w:r>
    </w:p>
    <w:p>
      <w:pPr>
        <w:spacing w:after="40"/>
      </w:pPr>
      <w:r>
        <w:t>9 El dictamen</w:t>
      </w:r>
    </w:p>
    <w:p>
      <w:pPr>
        <w:spacing w:after="40"/>
      </w:pPr>
      <w:r>
        <w:t>10 Las puertas</w:t>
      </w:r>
    </w:p>
    <w:p>
      <w:pPr>
        <w:spacing w:after="40"/>
      </w:pPr>
      <w:r>
        <w:t>11 El juicio popular de la verdad</w:t>
      </w:r>
    </w:p>
    <w:p>
      <w:pPr>
        <w:spacing w:after="40"/>
      </w:pPr>
      <w:r>
        <w:t>Anexo A. La auditoría completa de la Constitución: los 169 artículos</w:t>
      </w:r>
    </w:p>
    <w:p>
      <w:pPr>
        <w:spacing w:after="40"/>
      </w:pPr>
      <w:r>
        <w:t>Anexo B. La carga fiscal en detalle</w:t>
      </w:r>
    </w:p>
    <w:p>
      <w:pPr>
        <w:spacing w:after="40"/>
      </w:pPr>
      <w:r>
        <w:t>Anexo C. Lo que cuesta el Estado: el anexo de datos</w:t>
      </w:r>
    </w:p>
    <w:p>
      <w:pPr>
        <w:spacing w:after="40"/>
      </w:pPr>
      <w:r>
        <w:t>Anexo D. El botiquín: los doce modelos de escrito</w:t>
      </w:r>
    </w:p>
    <w:p>
      <w:pPr>
        <w:spacing w:after="40"/>
      </w:pPr>
      <w:r>
        <w:t>Anexo E. Lo que se afirma sin documento</w:t>
      </w:r>
    </w:p>
    <w:p>
      <w:pPr>
        <w:spacing w:after="40"/>
      </w:pPr>
      <w:r>
        <w:t>Anexo F. El Arca: los textos de cada tradición, con su fuente</w:t>
      </w:r>
    </w:p>
    <w:p>
      <w:pPr>
        <w:spacing w:after="40"/>
      </w:pPr>
      <w:r>
        <w:t>Anexo G. Cómo se hizo esta obra, para repetirla en otro país</w:t>
      </w:r>
    </w:p>
    <w:p>
      <w:pPr>
        <w:spacing w:after="40"/>
      </w:pPr>
      <w:r>
        <w:t>Anexo H. El glosario</w:t>
      </w:r>
    </w:p>
    <w:p>
      <w:pPr>
        <w:spacing w:after="40"/>
      </w:pPr>
      <w:r>
        <w:t>Anexo I. Las fuentes</w:t>
      </w:r>
    </w:p>
    <w:p>
      <w:pPr>
        <w:spacing w:after="40"/>
      </w:pPr>
      <w:r>
        <w:t>Anexo J. La balanza equilibrada: lo que habría sido de ajustarse a lo recibido</w:t>
      </w:r>
    </w:p>
    <w:p>
      <w:r>
        <w:br w:type="page"/>
      </w:r>
    </w:p>
    <w:p>
      <w:pPr>
        <w:pStyle w:val="Heading1"/>
      </w:pPr>
      <w:r>
        <w:t>Agradecimientos del autor</w:t>
      </w:r>
    </w:p>
    <w:p>
      <w:pPr>
        <w:spacing w:after="200"/>
      </w:pPr>
      <w:r>
        <w:rPr>
          <w:rFonts w:ascii="Segoe UI" w:hAnsi="Segoe UI" w:eastAsia="Segoe UI" w:cs="Segoe UI"/>
          <w:color w:val="6B665E"/>
          <w:sz w:val="17"/>
        </w:rPr>
        <w:t>Primera versión: 5 de octubre de 2026 · Última revisión: 5 de octubre de 2026</w:t>
      </w:r>
    </w:p>
    <w:p>
      <w:r>
        <w:br w:type="page"/>
      </w:r>
    </w:p>
    <w:p>
      <w:pPr>
        <w:pStyle w:val="Heading1"/>
      </w:pPr>
      <w:r>
        <w:t>0 Propósito, y cómo se lee esta obra</w:t>
      </w:r>
    </w:p>
    <w:p>
      <w:pPr>
        <w:spacing w:after="200"/>
      </w:pPr>
      <w:r>
        <w:rPr>
          <w:rFonts w:ascii="Segoe UI" w:hAnsi="Segoe UI" w:eastAsia="Segoe UI" w:cs="Segoe UI"/>
          <w:color w:val="6B665E"/>
          <w:sz w:val="17"/>
        </w:rPr>
        <w:t>Primera versión: 5 de octubre de 2026 · Última revisión: 12 de octubre de 2026 · Cambios anotados en el capítulo: 14 · Citas leídas en su fuente: 27</w:t>
      </w:r>
    </w:p>
    <w:p>
      <w:pPr>
        <w:pBdr>
          <w:left w:val="single" w:sz="24" w:space="6" w:color="E2DED6"/>
        </w:pBdr>
        <w:shd w:val="clear" w:color="auto" w:fill="F1EEE8"/>
        <w:spacing w:before="80" w:after="160"/>
        <w:ind w:left="142" w:right="142"/>
      </w:pPr>
      <w:r>
        <w:rPr>
          <w:b/>
        </w:rPr>
        <w:t>En pocas palabras:</w:t>
      </w:r>
    </w:p>
    <w:p>
      <w:pPr>
        <w:pStyle w:val="ListBullet"/>
      </w:pPr>
      <w:r>
        <w:t>Esta obra revela cómo funciona el sistema, que está a la vista de todos, pero escondido en su complejidad, y lo mide con la ley que todos los pueblos guardaron por encima de toda ley.</w:t>
      </w:r>
    </w:p>
    <w:p>
      <w:pPr>
        <w:pStyle w:val="ListBullet"/>
      </w:pPr>
      <w:r>
        <w:t>Cada afirmación lleva su fuente. El lector elige cuánto quiere ver de ella.</w:t>
      </w:r>
    </w:p>
    <w:p>
      <w:pPr>
        <w:pStyle w:val="ListBullet"/>
      </w:pPr>
      <w:r>
        <w:t>Separa siempre el dato de la interpretación, y da al Estado su mejor defensa, en el juicio.</w:t>
      </w:r>
    </w:p>
    <w:p>
      <w:pPr>
        <w:pStyle w:val="ListBullet"/>
      </w:pPr>
      <w:r>
        <w:t>Mide en dos pasos, la verdad de los hechos y sus frutos, y solo tiene por sólido lo que coincide en tradiciones independientes.</w:t>
      </w:r>
    </w:p>
    <w:p>
      <w:pPr>
        <w:pStyle w:val="ListBullet"/>
      </w:pPr>
      <w:r>
        <w:t>Lleva a cuatro puertas, todas dentro de la ley: la constancia escrita, el Registro de los frutos, el juicio popular de la verdad y la metamorfosis del Estado.</w:t>
      </w:r>
    </w:p>
    <w:p>
      <w:pPr>
        <w:pStyle w:val="Heading2"/>
      </w:pPr>
      <w:r>
        <w:t>0.1 Lo que la humanidad ha guardado con más celo</w:t>
      </w:r>
    </w:p>
    <w:p>
      <w:pPr>
        <w:pBdr>
          <w:left w:val="single" w:sz="24" w:space="6" w:color="E2DED6"/>
        </w:pBdr>
        <w:shd w:val="clear" w:color="auto" w:fill="F1EEE8"/>
        <w:spacing w:before="80" w:after="160"/>
        <w:ind w:left="142" w:right="142"/>
      </w:pPr>
      <w:r>
        <w:rPr>
          <w:b/>
        </w:rPr>
        <w:t>La idea: lo que los pueblos guardaron con más celo muestra lo que tenían por ley por encima de toda ley, y en lo esencial coincide.</w:t>
      </w:r>
    </w:p>
    <w:p>
      <w:pPr>
        <w:pStyle w:val="Heading2"/>
      </w:pPr>
      <w:r>
        <w:t>0.2 Adónde lleva esta obra</w:t>
      </w:r>
    </w:p>
    <w:p>
      <w:pPr>
        <w:pBdr>
          <w:left w:val="single" w:sz="24" w:space="6" w:color="E2DED6"/>
        </w:pBdr>
        <w:shd w:val="clear" w:color="auto" w:fill="F1EEE8"/>
        <w:spacing w:before="80" w:after="160"/>
        <w:ind w:left="142" w:right="142"/>
      </w:pPr>
      <w:r>
        <w:rPr>
          <w:b/>
        </w:rPr>
        <w:t>La idea: esta obra revela cómo funciona el sistema, lo mide con la ley que todos los pueblos guardaron y lleva a cuatro puertas, todas dentro de la ley.</w:t>
      </w:r>
    </w:p>
    <w:p>
      <w:r>
        <w:rPr>
          <w:b/>
        </w:rPr>
        <w:t>Conclusión, lo que arrojan los datos:</w:t>
      </w:r>
    </w:p>
    <w:p>
      <w:pPr>
        <w:pStyle w:val="Heading2"/>
      </w:pPr>
      <w:r>
        <w:t>0.3 Cómo se lee cada capítulo</w:t>
      </w:r>
    </w:p>
    <w:p>
      <w:pPr>
        <w:pBdr>
          <w:left w:val="single" w:sz="24" w:space="6" w:color="E2DED6"/>
        </w:pBdr>
        <w:shd w:val="clear" w:color="auto" w:fill="F1EEE8"/>
        <w:spacing w:before="80" w:after="160"/>
        <w:ind w:left="142" w:right="142"/>
      </w:pPr>
      <w:r>
        <w:rPr>
          <w:b/>
        </w:rPr>
        <w:t>La idea: cada capítulo separa siempre el dato de la interpretación, y el lector elige a qué nivel lee.</w:t>
      </w:r>
    </w:p>
    <w:p>
      <w:pPr>
        <w:pStyle w:val="Heading2"/>
      </w:pPr>
      <w:r>
        <w:t>0.4 Verdad, presunción, falso y mentira</w:t>
      </w:r>
    </w:p>
    <w:p>
      <w:pPr>
        <w:pBdr>
          <w:left w:val="single" w:sz="24" w:space="6" w:color="E2DED6"/>
        </w:pBdr>
        <w:shd w:val="clear" w:color="auto" w:fill="F1EEE8"/>
        <w:spacing w:before="80" w:after="160"/>
        <w:ind w:left="142" w:right="142"/>
      </w:pPr>
      <w:r>
        <w:rPr>
          <w:b/>
        </w:rPr>
        <w:t>La idea: verdad, presunción, falso y mentira son cuatro cosas distintas, y esta obra no las mezcla.</w:t>
      </w:r>
    </w:p>
    <w:p>
      <w:pPr>
        <w:pStyle w:val="Heading2"/>
      </w:pPr>
      <w:r>
        <w:t>0.5 La vara: la verdad de los hechos y sus frutos</w:t>
      </w:r>
    </w:p>
    <w:p>
      <w:pPr>
        <w:pBdr>
          <w:left w:val="single" w:sz="24" w:space="6" w:color="E2DED6"/>
        </w:pBdr>
        <w:shd w:val="clear" w:color="auto" w:fill="F1EEE8"/>
        <w:spacing w:before="80" w:after="160"/>
        <w:ind w:left="142" w:right="142"/>
      </w:pPr>
      <w:r>
        <w:rPr>
          <w:b/>
        </w:rPr>
        <w:t>La idea: esta obra mide en dos pasos, la verdad de los hechos y sus frutos, y solo tiene por sólido lo que coincide en tradiciones independientes. La pesa: ¿roca o arena? Y, por sus frutos, ¿sirve más allá de sí, se sirve, o no cuida ni cumple? Vale para quien pesa (lectura del autor).</w:t>
      </w:r>
    </w:p>
    <w:p>
      <w:pPr>
        <w:pStyle w:val="Heading2"/>
      </w:pPr>
      <w:r>
        <w:t>0.6 El mapa del libro</w:t>
      </w:r>
    </w:p>
    <w:p>
      <w:pPr>
        <w:pBdr>
          <w:left w:val="single" w:sz="24" w:space="6" w:color="E2DED6"/>
        </w:pBdr>
        <w:shd w:val="clear" w:color="auto" w:fill="F1EEE8"/>
        <w:spacing w:before="80" w:after="160"/>
        <w:ind w:left="142" w:right="142"/>
      </w:pPr>
      <w:r>
        <w:rPr>
          <w:b/>
        </w:rPr>
        <w:t>La idea: el libro va de lo que está por encima de toda ley a lo que cada persona puede hacer, y termina en el juicio.</w:t>
      </w:r>
    </w:p>
    <w:p>
      <w:pPr>
        <w:pStyle w:val="Heading2"/>
      </w:pPr>
      <w:r>
        <w:t>Dónde se oye la defensa del Estado</w:t>
      </w:r>
    </w:p>
    <w:p>
      <w:r>
        <w:t xml:space="preserve">La defensa del Estado frente a este capítulo («la obra no es neutral: la vara la pone el autor»), y lo que la obra le responde, se oyen en el juicio: </w:t>
      </w:r>
      <w:r>
        <w:t>11.2</w:t>
      </w:r>
      <w:r>
        <w:t>, las cuestiones previas.</w:t>
      </w:r>
    </w:p>
    <w:p>
      <w:pPr>
        <w:pStyle w:val="Heading2"/>
      </w:pPr>
      <w:r>
        <w:t>Para recordar</w:t>
      </w:r>
    </w:p>
    <w:p>
      <w:pPr>
        <w:pStyle w:val="ListBullet"/>
      </w:pPr>
      <w:r>
        <w:t>Esta obra no pide fe: cada afirmación lleva su fuente, y el lector elige cuánto quiere ver de ella.</w:t>
      </w:r>
    </w:p>
    <w:p>
      <w:pPr>
        <w:pStyle w:val="ListBullet"/>
      </w:pPr>
      <w:r>
        <w:t>El dato y la interpretación van siempre separados, y la intención de nadie se afirma como hecho.</w:t>
      </w:r>
    </w:p>
    <w:p>
      <w:pPr>
        <w:pStyle w:val="ListBullet"/>
      </w:pPr>
      <w:r>
        <w:t>Verdad, presunción, falso y mentira no son lo mismo.</w:t>
      </w:r>
    </w:p>
    <w:p>
      <w:pPr>
        <w:pStyle w:val="ListBullet"/>
      </w:pPr>
      <w:r>
        <w:t>Por sus frutos se reconoce; no se condena a nadie por lo que es ni por lo que cree.</w:t>
      </w:r>
    </w:p>
    <w:p>
      <w:pPr>
        <w:pStyle w:val="ListBullet"/>
      </w:pPr>
      <w:r>
        <w:t>La obra no exime de ninguna obligación vigente ni invita a desobedecer: su camino es la constancia escrita, el Registro de los frutos, el juicio popular de la verdad y la metamorfosis del Estado.</w:t>
      </w:r>
    </w:p>
    <w:p>
      <w:r>
        <w:br w:type="page"/>
      </w:r>
    </w:p>
    <w:p>
      <w:pPr>
        <w:pStyle w:val="Heading1"/>
      </w:pPr>
      <w:r>
        <w:t>1 El orden de las leyes</w:t>
      </w:r>
    </w:p>
    <w:p>
      <w:pPr>
        <w:spacing w:after="200"/>
      </w:pPr>
      <w:r>
        <w:rPr>
          <w:rFonts w:ascii="Segoe UI" w:hAnsi="Segoe UI" w:eastAsia="Segoe UI" w:cs="Segoe UI"/>
          <w:color w:val="6B665E"/>
          <w:sz w:val="17"/>
        </w:rPr>
        <w:t>Primera versión: 5 de octubre de 2026 · Última revisión: 12 de octubre de 2026 · Cambios anotados en el capítulo: 13 · Citas leídas en su fuente: 105</w:t>
      </w:r>
    </w:p>
    <w:p>
      <w:pPr>
        <w:pBdr>
          <w:left w:val="single" w:sz="24" w:space="6" w:color="E2DED6"/>
        </w:pBdr>
        <w:shd w:val="clear" w:color="auto" w:fill="F1EEE8"/>
        <w:spacing w:before="80" w:after="160"/>
        <w:ind w:left="142" w:right="142"/>
      </w:pPr>
      <w:r>
        <w:rPr>
          <w:b/>
        </w:rPr>
        <w:t>En pocas palabras:</w:t>
      </w:r>
    </w:p>
    <w:p>
      <w:pPr>
        <w:pStyle w:val="ListBullet"/>
      </w:pPr>
      <w:r>
        <w:t>Las leyes tienen un orden: por encima de todo, la ley de Dios; después, la ley natural; después, la costumbre; y al final, la ley que escriben los hombres.</w:t>
      </w:r>
    </w:p>
    <w:p>
      <w:pPr>
        <w:pStyle w:val="ListBullet"/>
      </w:pPr>
      <w:r>
        <w:t>La ley natural, saber distinguir el bien del mal con la razón, la tiene cualquier persona: lo confirman tradiciones sin contacto documentado entre sí.</w:t>
      </w:r>
    </w:p>
    <w:p>
      <w:pPr>
        <w:pStyle w:val="ListBullet"/>
      </w:pPr>
      <w:r>
        <w:t>La ley humana que contradice a las de arriba deja de ser ley: es «corrupción de la ley».</w:t>
      </w:r>
    </w:p>
    <w:p>
      <w:pPr>
        <w:pStyle w:val="ListBullet"/>
      </w:pPr>
      <w:r>
        <w:t>El orden oficial del Estado es el inverso, y lo invirtió casi siempre quien tenía el poder de legislar.</w:t>
      </w:r>
    </w:p>
    <w:p>
      <w:pPr>
        <w:pStyle w:val="ListBullet"/>
      </w:pPr>
      <w:r>
        <w:t>Esta obra trabaja en la jurisdicción de la verdad, y no exime de ninguna obligación del Estado.</w:t>
      </w:r>
    </w:p>
    <w:p>
      <w:pPr>
        <w:pStyle w:val="ListBullet"/>
      </w:pPr>
      <w:r>
        <w:t>Solo la ley de Dios y la ley natural tienen autoridad original; la costumbre y la ley escrita la tienen derivada, y la pierden cuando quien manda se sirve a sí mismo.</w:t>
      </w:r>
    </w:p>
    <w:p>
      <w:pPr>
        <w:pStyle w:val="Heading2"/>
      </w:pPr>
      <w:r>
        <w:t>1.1 Las cuatro leyes y su orden</w:t>
      </w:r>
    </w:p>
    <w:p>
      <w:pPr>
        <w:pBdr>
          <w:left w:val="single" w:sz="24" w:space="6" w:color="E2DED6"/>
        </w:pBdr>
        <w:shd w:val="clear" w:color="auto" w:fill="F1EEE8"/>
        <w:spacing w:before="80" w:after="160"/>
        <w:ind w:left="142" w:right="142"/>
      </w:pPr>
      <w:r>
        <w:rPr>
          <w:b/>
        </w:rPr>
        <w:t>La idea: por encima de todo, la ley de Dios; después, la ley natural; después, la costumbre; y al final, la ley que escriben los hombres. El orden oficial es el inverso.</w:t>
      </w:r>
    </w:p>
    <w:p>
      <w:pPr>
        <w:pStyle w:val="Heading2"/>
      </w:pPr>
      <w:r>
        <w:t>1.2 La ley de Dios</w:t>
      </w:r>
    </w:p>
    <w:p>
      <w:pPr>
        <w:pBdr>
          <w:left w:val="single" w:sz="24" w:space="6" w:color="E2DED6"/>
        </w:pBdr>
        <w:shd w:val="clear" w:color="auto" w:fill="F1EEE8"/>
        <w:spacing w:before="80" w:after="160"/>
        <w:ind w:left="142" w:right="142"/>
      </w:pPr>
      <w:r>
        <w:rPr>
          <w:b/>
        </w:rPr>
        <w:t>La idea: la ley de Dios es la que gobierna lo creado, y por eso va la primera.</w:t>
      </w:r>
    </w:p>
    <w:p>
      <w:pPr>
        <w:pStyle w:val="Heading2"/>
      </w:pPr>
      <w:r>
        <w:t>1.3 Discernir: no todo lo que se ha llamado «dios» es el Creador</w:t>
      </w:r>
    </w:p>
    <w:p>
      <w:pPr>
        <w:pBdr>
          <w:left w:val="single" w:sz="24" w:space="6" w:color="E2DED6"/>
        </w:pBdr>
        <w:shd w:val="clear" w:color="auto" w:fill="F1EEE8"/>
        <w:spacing w:before="80" w:after="160"/>
        <w:ind w:left="142" w:right="142"/>
      </w:pPr>
      <w:r>
        <w:rPr>
          <w:b/>
        </w:rPr>
        <w:t>La idea: no todo lo que se ha llamado «dios» es el Creador. El verdadero sirve y rechaza la adoración; el que suplanta la reclama.</w:t>
      </w:r>
    </w:p>
    <w:p>
      <w:r>
        <w:rPr>
          <w:b/>
        </w:rPr>
        <w:t>Conclusión, lo que arrojan los datos:</w:t>
      </w:r>
      <w:r>
        <w:t xml:space="preserve"> en Israel, el cristianismo, el islam, la India y el budismo, los textos avisan de que no todo lo que se llama «dios» es el Creador, y dan la señal para distinguirlo: el verdadero sirve y rechaza la adoración; el que suplanta la reclama.</w:t>
      </w:r>
    </w:p>
    <w:p>
      <w:pPr>
        <w:pStyle w:val="Heading2"/>
      </w:pPr>
      <w:r>
        <w:t>1.4 La ley natural: quince tradiciones y un veredicto</w:t>
      </w:r>
    </w:p>
    <w:p>
      <w:pPr>
        <w:pBdr>
          <w:left w:val="single" w:sz="24" w:space="6" w:color="E2DED6"/>
        </w:pBdr>
        <w:shd w:val="clear" w:color="auto" w:fill="F1EEE8"/>
        <w:spacing w:before="80" w:after="160"/>
        <w:ind w:left="142" w:right="142"/>
      </w:pPr>
      <w:r>
        <w:rPr>
          <w:b/>
        </w:rPr>
        <w:t>La idea: la ley natural, saber distinguir el bien del mal con la razón, la tiene cualquier persona. Lo confirman tradiciones sin contacto documentado entre sí, y también se dice quién sostuvo lo contrario.</w:t>
      </w:r>
    </w:p>
    <w:p>
      <w:pPr>
        <w:pStyle w:val="Heading2"/>
      </w:pPr>
      <w:r>
        <w:t>1.5 La costumbre, ley no escrita</w:t>
      </w:r>
    </w:p>
    <w:p>
      <w:pPr>
        <w:pBdr>
          <w:left w:val="single" w:sz="24" w:space="6" w:color="E2DED6"/>
        </w:pBdr>
        <w:shd w:val="clear" w:color="auto" w:fill="F1EEE8"/>
        <w:spacing w:before="80" w:after="160"/>
        <w:ind w:left="142" w:right="142"/>
      </w:pPr>
      <w:r>
        <w:rPr>
          <w:b/>
        </w:rPr>
        <w:t>La idea: la costumbre es ley no escrita, nacida del uso de una comunidad, y el propio Estado ha tenido que reconocerla.</w:t>
      </w:r>
    </w:p>
    <w:p>
      <w:pPr>
        <w:pStyle w:val="Heading2"/>
      </w:pPr>
      <w:r>
        <w:t>1.6 La ley escrita, y cuándo una ley deja de serlo</w:t>
      </w:r>
    </w:p>
    <w:p>
      <w:pPr>
        <w:pBdr>
          <w:left w:val="single" w:sz="24" w:space="6" w:color="E2DED6"/>
        </w:pBdr>
        <w:shd w:val="clear" w:color="auto" w:fill="F1EEE8"/>
        <w:spacing w:before="80" w:after="160"/>
        <w:ind w:left="142" w:right="142"/>
      </w:pPr>
      <w:r>
        <w:rPr>
          <w:b/>
        </w:rPr>
        <w:t>La idea: una ley es ley si nace de la razón, busca el bien común, la dicta quien tiene autoridad y se da a conocer. La ley injusta no es ley.</w:t>
      </w:r>
    </w:p>
    <w:p>
      <w:pPr>
        <w:pStyle w:val="Heading2"/>
      </w:pPr>
      <w:r>
        <w:t>1.7 Quién invirtió el orden</w:t>
      </w:r>
    </w:p>
    <w:p>
      <w:pPr>
        <w:pBdr>
          <w:left w:val="single" w:sz="24" w:space="6" w:color="E2DED6"/>
        </w:pBdr>
        <w:shd w:val="clear" w:color="auto" w:fill="F1EEE8"/>
        <w:spacing w:before="80" w:after="160"/>
        <w:ind w:left="142" w:right="142"/>
      </w:pPr>
      <w:r>
        <w:rPr>
          <w:b/>
        </w:rPr>
        <w:t>La idea: el orden lo invirtió, en 7 de 8 casos, quien tenía el poder de legislar: la parte que ganaba con el cambio.</w:t>
      </w:r>
    </w:p>
    <w:p>
      <w:r>
        <w:rPr>
          <w:b/>
        </w:rPr>
        <w:t>Conclusión, lo que arrojan los datos:</w:t>
      </w:r>
      <w:r>
        <w:t xml:space="preserve"> las tradiciones guardaron el orden ley de Dios, ley natural, costumbre y, al final, ley humana. El orden oficial es el inverso. Y quien lo invirtió fue, en 7 de 8 casos, el que tenía el poder de legislar: la parte que gana con el cambio.</w:t>
      </w:r>
    </w:p>
    <w:p>
      <w:pPr>
        <w:pStyle w:val="Heading2"/>
      </w:pPr>
      <w:r>
        <w:t>1.8 Las dos jurisdicciones, y nombrar las cosas por su nombre</w:t>
      </w:r>
    </w:p>
    <w:p>
      <w:pPr>
        <w:pBdr>
          <w:left w:val="single" w:sz="24" w:space="6" w:color="E2DED6"/>
        </w:pBdr>
        <w:shd w:val="clear" w:color="auto" w:fill="F1EEE8"/>
        <w:spacing w:before="80" w:after="160"/>
        <w:ind w:left="142" w:right="142"/>
      </w:pPr>
      <w:r>
        <w:rPr>
          <w:b/>
        </w:rPr>
        <w:t>La idea: hay dos jurisdicciones, la de la verdad y la del Estado. Desde aquí, cada cosa se llama por su lugar en el orden real.</w:t>
      </w:r>
    </w:p>
    <w:p>
      <w:pPr>
        <w:pStyle w:val="Heading2"/>
      </w:pPr>
      <w:r>
        <w:t>1.9 La legitimidad de la autoridad: original y derivada</w:t>
      </w:r>
    </w:p>
    <w:p>
      <w:pPr>
        <w:pBdr>
          <w:left w:val="single" w:sz="24" w:space="6" w:color="E2DED6"/>
        </w:pBdr>
        <w:shd w:val="clear" w:color="auto" w:fill="F1EEE8"/>
        <w:spacing w:before="80" w:after="160"/>
        <w:ind w:left="142" w:right="142"/>
      </w:pPr>
      <w:r>
        <w:rPr>
          <w:b/>
        </w:rPr>
        <w:t>La idea: la autoridad es el poder de mandar con título. Solo la ley de Dios y la ley natural tienen autoridad original, porque nadie las dictó para su provecho; la costumbre y la ley escrita tienen autoridad derivada, que vale mientras sirve a lo de arriba y se pierde cuando quien manda se sirve a sí mismo.</w:t>
      </w:r>
    </w:p>
    <w:p>
      <w:r>
        <w:rPr>
          <w:b/>
        </w:rPr>
        <w:t>Conclusión, lo que arrojan los datos:</w:t>
      </w:r>
      <w:r>
        <w:t xml:space="preserve"> en Israel, China y el islam, tradiciones sin contacto documentado entre sí, la autoridad de quien manda se recibe de más arriba y se pierde por juzgar con injusticia, por falta de virtud o por mandar lo malo. Es lo que el capítulo ya mostró de la ley (1.6: las injustas «son más violencias que leyes») y de quien la escribe (1.7: nadie es juez en su propia causa). Son tres maneras de perder el título: el conflicto de interés, salirse del bien común y apartarse de lo superior.</w:t>
      </w:r>
    </w:p>
    <w:p>
      <w:pPr>
        <w:pStyle w:val="Heading2"/>
      </w:pPr>
      <w:r>
        <w:t>Límite honesto de la prueba</w:t>
      </w:r>
    </w:p>
    <w:p>
      <w:pPr>
        <w:pStyle w:val="ListBullet"/>
      </w:pPr>
      <w:r>
        <w:rPr>
          <w:b/>
        </w:rPr>
        <w:t>La costumbre no derriba la ley vigente.</w:t>
      </w:r>
      <w:r>
        <w:t xml:space="preserve"> En el derecho civil común, la costumbre rige en defecto de ley, nunca contra ella, y quien la alega debe probarla. Solo en Navarra prevalece «aunque sea contra ley». </w:t>
      </w:r>
    </w:p>
    <w:p>
      <w:pPr>
        <w:pStyle w:val="ListBullet"/>
      </w:pPr>
      <w:r>
        <w:rPr>
          <w:b/>
        </w:rPr>
        <w:t>La ley natural no se litiga directamente.</w:t>
      </w:r>
      <w:r>
        <w:t xml:space="preserve"> Inspira el derecho y funda su crítica, pero no se alega sin más ante un juzgado. Un juez no puede dejar de aplicar una ley porque la crea injusta: frente a una ley solo puede plantear la cuestión de inconstitucionalidad</w:t>
      </w:r>
      <w:r>
        <w:t xml:space="preserve"> (Constitución, art. 163)</w:t>
      </w:r>
      <w:r>
        <w:t xml:space="preserve">. </w:t>
      </w:r>
    </w:p>
    <w:p>
      <w:pPr>
        <w:pStyle w:val="ListBullet"/>
      </w:pPr>
      <w:r>
        <w:rPr>
          <w:b/>
        </w:rPr>
        <w:t>Las máximas latinas no anulan leyes con solo citarlas.</w:t>
      </w:r>
      <w:r>
        <w:t xml:space="preserve"> Valen cuando el derecho vigente las ha recogido, o para mostrar que un principio no es un capricho reciente. </w:t>
      </w:r>
    </w:p>
    <w:p>
      <w:pPr>
        <w:pStyle w:val="ListBullet"/>
      </w:pPr>
      <w:r>
        <w:rPr>
          <w:b/>
        </w:rPr>
        <w:t>Nada de esto exime de las obligaciones vigentes</w:t>
      </w:r>
      <w:r>
        <w:t xml:space="preserve"> (Constitución, art. 9.1)</w:t>
      </w:r>
      <w:r>
        <w:t xml:space="preserve">. </w:t>
      </w:r>
    </w:p>
    <w:p>
      <w:pPr>
        <w:pStyle w:val="ListBullet"/>
      </w:pPr>
      <w:r>
        <w:rPr>
          <w:b/>
        </w:rPr>
        <w:t>La codificación fue un progreso.</w:t>
      </w:r>
      <w:r>
        <w:t xml:space="preserve"> Los códigos del siglo XIX trajeron la igualdad ante la ley y acabaron con muchos privilegios. Lo que la obra afirma como hecho es el patrón (7 de 8); la intención va solo como lectura, porque un patrón no prueba una intención. </w:t>
      </w:r>
    </w:p>
    <w:p>
      <w:pPr>
        <w:pStyle w:val="ListBullet"/>
      </w:pPr>
      <w:r>
        <w:rPr>
          <w:b/>
        </w:rPr>
        <w:t>Las fuentes que no se han podido leer en el original</w:t>
      </w:r>
      <w:r>
        <w:t xml:space="preserve"> van marcadas como «fuente secundaria»: Egipto y Qumrán (de Qumrán se ha leído la doctrina de los dos espíritus, pero no la reserva de la doctrina), la copia de la sentencia de las Tres Vacas, el privilegio del Consolat de Mar (citado por dos historiadores) y la sentencia del Supremo de 1999.</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«la validez de la ley no depende de la moral», «imponer una ley natural es imponer una moral», «el Estado es aconfesional», «el derecho natural y las máximas latinas no son derecho aplicable» y «sin coacción, el derecho sería papel»;</w:t>
      </w:r>
    </w:p>
    <w:p>
      <w:pPr>
        <w:pStyle w:val="ListBullet"/>
      </w:pPr>
      <w:r>
        <w:rPr>
          <w:b/>
        </w:rPr>
        <w:t>y en los cargos 1 («La ley humana, primera fuente»), 2 («Nada por encima de la Constitución») y 7 («Lo legal es lo justo»)</w:t>
      </w:r>
      <w:r>
        <w:t xml:space="preserve"> (</w:t>
      </w:r>
      <w:r>
        <w:t>11.3</w:t>
      </w:r>
      <w:r>
        <w:t>).</w:t>
      </w:r>
    </w:p>
    <w:p>
      <w:pPr>
        <w:pStyle w:val="Heading2"/>
      </w:pPr>
      <w:r>
        <w:t>Para recordar</w:t>
      </w:r>
    </w:p>
    <w:p>
      <w:pPr>
        <w:pStyle w:val="ListBullet"/>
      </w:pPr>
      <w:r>
        <w:t>Por encima de todo, la ley de Dios; después, la ley natural; después, la costumbre; y al final, la ley que escriben los hombres.</w:t>
      </w:r>
    </w:p>
    <w:p>
      <w:pPr>
        <w:pStyle w:val="ListBullet"/>
      </w:pPr>
      <w:r>
        <w:t>La ley natural la tiene cualquier persona: lo dicen Grecia y China sin haberse leído, y también se dice quién sostuvo lo contrario.</w:t>
      </w:r>
    </w:p>
    <w:p>
      <w:pPr>
        <w:pStyle w:val="ListBullet"/>
      </w:pPr>
      <w:r>
        <w:t>Una ley es ley si nace de la razón, busca el bien común, la dicta quien tiene autoridad y se da a conocer; si contradice a las de arriba, es «corrupción de la ley».</w:t>
      </w:r>
    </w:p>
    <w:p>
      <w:pPr>
        <w:pStyle w:val="ListBullet"/>
      </w:pPr>
      <w:r>
        <w:t>El orden oficial es el inverso, y lo invirtió casi siempre quien tenía el poder de legislar: nadie debería ser juez en su propia causa.</w:t>
      </w:r>
    </w:p>
    <w:p>
      <w:pPr>
        <w:pStyle w:val="ListBullet"/>
      </w:pPr>
      <w:r>
        <w:t>La autoridad es poder de mandar con título: original, la de la ley de Dios y la natural; derivada, la de la costumbre y la ley escrita, que se pierde por el conflicto de interés, por salirse del bien común y por apartarse de lo superior.</w:t>
      </w:r>
    </w:p>
    <w:p>
      <w:pPr>
        <w:pStyle w:val="ListBullet"/>
      </w:pPr>
      <w:r>
        <w:t>La obra trabaja en la jurisdicción de la verdad y no exime de ninguna obligación del Estado.</w:t>
      </w:r>
    </w:p>
    <w:p>
      <w:pPr>
        <w:pStyle w:val="ListBullet"/>
      </w:pPr>
      <w:r>
        <w:rPr>
          <w:b/>
        </w:rPr>
        <w:t>Lo que aquí se expone que hay que podar (lectura del autor):</w:t>
      </w:r>
      <w:r>
        <w:t xml:space="preserve"> el orden invertido, que pone la ley que escriben los hombres en el primer lugar, el que corresponde a la ley de Dios; y la autoridad que se ejerce siendo juez en su propia causa.</w:t>
      </w:r>
    </w:p>
    <w:p>
      <w:pPr>
        <w:pStyle w:val="ListBullet"/>
      </w:pPr>
      <w:r>
        <w:rPr>
          <w:b/>
        </w:rPr>
        <w:t>Lo siguiente:</w:t>
      </w:r>
      <w:r>
        <w:t xml:space="preserve"> a quién sirven esas leyes: la persona, lo que trae al nacer y los derechos que tiene antes que ningún Estado (</w:t>
      </w:r>
      <w:r>
        <w:t>capítulo 2</w:t>
      </w:r>
      <w:r>
        <w:t>).</w:t>
      </w:r>
    </w:p>
    <w:p>
      <w:r>
        <w:br w:type="page"/>
      </w:r>
    </w:p>
    <w:p>
      <w:pPr>
        <w:pStyle w:val="Heading1"/>
      </w:pPr>
      <w:r>
        <w:t>2 La persona y los derechos que preceden al Estado</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187</w:t>
      </w:r>
    </w:p>
    <w:p>
      <w:pPr>
        <w:pBdr>
          <w:left w:val="single" w:sz="24" w:space="6" w:color="E2DED6"/>
        </w:pBdr>
        <w:shd w:val="clear" w:color="auto" w:fill="F1EEE8"/>
        <w:spacing w:before="80" w:after="160"/>
        <w:ind w:left="142" w:right="142"/>
      </w:pPr>
      <w:r>
        <w:rPr>
          <w:b/>
        </w:rPr>
        <w:t>En pocas palabras:</w:t>
      </w:r>
    </w:p>
    <w:p>
      <w:pPr>
        <w:pStyle w:val="ListBullet"/>
      </w:pPr>
      <w:r>
        <w:t>La persona es el ser humano, con una dignidad que nadie le da: la ley la encuentra al nacer. La persona jurídica, en cambio, la hace la ley.</w:t>
      </w:r>
    </w:p>
    <w:p>
      <w:pPr>
        <w:pStyle w:val="ListBullet"/>
      </w:pPr>
      <w:r>
        <w:t>Los derechos que preceden al Estado son inalienables: la ley los reconoce, no los crea. La propia Constitución los llama «inherentes».</w:t>
      </w:r>
    </w:p>
    <w:p>
      <w:pPr>
        <w:pStyle w:val="ListBullet"/>
      </w:pPr>
      <w:r>
        <w:t>«Soberanos somos todos»: cada persona es dueña de sí misma, y nadie lo es de otra. No exime de la ley.</w:t>
      </w:r>
    </w:p>
    <w:p>
      <w:pPr>
        <w:pStyle w:val="ListBullet"/>
      </w:pPr>
      <w:r>
        <w:t>Todos somos aprendices: nadie se declara maduro a sí mismo; la madurez se ve en los frutos.</w:t>
      </w:r>
    </w:p>
    <w:p>
      <w:pPr>
        <w:pStyle w:val="ListBullet"/>
      </w:pPr>
      <w:r>
        <w:t>Esta obra empezó con la documentación de personas que defienden su soberanía y siguió otro camino: lo que no tiene documento es una presunción, y no se admite.</w:t>
      </w:r>
    </w:p>
    <w:p>
      <w:pPr>
        <w:pStyle w:val="Heading2"/>
      </w:pPr>
      <w:r>
        <w:t>2.1 La persona y el ente sin cuerpo</w:t>
      </w:r>
    </w:p>
    <w:p>
      <w:pPr>
        <w:pBdr>
          <w:left w:val="single" w:sz="24" w:space="6" w:color="E2DED6"/>
        </w:pBdr>
        <w:shd w:val="clear" w:color="auto" w:fill="F1EEE8"/>
        <w:spacing w:before="80" w:after="160"/>
        <w:ind w:left="142" w:right="142"/>
      </w:pPr>
      <w:r>
        <w:rPr>
          <w:b/>
        </w:rPr>
        <w:t>La idea: la palabra «persona» tiene dos sentidos, el ser humano por su dignidad y la institución a la que la ley trata como persona. No son lo mismo.</w:t>
      </w:r>
    </w:p>
    <w:p>
      <w:r>
        <w:rPr>
          <w:b/>
        </w:rPr>
        <w:t>Conclusión, lo que arrojan los datos:</w:t>
      </w:r>
      <w:r>
        <w:t xml:space="preserve"> a la persona, la ley la encuentra: nace, y desde ese momento es persona. A la persona jurídica, la ley la hace: existe desde que se constituye conforme a derecho. Una tiene cuerpo, conciencia y muerte; la otra, no.</w:t>
      </w:r>
    </w:p>
    <w:p>
      <w:pPr>
        <w:pStyle w:val="Heading2"/>
      </w:pPr>
      <w:r>
        <w:t>2.2 El derecho de nacimiento y los derechos inalienables</w:t>
      </w:r>
    </w:p>
    <w:p>
      <w:pPr>
        <w:pBdr>
          <w:left w:val="single" w:sz="24" w:space="6" w:color="E2DED6"/>
        </w:pBdr>
        <w:shd w:val="clear" w:color="auto" w:fill="F1EEE8"/>
        <w:spacing w:before="80" w:after="160"/>
        <w:ind w:left="142" w:right="142"/>
      </w:pPr>
      <w:r>
        <w:rPr>
          <w:b/>
        </w:rPr>
        <w:t>La idea: cada persona trae al nacer derechos que ninguna ley le da ni le puede quitar. La ley los reconoce; no los crea.</w:t>
      </w:r>
    </w:p>
    <w:p>
      <w:r>
        <w:rPr>
          <w:b/>
        </w:rPr>
        <w:t>Conclusión, lo que arrojan los datos:</w:t>
      </w:r>
      <w:r>
        <w:t xml:space="preserve"> los propios textos del Estado llaman a estos derechos «inherentes» e «inalienables». No los da: los reconoce.</w:t>
      </w:r>
    </w:p>
    <w:p>
      <w:pPr>
        <w:pStyle w:val="Heading2"/>
      </w:pPr>
      <w:r>
        <w:t>2.3 «Soberanos somos todos»</w:t>
      </w:r>
    </w:p>
    <w:p>
      <w:pPr>
        <w:pBdr>
          <w:left w:val="single" w:sz="24" w:space="6" w:color="E2DED6"/>
        </w:pBdr>
        <w:shd w:val="clear" w:color="auto" w:fill="F1EEE8"/>
        <w:spacing w:before="80" w:after="160"/>
        <w:ind w:left="142" w:right="142"/>
      </w:pPr>
      <w:r>
        <w:rPr>
          <w:b/>
        </w:rPr>
        <w:t>La idea: cada persona es dueña de sí misma, porque lleva en sí la imagen de su Creador, y nadie lo es por naturaleza de otra. No exime de la ley ni da autoridad frente a nadie: cada uno responde de sus actos.</w:t>
      </w:r>
    </w:p>
    <w:p>
      <w:r>
        <w:rPr>
          <w:b/>
        </w:rPr>
        <w:t>Conclusión, lo que arrojan los datos:</w:t>
      </w:r>
      <w:r>
        <w:t xml:space="preserve"> Israel, el islam, la India, el budismo y China coinciden en una cosa. Cada persona lleva en sí algo que ningún poder humano le da ni le puede quitar: la imagen de Dios, su espíritu, una porción eterna, el señorío sobre sí misma, su voluntad o la nobleza del Cielo. Y la propia Constitución pone la soberanía en el pueblo, es decir, en todos. Con la vara de la convergencia (</w:t>
      </w:r>
      <w:r>
        <w:t>0.5</w:t>
      </w:r>
      <w:r>
        <w:t>), la mesa se sostiene.</w:t>
      </w:r>
    </w:p>
    <w:p>
      <w:r>
        <w:rPr>
          <w:b/>
        </w:rPr>
        <w:t>Conclusión, lo que arrojan los datos:</w:t>
      </w:r>
      <w:r>
        <w:t xml:space="preserve"> los textos leídos dicen las dos cosas. Varias tradiciones cuentan un origen común o un solo ser que se parte en dos: la Biblia, el judaísmo rabínico, la India, Grecia y el islam. Y esas mismas tradiciones contienen también textos que ponen a la mujer por debajo: unas veces en el mismo libro, junto al pasaje de la igualdad (Manu 1.32 y 5.148; el Corán 4:1 y 4:34; Pablo, en 1 Co 11:3 y 11:11), y otras en el propio relato del origen (Gn 2:22-23; Hesíodo). En Gn 3:16 el dominio del marido se presenta como consecuencia de la caída. Hay también tres casos en que la mujer va por delante del varón (la Hipóstasis de los arcontes, los iroqueses y, según Malo, el Kumulipo hawaiano), que no son igualdad ni subordinación. Los pasajes que no están arriba se ven en el nivel completo y en el más hondo.</w:t>
      </w:r>
    </w:p>
    <w:p>
      <w:pPr>
        <w:pStyle w:val="Heading2"/>
      </w:pPr>
      <w:r>
        <w:t>2.4 El cuerpo, la conciencia y el respeto</w:t>
      </w:r>
    </w:p>
    <w:p>
      <w:pPr>
        <w:pBdr>
          <w:left w:val="single" w:sz="24" w:space="6" w:color="E2DED6"/>
        </w:pBdr>
        <w:shd w:val="clear" w:color="auto" w:fill="F1EEE8"/>
        <w:spacing w:before="80" w:after="160"/>
        <w:ind w:left="142" w:right="142"/>
      </w:pPr>
      <w:r>
        <w:rPr>
          <w:b/>
        </w:rPr>
        <w:t>La idea: si el cuerpo es el territorio de cada persona y la conciencia su gobierno, la única base para convivir entre personas libres es el respeto.</w:t>
      </w:r>
    </w:p>
    <w:p>
      <w:pPr>
        <w:pStyle w:val="Heading2"/>
      </w:pPr>
      <w:r>
        <w:t>2.5 Todos somos aprendices: el gobierno de uno mismo</w:t>
      </w:r>
    </w:p>
    <w:p>
      <w:pPr>
        <w:pBdr>
          <w:left w:val="single" w:sz="24" w:space="6" w:color="E2DED6"/>
        </w:pBdr>
        <w:shd w:val="clear" w:color="auto" w:fill="F1EEE8"/>
        <w:spacing w:before="80" w:after="160"/>
        <w:ind w:left="142" w:right="142"/>
      </w:pPr>
      <w:r>
        <w:rPr>
          <w:b/>
        </w:rPr>
        <w:t>La idea: nadie es maduro por declararlo. Todos somos aprendices, y la madurez se reconoce en los frutos.</w:t>
      </w:r>
    </w:p>
    <w:p>
      <w:r>
        <w:rPr>
          <w:b/>
        </w:rPr>
        <w:t>Conclusión, lo que arrojan los datos:</w:t>
      </w:r>
      <w:r>
        <w:t xml:space="preserve"> sea en una vida o en muchas, lo que converge es el aprendizaje mismo: aprender a «discernir entre el bien y el mal, y así elegir siempre y en todas partes la vida mejor»</w:t>
      </w:r>
      <w:r>
        <w:t xml:space="preserve"> (Platón, República X, 618c)</w:t>
      </w:r>
      <w:r>
        <w:br/>
      </w:r>
      <w:r>
        <w:rPr>
          <w:b/>
        </w:rPr>
        <w:t>leída en su fuente · Platón, República X, 618c</w:t>
      </w:r>
      <w:r>
        <w:br/>
      </w:r>
      <w:r>
        <w:rPr>
          <w:b/>
        </w:rPr>
        <w:t>Archivo leído:</w:t>
      </w:r>
      <w:r>
        <w:t xml:space="preserve"> platon_republica_jowett_gutenberg_1497.txt (c9h\platon_republica_jowett_gutenberg_1497.txt) · contraste del archivo de pasajes: ✔</w:t>
      </w:r>
      <w:r>
        <w:br/>
      </w:r>
      <w:r>
        <w:rPr>
          <w:b/>
        </w:rPr>
        <w:t>Lugar:</w:t>
      </w:r>
      <w:r>
        <w:t xml:space="preserve"> Platón, República X, 618c</w:t>
      </w:r>
      <w:r>
        <w:br/>
      </w:r>
      <w:r>
        <w:rPr>
          <w:b/>
        </w:rPr>
        <w:t>Tal como está en la fuente:</w:t>
      </w:r>
      <w:r>
        <w:t xml:space="preserve"> discern between good and evil, and so to choose always and everywhere the better life</w:t>
      </w:r>
      <w:r>
        <w:t>.</w:t>
      </w:r>
    </w:p>
    <w:p>
      <w:pPr>
        <w:pStyle w:val="Heading2"/>
      </w:pPr>
      <w:r>
        <w:t>2.6 El camino que sigue esta obra, y el que deja</w:t>
      </w:r>
    </w:p>
    <w:p>
      <w:pPr>
        <w:pBdr>
          <w:left w:val="single" w:sz="24" w:space="6" w:color="E2DED6"/>
        </w:pBdr>
        <w:shd w:val="clear" w:color="auto" w:fill="F1EEE8"/>
        <w:spacing w:before="80" w:after="160"/>
        <w:ind w:left="142" w:right="142"/>
      </w:pPr>
      <w:r>
        <w:rPr>
          <w:b/>
        </w:rPr>
        <w:t>La idea: esta obra parte de la misma raíz que muchas personas que defienden su soberanía, pero sigue un camino distinto, el de la prueba: lo que no tiene documento es una presunción, y no se admite.</w:t>
      </w:r>
    </w:p>
    <w:p>
      <w:pPr>
        <w:pStyle w:val="Heading2"/>
      </w:pPr>
      <w:r>
        <w:t>Límite honesto de la prueba</w:t>
      </w:r>
    </w:p>
    <w:p>
      <w:pPr>
        <w:pStyle w:val="ListBullet"/>
      </w:pPr>
      <w:r>
        <w:rPr>
          <w:b/>
        </w:rPr>
        <w:t>La Declaración Universal no es un tratado.</w:t>
      </w:r>
      <w:r>
        <w:t xml:space="preserve"> Es una resolución de la Asamblea General. En España sirve de guía obligada para interpretar los derechos que reconoce la Constitución</w:t>
      </w:r>
      <w:r>
        <w:t xml:space="preserve"> (Constitución, art. 10.2)</w:t>
      </w:r>
      <w:r>
        <w:t xml:space="preserve">, y la mayoría de esos derechos están, además, en la propia Constitución. </w:t>
      </w:r>
    </w:p>
    <w:p>
      <w:pPr>
        <w:pStyle w:val="ListBullet"/>
      </w:pPr>
      <w:r>
        <w:rPr>
          <w:b/>
        </w:rPr>
        <w:t>No todos los derechos se pueden exigir igual.</w:t>
      </w:r>
      <w:r>
        <w:t xml:space="preserve"> Los del capítulo de los principios rectores (la seguridad social, la salud, la vivienda, la tercera edad o la cultura) «Sólo podrán ser alegados ante la Jurisdicción ordinaria de acuerdo con lo que dispongan las leyes que los desarrollen»</w:t>
      </w:r>
      <w:r>
        <w:t xml:space="preserve"> (Constitución, art. 53.3)</w:t>
      </w:r>
      <w:r>
        <w:br/>
      </w:r>
      <w:r>
        <w:rPr>
          <w:b/>
        </w:rPr>
        <w:t>leída en su fuente · Constitución, art. 53.3</w:t>
      </w:r>
      <w:r>
        <w:br/>
      </w:r>
      <w:r>
        <w:rPr>
          <w:b/>
        </w:rPr>
        <w:t>Archivo leído:</w:t>
      </w:r>
      <w:r>
        <w:t xml:space="preserve"> constitucion_1978.html (c5\constitucion_1978.html) · contraste del archivo de pasajes: ✔</w:t>
      </w:r>
      <w:r>
        <w:br/>
      </w:r>
      <w:r>
        <w:rPr>
          <w:b/>
        </w:rPr>
        <w:t>Lugar:</w:t>
      </w:r>
      <w:r>
        <w:t xml:space="preserve"> Art. 53.3 (#a53)</w:t>
      </w:r>
      <w:r>
        <w:br/>
      </w:r>
      <w:r>
        <w:rPr>
          <w:b/>
        </w:rPr>
        <w:t>Dirección:</w:t>
      </w:r>
      <w:r>
        <w:t xml:space="preserve"> </w:t>
      </w:r>
      <w:r>
        <w:t>https://www.boe.es/buscar/act.php?id=BOE-A-1978-31229</w:t>
      </w:r>
      <w:r>
        <w:br/>
      </w:r>
      <w:r>
        <w:rPr>
          <w:b/>
        </w:rPr>
        <w:t>Tal como está en la fuente:</w:t>
      </w:r>
      <w:r>
        <w:t xml:space="preserve"> Sólo podrán ser alegados ante la Jurisdicción ordinaria de acuerdo con lo que dispongan</w:t>
      </w:r>
      <w:r>
        <w:t xml:space="preserve">. </w:t>
      </w:r>
    </w:p>
    <w:p>
      <w:pPr>
        <w:pStyle w:val="ListBullet"/>
      </w:pPr>
      <w:r>
        <w:rPr>
          <w:b/>
        </w:rPr>
        <w:t>Las libertades públicas tienen amparo.</w:t>
      </w:r>
      <w:r>
        <w:t xml:space="preserve"> Cualquier ciudadano puede pedir su tutela ante los tribunales ordinarios «y, en su caso, a través del recurso de amparo ante el Tribunal Constitucional»</w:t>
      </w:r>
      <w:r>
        <w:t xml:space="preserve"> (Constitución, art. 53.2)</w:t>
      </w:r>
      <w:r>
        <w:br/>
      </w:r>
      <w:r>
        <w:rPr>
          <w:b/>
        </w:rPr>
        <w:t>leída en su fuente · Constitución, art. 53.2</w:t>
      </w:r>
      <w:r>
        <w:br/>
      </w:r>
      <w:r>
        <w:rPr>
          <w:b/>
        </w:rPr>
        <w:t>Archivo leído:</w:t>
      </w:r>
      <w:r>
        <w:t xml:space="preserve"> c6 (ídem) (ant\c1\ce.html) · contraste del archivo de pasajes: ✔</w:t>
      </w:r>
      <w:r>
        <w:br/>
      </w:r>
      <w:r>
        <w:rPr>
          <w:b/>
        </w:rPr>
        <w:t>Tal como está en la fuente:</w:t>
      </w:r>
      <w:r>
        <w:t xml:space="preserve"> y, en su caso, a través del recurso de amparo ante el Tribunal Constitucional</w:t>
      </w:r>
      <w:r>
        <w:t xml:space="preserve">. </w:t>
      </w:r>
    </w:p>
    <w:p>
      <w:pPr>
        <w:pStyle w:val="ListBullet"/>
      </w:pPr>
      <w:r>
        <w:rPr>
          <w:b/>
        </w:rPr>
        <w:t>El cuerpo ya está protegido por la ley</w:t>
      </w:r>
      <w:r>
        <w:t xml:space="preserve"> (Constitución, arts. 15 y 17.4)</w:t>
      </w:r>
      <w:r>
        <w:t xml:space="preserve">, y el </w:t>
      </w:r>
      <w:r>
        <w:rPr>
          <w:i/>
        </w:rPr>
        <w:t>habeas corpus</w:t>
      </w:r>
      <w:r>
        <w:t xml:space="preserve"> existe para eso. </w:t>
      </w:r>
    </w:p>
    <w:p>
      <w:pPr>
        <w:pStyle w:val="ListBullet"/>
      </w:pPr>
      <w:r>
        <w:rPr>
          <w:b/>
        </w:rPr>
        <w:t>«Soberanos somos todos» no exime de la ley</w:t>
      </w:r>
      <w:r>
        <w:t xml:space="preserve"> ni da autoridad frente a nadie</w:t>
      </w:r>
      <w:r>
        <w:t xml:space="preserve"> (Constitución, art. 9.1)</w:t>
      </w:r>
      <w:r>
        <w:t xml:space="preserve">. </w:t>
      </w:r>
    </w:p>
    <w:p>
      <w:pPr>
        <w:pStyle w:val="ListBullet"/>
      </w:pPr>
      <w:r>
        <w:rPr>
          <w:b/>
        </w:rPr>
        <w:t>La unión basada en el respeto no sustituye al Estado.</w:t>
      </w:r>
      <w:r>
        <w:t xml:space="preserve"> Es una ética personal; si alguien quiere darle forma legal, cabe como asociación</w:t>
      </w:r>
      <w:r>
        <w:t xml:space="preserve"> (Constitución, art. 22.1)</w:t>
      </w:r>
      <w:r>
        <w:t xml:space="preserve">. </w:t>
      </w:r>
    </w:p>
    <w:p>
      <w:pPr>
        <w:pStyle w:val="ListBullet"/>
      </w:pPr>
      <w:r>
        <w:rPr>
          <w:b/>
        </w:rPr>
        <w:t>Lo que no tiene documento no se admite, y en eso el Estado tiene razón</w:t>
      </w:r>
      <w:r>
        <w:t xml:space="preserve"> (</w:t>
      </w:r>
      <w:r>
        <w:t>2.6</w:t>
      </w:r>
      <w:r>
        <w:t xml:space="preserve">). Pero que una afirmación no tenga documento no hace verdadero lo contrario. </w:t>
      </w:r>
    </w:p>
    <w:p>
      <w:pPr>
        <w:pStyle w:val="ListBullet"/>
      </w:pPr>
      <w:r>
        <w:rPr>
          <w:b/>
        </w:rPr>
        <w:t>Las fuentes que no se han podido leer en el original</w:t>
      </w:r>
      <w:r>
        <w:t xml:space="preserve"> van marcadas como «fuente secundaria»: la </w:t>
      </w:r>
      <w:r>
        <w:rPr>
          <w:i/>
        </w:rPr>
        <w:t>persona ficta</w:t>
      </w:r>
      <w:r>
        <w:t xml:space="preserve"> atribuida a Inocencio IV, la crítica de Mboti a Ubuntu y el hadiz de Muslim, leído en una copia de datos de la colección.</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«una unión basada solo en el respeto es una utopía», «a un Estado no se le juzga por la coherencia de sus actos», «si esas afirmaciones no tienen documento, la desconfianza es infundada» y «las normas que esas afirmaciones invitan a desobedecer protegen a todos»;</w:t>
      </w:r>
    </w:p>
    <w:p>
      <w:pPr>
        <w:pStyle w:val="ListBullet"/>
      </w:pPr>
      <w:r>
        <w:rPr>
          <w:b/>
        </w:rPr>
        <w:t xml:space="preserve">en el </w:t>
      </w:r>
      <w:r>
        <w:rPr>
          <w:b/>
        </w:rPr>
        <w:t>cargo 2</w:t>
      </w:r>
      <w:r>
        <w:rPr>
          <w:b/>
        </w:rPr>
        <w:t xml:space="preserve"> («Nada por encima de la Constitución»):</w:t>
      </w:r>
      <w:r>
        <w:t xml:space="preserve"> «todos están sujetos a la Constitución»;</w:t>
      </w:r>
    </w:p>
    <w:p>
      <w:pPr>
        <w:pStyle w:val="ListBullet"/>
      </w:pPr>
      <w:r>
        <w:rPr>
          <w:b/>
        </w:rPr>
        <w:t xml:space="preserve">en el </w:t>
      </w:r>
      <w:r>
        <w:rPr>
          <w:b/>
        </w:rPr>
        <w:t>cargo 10</w:t>
      </w:r>
      <w:r>
        <w:rPr>
          <w:b/>
        </w:rPr>
        <w:t xml:space="preserve"> («El Estado social»):</w:t>
      </w:r>
      <w:r>
        <w:t xml:space="preserve"> «cada derecho tiene su ancla: España cumple la Declaración», «los derechos sociales son principios rectores, no derechos exigibles», «las libertades públicas están garantizadas» y «el cuerpo ya está protegido por la ley»;</w:t>
      </w:r>
    </w:p>
    <w:p>
      <w:pPr>
        <w:pStyle w:val="ListBullet"/>
      </w:pPr>
      <w:r>
        <w:rPr>
          <w:b/>
        </w:rPr>
        <w:t xml:space="preserve">en el </w:t>
      </w:r>
      <w:r>
        <w:rPr>
          <w:b/>
        </w:rPr>
        <w:t>cargo 13</w:t>
      </w:r>
      <w:r>
        <w:rPr>
          <w:b/>
        </w:rPr>
        <w:t xml:space="preserve"> («El cobro sin juez»):</w:t>
      </w:r>
      <w:r>
        <w:t xml:space="preserve"> «la propiedad está reconocida y protegida»;</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pPr>
        <w:pStyle w:val="Heading2"/>
      </w:pPr>
      <w:r>
        <w:t>Para recordar</w:t>
      </w:r>
    </w:p>
    <w:p>
      <w:pPr>
        <w:pStyle w:val="ListBullet"/>
      </w:pPr>
      <w:r>
        <w:t>La persona nace; la persona jurídica se constituye. A la primera la ley la encuentra; a la segunda la hace.</w:t>
      </w:r>
    </w:p>
    <w:p>
      <w:pPr>
        <w:pStyle w:val="ListBullet"/>
      </w:pPr>
      <w:r>
        <w:t>Los derechos que preceden al Estado no los da la ley: los reconoce. La Declaración Universal los llama «inalienables» y la Constitución, «inherentes».</w:t>
      </w:r>
    </w:p>
    <w:p>
      <w:pPr>
        <w:pStyle w:val="ListBullet"/>
      </w:pPr>
      <w:r>
        <w:t>«Soberanos somos todos»: cada persona es dueña de sí misma, nadie lo es de otra, y nadie queda por eso fuera de la ley.</w:t>
      </w:r>
    </w:p>
    <w:p>
      <w:pPr>
        <w:pStyle w:val="ListBullet"/>
      </w:pPr>
      <w:r>
        <w:t>El cuerpo es el territorio de cada persona; la conciencia, su gobierno; el respeto, la única base para convivir.</w:t>
      </w:r>
    </w:p>
    <w:p>
      <w:pPr>
        <w:pStyle w:val="ListBullet"/>
      </w:pPr>
      <w:r>
        <w:t>Todos somos aprendices: la madurez no se declara, se ve en los frutos.</w:t>
      </w:r>
    </w:p>
    <w:p>
      <w:pPr>
        <w:pStyle w:val="ListBullet"/>
      </w:pPr>
      <w:r>
        <w:t>Lo que se afirma sin documento es una presunción y no se admite; la vía de esta obra es la constancia escrita y el juicio popular de la verdad.</w:t>
      </w:r>
    </w:p>
    <w:p>
      <w:pPr>
        <w:pStyle w:val="ListBullet"/>
      </w:pPr>
      <w:r>
        <w:rPr>
          <w:b/>
        </w:rPr>
        <w:t>Lo que aquí se expone que hay que podar (lectura del autor):</w:t>
      </w:r>
      <w:r>
        <w:t xml:space="preserve"> la creencia de que los derechos de la persona los da la ley, y de que un ente sin cuerpo puede quitar lo que ella trae al nacer; y también toda presunción sin documento, la diga quien la diga.</w:t>
      </w:r>
    </w:p>
    <w:p>
      <w:pPr>
        <w:pStyle w:val="ListBullet"/>
      </w:pPr>
      <w:r>
        <w:rPr>
          <w:b/>
        </w:rPr>
        <w:t>Lo siguiente:</w:t>
      </w:r>
      <w:r>
        <w:t xml:space="preserve"> la ley de Dios, abierta: el Arca, lo que los pueblos guardaron como ley por encima de toda ley (</w:t>
      </w:r>
      <w:r>
        <w:t>capítulo 3</w:t>
      </w:r>
      <w:r>
        <w:t>).</w:t>
      </w:r>
    </w:p>
    <w:p>
      <w:r>
        <w:br w:type="page"/>
      </w:r>
    </w:p>
    <w:p>
      <w:pPr>
        <w:pStyle w:val="Heading1"/>
      </w:pPr>
      <w:r>
        <w:t>3 Lo que todas las tradiciones guardaron: el Arca</w:t>
      </w:r>
    </w:p>
    <w:p>
      <w:pPr>
        <w:spacing w:after="200"/>
      </w:pPr>
      <w:r>
        <w:rPr>
          <w:rFonts w:ascii="Segoe UI" w:hAnsi="Segoe UI" w:eastAsia="Segoe UI" w:cs="Segoe UI"/>
          <w:color w:val="6B665E"/>
          <w:sz w:val="17"/>
        </w:rPr>
        <w:t>Primera versión: 5 de octubre de 2026 · Última revisión: 12 de octubre de 2026 · Cambios anotados en el capítulo: 22 · Citas leídas en su fuente: 175</w:t>
      </w:r>
    </w:p>
    <w:p>
      <w:pPr>
        <w:pBdr>
          <w:left w:val="single" w:sz="24" w:space="6" w:color="E2DED6"/>
        </w:pBdr>
        <w:shd w:val="clear" w:color="auto" w:fill="F1EEE8"/>
        <w:spacing w:before="80" w:after="160"/>
        <w:ind w:left="142" w:right="142"/>
      </w:pPr>
      <w:r>
        <w:rPr>
          <w:b/>
        </w:rPr>
        <w:t>En pocas palabras:</w:t>
      </w:r>
    </w:p>
    <w:p>
      <w:pPr>
        <w:pStyle w:val="ListBullet"/>
      </w:pPr>
      <w:r>
        <w:t>El Arca es la ley de Dios tal como la guardaron todas las tradiciones, sea cual sea el nombre que cada pueblo dé a Dios.</w:t>
      </w:r>
    </w:p>
    <w:p>
      <w:pPr>
        <w:pStyle w:val="ListBullet"/>
      </w:pPr>
      <w:r>
        <w:t>Nueve principios se repiten en pueblos sin contacto documentado entre sí: el gobernante existe para el pueblo; impuestos moderados; no quitar al pueblo su tiempo; pesas y medidas justas; devolver lo confiado; no a la usura; cada uno responde de lo suyo; el castigo no es un negocio; y más leyes, más pobreza.</w:t>
      </w:r>
    </w:p>
    <w:p>
      <w:pPr>
        <w:pStyle w:val="ListBullet"/>
      </w:pPr>
      <w:r>
        <w:t>Cada principio tiene también su pata coja, el texto que dice lo contrario. Casi siempre lo escribió quien mandaba, o se escribió para él.</w:t>
      </w:r>
    </w:p>
    <w:p>
      <w:pPr>
        <w:pStyle w:val="ListBullet"/>
      </w:pPr>
      <w:r>
        <w:t>Si es tan antigua, ¿por qué casi nadie la conoce? Porque no se escribió, porque se escribió en latín o porque quedó fuera de las listas.</w:t>
      </w:r>
    </w:p>
    <w:p>
      <w:pPr>
        <w:pStyle w:val="ListBullet"/>
      </w:pPr>
      <w:r>
        <w:t>Todos los principios tienen un mismo hilo: hemos venido a servir. El que manda sirve, quien sirve no pierde, y lo que no sirve se separa.</w:t>
      </w:r>
    </w:p>
    <w:p>
      <w:pPr>
        <w:pStyle w:val="ListBullet"/>
      </w:pPr>
      <w:r>
        <w:t>Doce tradiciones cuentan que se recibió una ley, una enseñanza o una sabiduría para vivir; nueve, que se perdió o que muchos se apartan de ella; y diez, que hay un camino de vuelta.</w:t>
      </w:r>
    </w:p>
    <w:p>
      <w:pPr>
        <w:pStyle w:val="Heading2"/>
      </w:pPr>
      <w:r>
        <w:t>3.1 La convergencia y la pata coja</w:t>
      </w:r>
    </w:p>
    <w:p>
      <w:pPr>
        <w:pBdr>
          <w:left w:val="single" w:sz="24" w:space="6" w:color="E2DED6"/>
        </w:pBdr>
        <w:shd w:val="clear" w:color="auto" w:fill="F1EEE8"/>
        <w:spacing w:before="80" w:after="160"/>
        <w:ind w:left="142" w:right="142"/>
      </w:pPr>
      <w:r>
        <w:rPr>
          <w:b/>
        </w:rPr>
        <w:t>La idea: lo que pueblos sin contacto documentado coinciden en guardar, y además pasa la vara, es ley de Dios. Lo que solo se repite puede ser costumbre torcida.</w:t>
      </w:r>
    </w:p>
    <w:p>
      <w:r>
        <w:rPr>
          <w:b/>
        </w:rPr>
        <w:t>Conclusión, lo que arrojan los datos:</w:t>
      </w:r>
      <w:r>
        <w:t xml:space="preserve"> lo que fue legal durante siglos no era justo, y lo confesó el mismo poder que lo había hecho legal, al derogarlo. Lo legal, por sí solo, no prueba que algo sea justo (</w:t>
      </w:r>
      <w:r>
        <w:t>1.6</w:t>
      </w:r>
      <w:r>
        <w:t>).</w:t>
      </w:r>
    </w:p>
    <w:p>
      <w:pPr>
        <w:pStyle w:val="Heading2"/>
      </w:pPr>
      <w:r>
        <w:t>3.2 El Arca: la ley de Dios, principio por principio</w:t>
      </w:r>
    </w:p>
    <w:p>
      <w:pPr>
        <w:pBdr>
          <w:left w:val="single" w:sz="24" w:space="6" w:color="E2DED6"/>
        </w:pBdr>
        <w:shd w:val="clear" w:color="auto" w:fill="F1EEE8"/>
        <w:spacing w:before="80" w:after="160"/>
        <w:ind w:left="142" w:right="142"/>
      </w:pPr>
      <w:r>
        <w:rPr>
          <w:b/>
        </w:rPr>
        <w:t>La idea: nueve principios se repiten en pueblos sin contacto documentado entre sí, cada uno con tres o más patas, y cada uno con su pata coja.</w:t>
      </w:r>
    </w:p>
    <w:p>
      <w:pPr>
        <w:pStyle w:val="Heading3"/>
      </w:pPr>
      <w:r>
        <w:t>P1. El gobernante existe para el pueblo</w:t>
      </w:r>
    </w:p>
    <w:p>
      <w:pPr>
        <w:pStyle w:val="Heading3"/>
      </w:pPr>
      <w:r>
        <w:t>P2. Impuestos moderados</w:t>
      </w:r>
    </w:p>
    <w:p>
      <w:pPr>
        <w:pStyle w:val="Heading3"/>
      </w:pPr>
      <w:r>
        <w:t>P3. No quitar al pueblo su tiempo</w:t>
      </w:r>
    </w:p>
    <w:p>
      <w:pPr>
        <w:pStyle w:val="Heading3"/>
      </w:pPr>
      <w:r>
        <w:t>P4. Pesas y medidas justas</w:t>
      </w:r>
    </w:p>
    <w:p>
      <w:pPr>
        <w:pStyle w:val="Heading3"/>
      </w:pPr>
      <w:r>
        <w:t>P5. Devolver lo confiado</w:t>
      </w:r>
    </w:p>
    <w:p>
      <w:pPr>
        <w:pStyle w:val="Heading3"/>
      </w:pPr>
      <w:r>
        <w:t>P6. Contra la usura; perdonar las deudas</w:t>
      </w:r>
    </w:p>
    <w:p>
      <w:pPr>
        <w:pStyle w:val="Heading3"/>
      </w:pPr>
      <w:r>
        <w:t>P7. Cada uno responde de lo suyo; examinar antes de castigar</w:t>
      </w:r>
    </w:p>
    <w:p>
      <w:pPr>
        <w:pStyle w:val="Heading3"/>
      </w:pPr>
      <w:r>
        <w:t>P8. El castigo no es un negocio; contra el soborno</w:t>
      </w:r>
    </w:p>
    <w:p>
      <w:pPr>
        <w:pStyle w:val="Heading3"/>
      </w:pPr>
      <w:r>
        <w:t>P9. Más leyes, más pobreza</w:t>
      </w:r>
    </w:p>
    <w:p>
      <w:r>
        <w:rPr>
          <w:b/>
        </w:rPr>
        <w:t>Conclusión, lo que arrojan los datos:</w:t>
      </w:r>
      <w:r>
        <w:t xml:space="preserve"> los nueve principios aparecen en civilizaciones de todos los continentes (China, la India, Israel, el islam, Persia, Mesopotamia, Egipto, Grecia y Roma, África, América y Oceanía), cada uno con tres o más patas independientes. Y cada uno tiene su pata coja, dicha. Con la vara de la convergencia (</w:t>
      </w:r>
      <w:r>
        <w:t>3.1</w:t>
      </w:r>
      <w:r>
        <w:t>), la mesa se sostiene.</w:t>
      </w:r>
    </w:p>
    <w:p>
      <w:pPr>
        <w:pStyle w:val="Heading2"/>
      </w:pPr>
      <w:r>
        <w:t>3.3 La usura, la línea roja más antigua</w:t>
      </w:r>
    </w:p>
    <w:p>
      <w:pPr>
        <w:pBdr>
          <w:left w:val="single" w:sz="24" w:space="6" w:color="E2DED6"/>
        </w:pBdr>
        <w:shd w:val="clear" w:color="auto" w:fill="F1EEE8"/>
        <w:spacing w:before="80" w:after="160"/>
        <w:ind w:left="142" w:right="142"/>
      </w:pPr>
      <w:r>
        <w:rPr>
          <w:b/>
        </w:rPr>
        <w:t>La idea: cobrar por el solo paso del tiempo lo condenaron Israel, Grecia y el islam, y la India lo limitó; y perdonar las deudas es la ley más antigua que se conserva escrita.</w:t>
      </w:r>
    </w:p>
    <w:p>
      <w:r>
        <w:rPr>
          <w:b/>
        </w:rPr>
        <w:t>Conclusión, lo que arrojan los datos:</w:t>
      </w:r>
      <w:r>
        <w:t xml:space="preserve"> el perdón de las deudas y la condena de la usura aparecen en Mesopotamia, Israel, Grecia, el islam y la India, y las recogen también Etiopía, Nicea y España, que parten de la Biblia; y la propia ley española todavía anula el préstamo usurario. La pata coja también está: la usura permitida con el extranjero y el interés limitado, no prohibido.</w:t>
      </w:r>
    </w:p>
    <w:p>
      <w:pPr>
        <w:pStyle w:val="Heading2"/>
      </w:pPr>
      <w:r>
        <w:t>3.4 Quién escribe la pata coja</w:t>
      </w:r>
    </w:p>
    <w:p>
      <w:pPr>
        <w:pBdr>
          <w:left w:val="single" w:sz="24" w:space="6" w:color="E2DED6"/>
        </w:pBdr>
        <w:shd w:val="clear" w:color="auto" w:fill="F1EEE8"/>
        <w:spacing w:before="80" w:after="160"/>
        <w:ind w:left="142" w:right="142"/>
      </w:pPr>
      <w:r>
        <w:rPr>
          <w:b/>
        </w:rPr>
        <w:t>La idea: cuando un texto contradice el Arca, casi siempre lo escribió quien mandaba o su ministro, o se escribió para él.</w:t>
      </w:r>
    </w:p>
    <w:p>
      <w:r>
        <w:rPr>
          <w:b/>
        </w:rPr>
        <w:t>Conclusión, lo que arrojan los datos:</w:t>
      </w:r>
      <w:r>
        <w:t xml:space="preserve"> de los 13 textos de la pata coja examinados, 11 los escribió quien mandaba o su ministro, se escribieron para el que mandaba, o eximían o beneficiaban a quien los transmitía o aplicaba. Las dos excepciones no tenían poder. Es el mismo resultado que el del </w:t>
      </w:r>
      <w:r>
        <w:t>capítulo 1</w:t>
      </w:r>
      <w:r>
        <w:t>: 7 de 8.</w:t>
      </w:r>
    </w:p>
    <w:p>
      <w:pPr>
        <w:pStyle w:val="Heading2"/>
      </w:pPr>
      <w:r>
        <w:t>3.5 Por qué casi nadie la conoce</w:t>
      </w:r>
    </w:p>
    <w:p>
      <w:pPr>
        <w:pBdr>
          <w:left w:val="single" w:sz="24" w:space="6" w:color="E2DED6"/>
        </w:pBdr>
        <w:shd w:val="clear" w:color="auto" w:fill="F1EEE8"/>
        <w:spacing w:before="80" w:after="160"/>
        <w:ind w:left="142" w:right="142"/>
      </w:pPr>
      <w:r>
        <w:rPr>
          <w:b/>
        </w:rPr>
        <w:t>La idea: la ley más antigua casi nadie la conoce porque no se escribió, porque se escribió en latín o porque quedó fuera de las listas.</w:t>
      </w:r>
    </w:p>
    <w:p>
      <w:r>
        <w:rPr>
          <w:b/>
        </w:rPr>
        <w:t>Conclusión, lo que arrojan los datos</w:t>
      </w:r>
      <w:r>
        <w:t xml:space="preserve"> (por sus frutos: análisis, no juicio): puestos en orden, los hechos marcan un sendero. Hacia el año 200, Tertuliano defendía el libro de Enoc. Hacia el 220, Julio Africano, que trabajaba para el emperador, leyó a los ángeles del Génesis como hombres. En el 380, la fe de la Iglesia pasó a ser la que mandaba el Imperio. En el 419, el Concilio de Cartago fijó la lista sin Enoc, y san Agustín rechazó su relato de los ángeles. Una lista de libros admitidos y rechazados atribuida a los papas, el Decreto Gelasiano, puso entre los apócrifos «el libro de las hijas de Adán, la Leptogénesis»</w:t>
      </w:r>
      <w:r>
        <w:t xml:space="preserve"> (Decreto Gelasiano, en la traducción inglesa de la edición de von Dobschütz, 1912)</w:t>
      </w:r>
      <w:r>
        <w:br/>
      </w:r>
      <w:r>
        <w:rPr>
          <w:b/>
        </w:rPr>
        <w:t>leída en su fuente · Decreto Gelasiano, en la traducción inglesa de la edición de von Dobschütz, 1912</w:t>
      </w:r>
      <w:r>
        <w:br/>
      </w:r>
      <w:r>
        <w:rPr>
          <w:b/>
        </w:rPr>
        <w:t>Archivo leído:</w:t>
      </w:r>
      <w:r>
        <w:t xml:space="preserve"> gel_en.html (ant\canon\gel_en.html) · contraste del archivo de pasajes: ✔</w:t>
      </w:r>
      <w:r>
        <w:br/>
      </w:r>
      <w:r>
        <w:rPr>
          <w:b/>
        </w:rPr>
        <w:t>Lugar:</w:t>
      </w:r>
      <w:r>
        <w:t xml:space="preserve"> Decreto Gelasiano, en la traducción inglesa de la edición de von Dobschütz, 1912</w:t>
      </w:r>
      <w:r>
        <w:br/>
      </w:r>
      <w:r>
        <w:rPr>
          <w:b/>
        </w:rPr>
        <w:t>Tal como está en la fuente:</w:t>
      </w:r>
      <w:r>
        <w:t xml:space="preserve"> the book of the daughters of Adam Leptogeneseos apocryphus</w:t>
      </w:r>
      <w:r>
        <w:t>; el editor de Jubileos, R. H. Charles, ve en ese libro el de los Jubileos, o una obra corta basada en él, y da la fecha de la lista por dudosa</w:t>
      </w:r>
      <w:r>
        <w:t xml:space="preserve"> (R. H. Charles, The Book of Jubilees or the Little Genesis (El libro de los Jubileos o el Pequeño Génesis), 1902, introducción)</w:t>
      </w:r>
      <w:r>
        <w:t>. En Occidente, a medida que la Iglesia se unía al poder imperial, esos libros pasaron de leerse a reinterpretarse, después a quedar fuera de la lista y por último a contarse entre los apócrifos. Mientras, la Iglesia etíope los conservó. Es la dirección que marcan los hechos, no un juicio sobre la intención de nadie. Y tiene su pata coja: el canon común conserva el aviso de los ángeles caídos (Judas 6 y 2 Pedro 2:4) y los textos que más deslegitiman a los reyes (1 Sam 8), y el primer descarte de Enoc no lo hizo ningún emperador, sino las Escrituras judías, como recoge Tertuliano.</w:t>
      </w:r>
    </w:p>
    <w:p>
      <w:pPr>
        <w:pStyle w:val="Heading2"/>
      </w:pPr>
      <w:r>
        <w:t>3.6 El hilo del Arca: servir</w:t>
      </w:r>
    </w:p>
    <w:p>
      <w:pPr>
        <w:pBdr>
          <w:left w:val="single" w:sz="24" w:space="6" w:color="E2DED6"/>
        </w:pBdr>
        <w:shd w:val="clear" w:color="auto" w:fill="F1EEE8"/>
        <w:spacing w:before="80" w:after="160"/>
        <w:ind w:left="142" w:right="142"/>
      </w:pPr>
      <w:r>
        <w:rPr>
          <w:b/>
        </w:rPr>
        <w:t>La idea: los nueve principios del Arca dicen lo mismo de nueve maneras: hemos venido a servir. El que manda sirve, quien sirve no pierde, y lo que no sirve se separa.</w:t>
      </w:r>
    </w:p>
    <w:p>
      <w:r>
        <w:rPr>
          <w:b/>
        </w:rPr>
        <w:t>Conclusión, lo que arrojan los datos:</w:t>
      </w:r>
      <w:r>
        <w:t xml:space="preserve"> Israel y el cristianismo, China, la India (la Gita y el budismo) y el islam coinciden: el ser humano está para servir y guardar, el que manda sirve y quien sirve no pierde. Entre Israel, China y la India no hay contacto documentado. Y lo que el Arca prohíbe es siempre lo contrario: servirse del otro.</w:t>
      </w:r>
    </w:p>
    <w:p>
      <w:pPr>
        <w:pStyle w:val="Heading2"/>
      </w:pPr>
      <w:r>
        <w:t>3.7 Arqueología en busca de las reglas del juego de la vida</w:t>
      </w:r>
    </w:p>
    <w:p>
      <w:pPr>
        <w:pBdr>
          <w:left w:val="single" w:sz="24" w:space="6" w:color="E2DED6"/>
        </w:pBdr>
        <w:shd w:val="clear" w:color="auto" w:fill="F1EEE8"/>
        <w:spacing w:before="80" w:after="160"/>
        <w:ind w:left="142" w:right="142"/>
      </w:pPr>
      <w:r>
        <w:rPr>
          <w:b/>
        </w:rPr>
        <w:t>La idea: doce tradiciones cuentan que se recibió una ley, una enseñanza o una sabiduría para vivir; nueve, que se perdió o que muchos se apartan de ella; y diez, que hay un camino de vuelta, que es volver a lo recibido.</w:t>
      </w:r>
    </w:p>
    <w:p>
      <w:r>
        <w:rPr>
          <w:b/>
        </w:rPr>
        <w:t>Conclusión, lo que arrojan los datos:</w:t>
      </w:r>
    </w:p>
    <w:p>
      <w:r>
        <w:rPr>
          <w:b/>
        </w:rPr>
        <w:t>Conclusión, lo que arrojan los datos: el aviso y quién juzga.</w:t>
      </w:r>
      <w:r>
        <w:t xml:space="preserve"> Con dos preguntas más, si hay aviso antes de la consecuencia y quién la ejecuta, se leyeron 71 textos de once tradiciones; la cuenta, tradición por tradición, está en F.9.</w:t>
      </w:r>
    </w:p>
    <w:p>
      <w:r>
        <w:rPr>
          <w:b/>
        </w:rPr>
        <w:t>Conclusión, lo que arrojan los datos: el séptimo sello, tal como lo dice el texto.</w:t>
      </w:r>
      <w:r>
        <w:t xml:space="preserve"> El último libro de la Biblia, el Apocalipsis (la palabra se explica en </w:t>
      </w:r>
      <w:r>
        <w:t>0.2</w:t>
      </w:r>
      <w:r>
        <w:t>), cuenta un libro «escrito de dentro y de fuera, sellado con siete sellos»</w:t>
      </w:r>
      <w:r>
        <w:t xml:space="preserve"> (Ap 5:1)</w:t>
      </w:r>
      <w:r>
        <w:br/>
      </w:r>
      <w:r>
        <w:rPr>
          <w:b/>
        </w:rPr>
        <w:t>leída en su fuente · Ap 5:1</w:t>
      </w:r>
      <w:r>
        <w:br/>
      </w:r>
      <w:r>
        <w:rPr>
          <w:b/>
        </w:rPr>
        <w:t>Archivo leído:</w:t>
      </w:r>
      <w:r>
        <w:t xml:space="preserve"> spaRV1909_vpl.txt (biblia_rv1909\spaRV1909_vpl.txt) · contraste del archivo de pasajes: ✔</w:t>
      </w:r>
      <w:r>
        <w:br/>
      </w:r>
      <w:r>
        <w:rPr>
          <w:b/>
        </w:rPr>
        <w:t>Lugar:</w:t>
      </w:r>
      <w:r>
        <w:t xml:space="preserve"> Ap 5:1 (RV1909)</w:t>
      </w:r>
      <w:r>
        <w:br/>
      </w:r>
      <w:r>
        <w:rPr>
          <w:b/>
        </w:rPr>
        <w:t>Tal como está en la fuente:</w:t>
      </w:r>
      <w:r>
        <w:t xml:space="preserve"> Y VI en la mano derecha del que estaba sentado sobre el trono un libro escrito de dentro y de fuera, sellado con siete sellos.</w:t>
      </w:r>
      <w:r>
        <w:t>. Leído en la Reina-Valera Antigua y en el griego, dice esto; los pasajes, en F.9.</w:t>
      </w:r>
    </w:p>
    <w:p>
      <w:r>
        <w:rPr>
          <w:b/>
        </w:rPr>
        <w:t>Conclusión, lo que arrojan los datos: todo se ve y, en la mayoría, queda escrito.</w:t>
      </w:r>
      <w:r>
        <w:t xml:space="preserve"> Con otra pregunta, si todo se ve y si todo queda escrito, se leyeron trece tradiciones: las doce de arriba y el norte. Los pasajes, en F.9.</w:t>
      </w:r>
    </w:p>
    <w:p>
      <w:r>
        <w:rPr>
          <w:b/>
        </w:rPr>
        <w:t>Conclusión, lo que arrojan los datos: el ungido, tal como lo dice el texto.</w:t>
      </w:r>
      <w:r>
        <w:t xml:space="preserve"> La palabra «Cristo» sí está en los textos, y dice esto; los pasajes, en F.9.</w:t>
      </w:r>
    </w:p>
    <w:p>
      <w:pPr>
        <w:pStyle w:val="Heading2"/>
      </w:pPr>
      <w:r>
        <w:t>Límite honesto de la prueba</w:t>
      </w:r>
    </w:p>
    <w:p>
      <w:pPr>
        <w:pStyle w:val="ListBullet"/>
      </w:pPr>
      <w:r>
        <w:rPr>
          <w:b/>
        </w:rPr>
        <w:t>La convergencia no es unanimidad.</w:t>
      </w:r>
      <w:r>
        <w:t xml:space="preserve"> Cada principio tiene su pata coja, a veces dentro de la misma tradición (la usura con el extranjero en Dt 23:20; la obediencia al mal gobernante en algunos hadices). Se dicen todas.</w:t>
      </w:r>
    </w:p>
    <w:p>
      <w:pPr>
        <w:pStyle w:val="ListBullet"/>
      </w:pPr>
      <w:r>
        <w:rPr>
          <w:b/>
        </w:rPr>
        <w:t>Las fuentes no son todas «puras».</w:t>
      </w:r>
      <w:r>
        <w:t xml:space="preserve"> Muchas de las de África, América y Oceanía las escribieron autores formados en el cristianismo u observadores europeos, y Garcilaso idealiza a los incas. Valen como constancia de lo que esas tradiciones contaban de sí mismas. </w:t>
      </w:r>
    </w:p>
    <w:p>
      <w:pPr>
        <w:pStyle w:val="ListBullet"/>
      </w:pPr>
      <w:r>
        <w:rPr>
          <w:b/>
        </w:rPr>
        <w:t>No todas las patas cuentan como independientes, y algunas fechas se discuten.</w:t>
      </w:r>
      <w:r>
        <w:t xml:space="preserve"> Un texto que repite a otro, que es de la misma obra o que se parece a un código vecino se dice, pero no cuenta aparte: Etiopía, Nicea y España parten de la Biblia en la usura (</w:t>
      </w:r>
      <w:r>
        <w:t>3.3</w:t>
      </w:r>
      <w:r>
        <w:t xml:space="preserve">); 1 Samuel y 1 Reyes son una sola narración (P2); el Código de la Alianza trata el mismo caso que Hammurabi (P5). Y varias fechas no están cerradas: las Analectas 20.1 están en un libro que una tesis tradicional tiene por tardío (P4), y no se puede probar que ningún texto chino sobre pesas y medidas sea más antiguo que él, porque el Canon de Shun y el Yueling tampoco tienen fecha cerrada; las máximas de Ptahhotep pudieron componerse en el Reino Medio (P3); y la fecha de la Gran Ley de la Paz se discute, desde 1142 hasta las últimas décadas del siglo XVI, y su texto escrito es reciente: la versión que se cita es de 1916 (P1). Sirven para el siglo y la región, no para un año exacto. </w:t>
      </w:r>
    </w:p>
    <w:p>
      <w:pPr>
        <w:pStyle w:val="ListBullet"/>
      </w:pPr>
      <w:r>
        <w:rPr>
          <w:b/>
        </w:rPr>
        <w:t>Los hadices</w:t>
      </w:r>
      <w:r>
        <w:t xml:space="preserve"> se leyeron en una copia de datos de la colección, no en su edición impresa: van como fuente secundaria hasta cotejarlos.</w:t>
      </w:r>
    </w:p>
    <w:p>
      <w:pPr>
        <w:pStyle w:val="ListBullet"/>
      </w:pPr>
      <w:r>
        <w:rPr>
          <w:b/>
        </w:rPr>
        <w:t>Las sociedades grandes necesitan ley escrita,</w:t>
      </w:r>
      <w:r>
        <w:t xml:space="preserve"> y la obra no propone abolirla: pide respetar el orden de las fuentes (</w:t>
      </w:r>
      <w:r>
        <w:t>1.7</w:t>
      </w:r>
      <w:r>
        <w:t xml:space="preserve">). Y no todos los órdenes de costumbre eran igualitarios: el derecho </w:t>
      </w:r>
      <w:r>
        <w:rPr>
          <w:i/>
        </w:rPr>
        <w:t>brehon</w:t>
      </w:r>
      <w:r>
        <w:t xml:space="preserve"> graduaba la compensación según el rango de la víctima. </w:t>
      </w:r>
    </w:p>
    <w:p>
      <w:pPr>
        <w:pStyle w:val="ListBullet"/>
      </w:pPr>
      <w:r>
        <w:rPr>
          <w:b/>
        </w:rPr>
        <w:t>La Ley de la usura de 1908 es para los préstamos,</w:t>
      </w:r>
      <w:r>
        <w:t xml:space="preserve"> no para los impuestos: el impuesto no es un préstamo, y presentarla ante la Agencia Tributaria sería un error. Su valor es de coherencia. </w:t>
      </w:r>
    </w:p>
    <w:p>
      <w:pPr>
        <w:pStyle w:val="ListBullet"/>
      </w:pPr>
      <w:r>
        <w:rPr>
          <w:b/>
        </w:rPr>
        <w:t>Hoy las leyes se publican gratis en el BOE, en español.</w:t>
      </w:r>
      <w:r>
        <w:t xml:space="preserve"> El latín ya no es la barrera; si lo es el volumen, se examina en el </w:t>
      </w:r>
      <w:r>
        <w:t>cargo 8</w:t>
      </w:r>
      <w:r>
        <w:t xml:space="preserve">. </w:t>
      </w:r>
    </w:p>
    <w:p>
      <w:pPr>
        <w:pStyle w:val="ListBullet"/>
      </w:pPr>
      <w:r>
        <w:rPr>
          <w:b/>
        </w:rPr>
        <w:t>Fuentes secundarias, marcadas en el texto:</w:t>
      </w:r>
      <w:r>
        <w:t xml:space="preserve"> la treintena de cancelaciones de deudas, las tablillas de cuentas, las fechas de Qin y los avisos de fecha y de dependencia entre textos de </w:t>
      </w:r>
      <w:r>
        <w:t>3.2</w:t>
      </w:r>
      <w:r>
        <w:t xml:space="preserve"> y </w:t>
      </w:r>
      <w:r>
        <w:t>3.3</w:t>
      </w:r>
      <w:r>
        <w:t>. Los que llevan la nota «referencia hallada en Wikipedia, sin leer en su fuente» no están leídos en su fuente: Wikipedia no vale como fuente, solo ayudó a encontrar la referencia.</w:t>
      </w:r>
    </w:p>
    <w:p>
      <w:pPr>
        <w:pStyle w:val="ListBullet"/>
      </w:pPr>
      <w:r>
        <w:rPr>
          <w:b/>
        </w:rPr>
        <w:t xml:space="preserve">La arqueología de </w:t>
      </w:r>
      <w:r>
        <w:rPr>
          <w:b/>
        </w:rPr>
        <w:t>3.7</w:t>
      </w:r>
      <w:r>
        <w:rPr>
          <w:b/>
        </w:rPr>
        <w:t xml:space="preserve"> se sostiene en tres patas independientes, no en doce.</w:t>
      </w:r>
      <w:r>
        <w:t xml:space="preserve"> La Biblia hebrea, el Nuevo Testamento, la tradición rabínica y el islam son de un mismo tronco; Persia, Mesopotamia, Egipto y Grecia tuvieron contacto con Israel; y el Popol Vuh se escribió hacia 1554-1558, después de la llegada de los españoles (fecha de nivel C, </w:t>
      </w:r>
      <w:r>
        <w:t>2.3</w:t>
      </w:r>
      <w:r>
        <w:t xml:space="preserve">). De la Enseñanza para Merikare solo se leyó el resumen de Budge; Génesis Rabbah 21 va en una versión inglesa sin traductor nombrado (fuente secundaria); Platón se leyó en la traducción de Jowett, que no trae la numeración de Stephanus (el Protágoras, también en el griego de Burnet, que sí la trae); y los versos de la Bhagavad Gita se numeran por el sánscrito, porque la traducción de Arnold no los numera. La cuenta del aviso y de quién ejecuta va sobre la etiqueta que se puso a cada texto al leerlo: es la lectura de quien lo leyó, y cualquiera puede repetirla con los pasajes de F.9. </w:t>
      </w:r>
    </w:p>
    <w:p>
      <w:pPr>
        <w:pStyle w:val="Heading2"/>
      </w:pPr>
      <w:r>
        <w:t>Dónde se oye la defensa del Estado</w:t>
      </w:r>
    </w:p>
    <w:p>
      <w:r>
        <w:t>La defensa del Estado frente a este capítulo, y lo que la obra le responde, se oyen en el juicio:</w:t>
      </w:r>
    </w:p>
    <w:p>
      <w:pPr>
        <w:pStyle w:val="ListBullet"/>
      </w:pPr>
      <w:r>
        <w:rPr>
          <w:b/>
        </w:rPr>
        <w:t xml:space="preserve">en el </w:t>
      </w:r>
      <w:r>
        <w:rPr>
          <w:b/>
        </w:rPr>
        <w:t>cargo 1</w:t>
      </w:r>
      <w:r>
        <w:rPr>
          <w:b/>
        </w:rPr>
        <w:t xml:space="preserve"> («La ley humana, primera fuente»):</w:t>
      </w:r>
      <w:r>
        <w:t xml:space="preserve"> «las sociedades complejas necesitan ley escrita»;</w:t>
      </w:r>
    </w:p>
    <w:p>
      <w:pPr>
        <w:pStyle w:val="ListBullet"/>
      </w:pPr>
      <w:r>
        <w:rPr>
          <w:b/>
        </w:rPr>
        <w:t xml:space="preserve">en el </w:t>
      </w:r>
      <w:r>
        <w:rPr>
          <w:b/>
        </w:rPr>
        <w:t>cargo 7</w:t>
      </w:r>
      <w:r>
        <w:rPr>
          <w:b/>
        </w:rPr>
        <w:t xml:space="preserve"> («Lo legal es lo justo»):</w:t>
      </w:r>
      <w:r>
        <w:t xml:space="preserve"> «el Estado de derecho fue quien abolió la esclavitud»;</w:t>
      </w:r>
    </w:p>
    <w:p>
      <w:pPr>
        <w:pStyle w:val="ListBullet"/>
      </w:pPr>
      <w:r>
        <w:rPr>
          <w:b/>
        </w:rPr>
        <w:t xml:space="preserve">en el </w:t>
      </w:r>
      <w:r>
        <w:rPr>
          <w:b/>
        </w:rPr>
        <w:t>cargo 8</w:t>
      </w:r>
      <w:r>
        <w:rPr>
          <w:b/>
        </w:rPr>
        <w:t xml:space="preserve"> («Todos conocen todas las leyes»):</w:t>
      </w:r>
      <w:r>
        <w:t xml:space="preserve"> «hoy las leyes se publican para todos»;</w:t>
      </w:r>
    </w:p>
    <w:p>
      <w:pPr>
        <w:pStyle w:val="ListBullet"/>
      </w:pPr>
      <w:r>
        <w:rPr>
          <w:b/>
        </w:rPr>
        <w:t xml:space="preserve">y en el </w:t>
      </w:r>
      <w:r>
        <w:rPr>
          <w:b/>
        </w:rPr>
        <w:t>cargo 13</w:t>
      </w:r>
      <w:r>
        <w:rPr>
          <w:b/>
        </w:rPr>
        <w:t xml:space="preserve"> («El cobro sin juez»):</w:t>
      </w:r>
      <w:r>
        <w:t xml:space="preserve"> «la usura no se aplica a los impuestos».</w:t>
      </w:r>
    </w:p>
    <w:p>
      <w:pPr>
        <w:pStyle w:val="Heading2"/>
      </w:pPr>
      <w:r>
        <w:t>Para recordar</w:t>
      </w:r>
    </w:p>
    <w:p>
      <w:pPr>
        <w:pStyle w:val="ListBullet"/>
      </w:pPr>
      <w:r>
        <w:t>El Arca es la ley de Dios tal como la guardaron todos los pueblos: lo que converge y además pasa la vara.</w:t>
      </w:r>
    </w:p>
    <w:p>
      <w:pPr>
        <w:pStyle w:val="ListBullet"/>
      </w:pPr>
      <w:r>
        <w:t>Nueve principios se repiten en pueblos sin contacto documentado entre sí: el gobernante sirve al pueblo, impuestos moderados, el tiempo del pueblo es suyo, medidas justas, devolver lo confiado, no a la usura, cada uno responde de lo suyo, el castigo no es un negocio, y más leyes, más pobreza.</w:t>
      </w:r>
    </w:p>
    <w:p>
      <w:pPr>
        <w:pStyle w:val="ListBullet"/>
      </w:pPr>
      <w:r>
        <w:t>Cada principio tiene su pata coja, y casi siempre la escribió quien mandaba.</w:t>
      </w:r>
    </w:p>
    <w:p>
      <w:pPr>
        <w:pStyle w:val="ListBullet"/>
      </w:pPr>
      <w:r>
        <w:t>Perdonar las deudas es la ley escrita más antigua que se conserva, y la ley española todavía anula el préstamo usurario.</w:t>
      </w:r>
    </w:p>
    <w:p>
      <w:pPr>
        <w:pStyle w:val="ListBullet"/>
      </w:pPr>
      <w:r>
        <w:t>Casi nadie conoce esta ley porque no se escribió, porque se escribió en latín o porque quedó fuera de las listas.</w:t>
      </w:r>
    </w:p>
    <w:p>
      <w:pPr>
        <w:pStyle w:val="ListBullet"/>
      </w:pPr>
      <w:r>
        <w:t>El hilo del Arca es servir. Ante cada ley, cada institución y cada acto, la pregunta es una sola: ¿sirve, o se sirve?</w:t>
      </w:r>
    </w:p>
    <w:p>
      <w:pPr>
        <w:pStyle w:val="ListBullet"/>
      </w:pPr>
      <w:r>
        <w:t>Las reglas del juego de la vida: doce tradiciones cuentan que se recibieron; nueve, que se perdieron o que muchos se apartan de ellas; y diez, que hay un camino de vuelta (</w:t>
      </w:r>
      <w:r>
        <w:t>3.7</w:t>
      </w:r>
      <w:r>
        <w:t>).</w:t>
      </w:r>
    </w:p>
    <w:p>
      <w:pPr>
        <w:pStyle w:val="ListBullet"/>
      </w:pPr>
      <w:r>
        <w:rPr>
          <w:b/>
        </w:rPr>
        <w:t>Lo siguiente:</w:t>
      </w:r>
      <w:r>
        <w:t xml:space="preserve"> el otro lado: lo que las tradiciones dicen del mal sin cuerpo, y cómo distinguirlo (</w:t>
      </w:r>
      <w:r>
        <w:t>capítulo 4</w:t>
      </w:r>
      <w:r>
        <w:t>).</w:t>
      </w:r>
    </w:p>
    <w:p>
      <w:r>
        <w:br w:type="page"/>
      </w:r>
    </w:p>
    <w:p>
      <w:pPr>
        <w:pStyle w:val="Heading1"/>
      </w:pPr>
      <w:r>
        <w:t>4 Discernir: el mal sin cuerpo</w:t>
      </w:r>
    </w:p>
    <w:p>
      <w:pPr>
        <w:spacing w:after="200"/>
      </w:pPr>
      <w:r>
        <w:rPr>
          <w:rFonts w:ascii="Segoe UI" w:hAnsi="Segoe UI" w:eastAsia="Segoe UI" w:cs="Segoe UI"/>
          <w:color w:val="6B665E"/>
          <w:sz w:val="17"/>
        </w:rPr>
        <w:t>Primera versión: 5 de octubre de 2026 · Última revisión: 12 de octubre de 2026 · Cambios anotados en el capítulo: 11 · Citas leídas en su fuente: 134</w:t>
      </w:r>
    </w:p>
    <w:p>
      <w:pPr>
        <w:pBdr>
          <w:left w:val="single" w:sz="24" w:space="6" w:color="E2DED6"/>
        </w:pBdr>
        <w:shd w:val="clear" w:color="auto" w:fill="F1EEE8"/>
        <w:spacing w:before="80" w:after="160"/>
        <w:ind w:left="142" w:right="142"/>
      </w:pPr>
      <w:r>
        <w:rPr>
          <w:b/>
        </w:rPr>
        <w:t>En pocas palabras:</w:t>
      </w:r>
    </w:p>
    <w:p>
      <w:pPr>
        <w:pStyle w:val="ListBullet"/>
      </w:pPr>
      <w:r>
        <w:t>Muchas tradiciones describen un mal que no tiene cuerpo propio: acusa, engaña, se hace muchos y actúa a través de otros.</w:t>
      </w:r>
    </w:p>
    <w:p>
      <w:pPr>
        <w:pStyle w:val="ListBullet"/>
      </w:pPr>
      <w:r>
        <w:t>Cuentan también una lucha entre el bien y el mal, pero casi todas ponen al ser humano a elegir; y varios textos ven poderes sin cuerpo detrás de los reinos.</w:t>
      </w:r>
    </w:p>
    <w:p>
      <w:pPr>
        <w:pStyle w:val="ListBullet"/>
      </w:pPr>
      <w:r>
        <w:t>El canon etíope cuenta que unos ángeles caídos enseñaron a los hombres las armas y los llevaron a adorar lo que no es Dios. La Biblia común guarda el mismo aviso. Sus espíritus, dicen los textos, siguen en la tierra, y las tradiciones enseñan a no caer en sus susurros.</w:t>
      </w:r>
    </w:p>
    <w:p>
      <w:pPr>
        <w:pStyle w:val="ListBullet"/>
      </w:pPr>
      <w:r>
        <w:t>El Evangelio llama al diablo «padre de mentira». La obra solo usa esa imagen como lectura del autor, y con una sola fórmula.</w:t>
      </w:r>
    </w:p>
    <w:p>
      <w:pPr>
        <w:pStyle w:val="Heading2"/>
      </w:pPr>
      <w:r>
        <w:t>4.1 Cómo describen las religiones el mal sin cuerpo</w:t>
      </w:r>
    </w:p>
    <w:p>
      <w:pPr>
        <w:pBdr>
          <w:left w:val="single" w:sz="24" w:space="6" w:color="E2DED6"/>
        </w:pBdr>
        <w:shd w:val="clear" w:color="auto" w:fill="F1EEE8"/>
        <w:spacing w:before="80" w:after="160"/>
        <w:ind w:left="142" w:right="142"/>
      </w:pPr>
      <w:r>
        <w:rPr>
          <w:b/>
        </w:rPr>
        <w:t>La idea: muchas tradiciones describen un mal sin cuerpo propio, que acusa, engaña y se hace muchos, y que solo actúa a través de otros. La Boétie vio lo mismo en el poder: uno solo manda porque muchos se lo dan.</w:t>
      </w:r>
    </w:p>
    <w:p>
      <w:r>
        <w:rPr>
          <w:b/>
        </w:rPr>
        <w:t>Conclusión, lo que arrojan los datos:</w:t>
      </w:r>
      <w:r>
        <w:t xml:space="preserve"> la tradición hebrea, el cristianismo, el budismo y el islam describen un mal sin cuerpo propio: acusa, se hace muchos, tienta desde dentro o susurra, y actúa a través de otros, a veces de hombres. La Boétie muestra lo mismo en el poder político: el de uno solo vive de que muchos se lo den.</w:t>
      </w:r>
    </w:p>
    <w:p>
      <w:pPr>
        <w:pStyle w:val="Heading2"/>
      </w:pPr>
      <w:r>
        <w:t>4.2 La lucha entre el bien y el mal</w:t>
      </w:r>
    </w:p>
    <w:p>
      <w:pPr>
        <w:pBdr>
          <w:left w:val="single" w:sz="24" w:space="6" w:color="E2DED6"/>
        </w:pBdr>
        <w:shd w:val="clear" w:color="auto" w:fill="F1EEE8"/>
        <w:spacing w:before="80" w:after="160"/>
        <w:ind w:left="142" w:right="142"/>
      </w:pPr>
      <w:r>
        <w:rPr>
          <w:b/>
        </w:rPr>
        <w:t>La idea: muchas tradiciones cuentan una lucha entre el bien y el mal, pero casi todas ponen al ser humano a elegir, y no a dos dioses iguales. Y varios textos ven poderes sin cuerpo detrás de los reinos.</w:t>
      </w:r>
    </w:p>
    <w:p>
      <w:r>
        <w:rPr>
          <w:b/>
        </w:rPr>
        <w:t>Conclusión, lo que arrojan los datos:</w:t>
      </w:r>
      <w:r>
        <w:t xml:space="preserve"> Persia, Israel, el cristianismo, el islam y la India cuentan una lucha entre el bien y el mal, y casi todas ponen al ser humano a elegir. Daniel, el Evangelio y Pablo ven, además, poderes sin cuerpo detrás de los reinos y del mundo; y la Gita describe al que se ensalza por encima de todos. No toda guerra antigua es moral: en Mesopotamia y en el Rig Veda es una guerra de dioses por el orden y por el poder.</w:t>
      </w:r>
    </w:p>
    <w:p>
      <w:r>
        <w:rPr>
          <w:b/>
        </w:rPr>
        <w:t>Conclusión, lo que arrojan los datos:</w:t>
      </w:r>
      <w:r>
        <w:t xml:space="preserve"> el relato tiene dos árboles en el mismo huerto y una sola prohibición. El engaño entra en tres jugadas: invertir la orden (3:1), negar la consecuencia sin dar un dato (3:4) y atribuir un motivo (3:5). La decisión se toma por la apariencia y el deseo (3:6), sin preguntar a quien dio la orden, y los frutos son miedo, escondite, acusación en cadena y expulsión (3:7 a 3:24).</w:t>
      </w:r>
    </w:p>
    <w:p>
      <w:pPr>
        <w:pStyle w:val="Heading2"/>
      </w:pPr>
      <w:r>
        <w:t>4.3 Los ángeles caídos y la suplantación</w:t>
      </w:r>
    </w:p>
    <w:p>
      <w:pPr>
        <w:pBdr>
          <w:left w:val="single" w:sz="24" w:space="6" w:color="E2DED6"/>
        </w:pBdr>
        <w:shd w:val="clear" w:color="auto" w:fill="F1EEE8"/>
        <w:spacing w:before="80" w:after="160"/>
        <w:ind w:left="142" w:right="142"/>
      </w:pPr>
      <w:r>
        <w:rPr>
          <w:b/>
        </w:rPr>
        <w:t>La idea: el canon etíope cuenta que unos ángeles caídos enseñaron a los hombres las armas y los llevaron a adorar lo que no es Dios, y la Biblia común guarda el mismo aviso. Sus espíritus, dicen los textos, siguen en la tierra; y las tradiciones enseñan a no caer en sus susurros.</w:t>
      </w:r>
    </w:p>
    <w:p>
      <w:r>
        <w:rPr>
          <w:b/>
        </w:rPr>
        <w:t>Conclusión, lo que arrojan los datos:</w:t>
      </w:r>
      <w:r>
        <w:t xml:space="preserve"> en el canon etíope, la suplantación de la adoración debida a Dios se atribuye a los ángeles caídos y a sus espíritus: llevan a los hombres a sacrificar a los demonios como a dioses, y les enseñan artes que los extravían. El canon común coincide en lo esencial (Dt 32:17; 1 Co 10:20), y todos piden lo mismo: discernir.</w:t>
      </w:r>
    </w:p>
    <w:p>
      <w:r>
        <w:rPr>
          <w:b/>
        </w:rPr>
        <w:t>Conclusión, lo que arrojan los datos:</w:t>
      </w:r>
      <w:r>
        <w:t xml:space="preserve"> según los textos, los ángeles caídos están atados hasta el juicio, pero sus espíritus y los ángeles de Satán quedaron en la tierra. Obran sin cuerpo propio: susurran, seducen, toman muchas formas, se disfrazan de luz y actúan también a través de hombres. Y la Biblia, el Corán, el budismo y la Gita coinciden en el remedio: velar, no darles sitio, conocer sus maniobras, refugiarse en Dios, cerrar la puerta al deseo, la ira y la codicia, y no consentir, porque su poder es sobre quienes traban amistad con ellos.</w:t>
      </w:r>
    </w:p>
    <w:p>
      <w:pPr>
        <w:pStyle w:val="Heading3"/>
      </w:pPr>
      <w:r>
        <w:t>Anexo al apartado 4.3. El extremo con cara de ángel: la línea de la virtud</w:t>
      </w:r>
    </w:p>
    <w:p>
      <w:pPr>
        <w:pBdr>
          <w:left w:val="single" w:sz="24" w:space="6" w:color="E2DED6"/>
        </w:pBdr>
        <w:shd w:val="clear" w:color="auto" w:fill="F1EEE8"/>
        <w:spacing w:before="80" w:after="160"/>
        <w:ind w:left="142" w:right="142"/>
      </w:pPr>
      <w:r>
        <w:rPr>
          <w:b/>
        </w:rPr>
        <w:t>La idea: el mal casi nunca se presenta como mal, sino como un extremo con cara de luz; y la virtud, para quien la midió con más cuidado, no está entre el ángel y el demonio, sino entre dos vicios.</w:t>
      </w:r>
    </w:p>
    <w:p>
      <w:r>
        <w:rPr>
          <w:b/>
        </w:rPr>
        <w:t>Conclusión, lo que arrojan los datos:</w:t>
      </w:r>
      <w:r>
        <w:t xml:space="preserve"> en Aristóteles, los dos polos de una virtud no son «el bien» y «el mal», sino dos vicios, uno por defecto y otro por exceso. El centro no es un punto fijo («relativo a nosotros»): lo fija la razón del prudente. Y hay muchas maneras de fallar y una sola de acertar. Los textos de </w:t>
      </w:r>
      <w:r>
        <w:t>4.3</w:t>
      </w:r>
      <w:r>
        <w:t xml:space="preserve"> dicen que el mal se presenta como luz. Las dos cosas encajan: el extremo de algo bueno, llevado lejos, se parece a la virtud, pero ya no lo es.</w:t>
      </w:r>
    </w:p>
    <w:p>
      <w:pPr>
        <w:pStyle w:val="Heading2"/>
      </w:pPr>
      <w:r>
        <w:t>4.4 El padre de la mentira</w:t>
      </w:r>
    </w:p>
    <w:p>
      <w:pPr>
        <w:pBdr>
          <w:left w:val="single" w:sz="24" w:space="6" w:color="E2DED6"/>
        </w:pBdr>
        <w:shd w:val="clear" w:color="auto" w:fill="F1EEE8"/>
        <w:spacing w:before="80" w:after="160"/>
        <w:ind w:left="142" w:right="142"/>
      </w:pPr>
      <w:r>
        <w:rPr>
          <w:b/>
        </w:rPr>
        <w:t>La idea: el Evangelio llama al diablo «padre de mentira», y otras tradiciones ponen también la mentira del lado del mal. La obra usa esa imagen solo como lectura del autor, con una sola fórmula: «apunta hacia».</w:t>
      </w:r>
    </w:p>
    <w:p>
      <w:r>
        <w:rPr>
          <w:b/>
        </w:rPr>
        <w:t>Conclusión, lo que arrojan los datos:</w:t>
      </w:r>
      <w:r>
        <w:t xml:space="preserve"> Israel y el cristianismo, Persia, la India, el budismo y el islam ponen la mentira del lado del mal, y varios dicen que la verdad prevalece sobre ella. Ninguna de esas tradiciones defiende la mentira como camino.</w:t>
      </w:r>
    </w:p>
    <w:p>
      <w:r>
        <w:rPr>
          <w:b/>
        </w:rPr>
        <w:t>Conclusión, lo que arrojan los datos:</w:t>
      </w:r>
      <w:r>
        <w:t xml:space="preserve"> Grecia, el cristianismo, el islam y el budismo coinciden: lo que se hace una y otra vez forma a quien lo hace. El bien repetido hace justo; el mal repetido hace siervo, cauteriza la conciencia y cubre de herrumbre el corazón, poco a poco, gota a gota.</w:t>
      </w:r>
    </w:p>
    <w:p>
      <w:pPr>
        <w:pStyle w:val="Heading2"/>
      </w:pPr>
      <w:r>
        <w:t>Límite honesto de la prueba</w:t>
      </w:r>
    </w:p>
    <w:p>
      <w:pPr>
        <w:pStyle w:val="ListBullet"/>
      </w:pPr>
      <w:r>
        <w:rPr>
          <w:b/>
        </w:rPr>
        <w:t>Es lectura comparada, y se dice.</w:t>
      </w:r>
      <w:r>
        <w:t xml:space="preserve"> Las figuras del mal son imágenes de cada tradición; lo que la obra lee en ellas va marcado como lectura del autor. Su fuerza no está en profetizar, sino en documentar una constante. </w:t>
      </w:r>
    </w:p>
    <w:p>
      <w:pPr>
        <w:pStyle w:val="ListBullet"/>
      </w:pPr>
      <w:r>
        <w:rPr>
          <w:b/>
        </w:rPr>
        <w:t>La persona jurídica también sirve a la vida.</w:t>
      </w:r>
      <w:r>
        <w:t xml:space="preserve"> El hospital, la cooperativa y la asociación vecinal llevan la misma máscara: el mal no está en la máscara, sino en la máscara sin responsabilidad. </w:t>
      </w:r>
    </w:p>
    <w:p>
      <w:pPr>
        <w:pStyle w:val="ListBullet"/>
      </w:pPr>
      <w:r>
        <w:rPr>
          <w:b/>
        </w:rPr>
        <w:t>El Estado actúa por cargos con nombre, y la ley prevé que respondan.</w:t>
      </w:r>
      <w:r>
        <w:t xml:space="preserve"> Esa defensa, con sus artículos, se oye en las cuestiones previas (</w:t>
      </w:r>
      <w:r>
        <w:t>11.2</w:t>
      </w:r>
      <w:r>
        <w:t xml:space="preserve">). </w:t>
      </w:r>
    </w:p>
    <w:p>
      <w:pPr>
        <w:pStyle w:val="ListBullet"/>
      </w:pPr>
      <w:r>
        <w:rPr>
          <w:b/>
        </w:rPr>
        <w:t>Que el Estado solo exista porque se cree en él es una posición doctrinal,</w:t>
      </w:r>
      <w:r>
        <w:t xml:space="preserve"> no un consenso. Las conclusiones de la obra no dependen de ella, sino de hechos que se pueden comprobar. </w:t>
      </w:r>
    </w:p>
    <w:p>
      <w:pPr>
        <w:pStyle w:val="ListBullet"/>
      </w:pPr>
      <w:r>
        <w:rPr>
          <w:b/>
        </w:rPr>
        <w:t>El dualismo puro es la excepción:</w:t>
      </w:r>
      <w:r>
        <w:t xml:space="preserve"> solo dos de las nueve tradiciones lo sostienen. Presentarlo todo como una guerra de dos poderes iguales sería falsear las fuentes. </w:t>
      </w:r>
    </w:p>
    <w:p>
      <w:pPr>
        <w:pStyle w:val="ListBullet"/>
      </w:pPr>
      <w:r>
        <w:rPr>
          <w:b/>
        </w:rPr>
        <w:t>Lo que no entra:</w:t>
      </w:r>
      <w:r>
        <w:t xml:space="preserve"> la Regla de la Guerra de Qumrán y el ciclo de Baal, porque no hay texto completo abierto para leerlos. Y «como a dioses», en 1 Enoc 19:1, va con la duda que marca su editor.</w:t>
      </w:r>
    </w:p>
    <w:p>
      <w:pPr>
        <w:pStyle w:val="ListBullet"/>
      </w:pPr>
      <w:r>
        <w:rPr>
          <w:b/>
        </w:rPr>
        <w:t>Traducciones:</w:t>
      </w:r>
      <w:r>
        <w:t xml:space="preserve"> el Avesta y la Gita se traducen aquí desde traducciones inglesas reconocidas, o desde el original cuando se dice; el texto del que se traduce va al lado.</w:t>
      </w:r>
    </w:p>
    <w:p>
      <w:pPr>
        <w:pStyle w:val="ListBullet"/>
      </w:pPr>
      <w:r>
        <w:rPr>
          <w:b/>
        </w:rPr>
        <w:t>El relato de Génesis se lee en la Reina-Valera Antigua;</w:t>
      </w:r>
      <w:r>
        <w:t xml:space="preserve"> del hebreo solo se ha contado por programa, en el códice de Leningrado, dónde aparece la palabra «satán» (</w:t>
      </w:r>
      <w:r>
        <w:t>4.2</w:t>
      </w:r>
      <w:r>
        <w:t>); lo demás no se ha leído en hebreo. Que la serpiente sea Satanás, o que el hombre fuera inmortal por naturaleza, es tradición posterior y no del texto, y se dice.</w:t>
      </w:r>
    </w:p>
    <w:p>
      <w:pPr>
        <w:pStyle w:val="ListBullet"/>
      </w:pPr>
      <w:r>
        <w:rPr>
          <w:b/>
        </w:rPr>
        <w:t>Las improntas son un experimento mental,</w:t>
      </w:r>
      <w:r>
        <w:t xml:space="preserve"> no un dato: las causas que forman a una persona no están leídas en ninguna fuente de la obra, y el experimento vale con «las mismas circunstancias, sean las que sean». Va como lectura del autor.</w:t>
      </w:r>
    </w:p>
    <w:p>
      <w:pPr>
        <w:pStyle w:val="Heading2"/>
      </w:pPr>
      <w:r>
        <w:t>Dónde se oye la defensa del Estado</w:t>
      </w:r>
    </w:p>
    <w:p>
      <w:r>
        <w:t>La defensa del Estado frente a este capítulo, y lo que la obra le responde, se oyen en las cuestiones previas (</w:t>
      </w:r>
      <w:r>
        <w:t>11.2</w:t>
      </w:r>
      <w:r>
        <w:t>):</w:t>
      </w:r>
    </w:p>
    <w:p>
      <w:pPr>
        <w:pStyle w:val="ListBullet"/>
      </w:pPr>
      <w:r>
        <w:t>«el Estado no es un ente sin cuerpo: sus cargos responden»;</w:t>
      </w:r>
    </w:p>
    <w:p>
      <w:pPr>
        <w:pStyle w:val="ListBullet"/>
      </w:pPr>
      <w:r>
        <w:t>«usar la imagen del diablo para el Estado es demonizarlo»;</w:t>
      </w:r>
    </w:p>
    <w:p>
      <w:pPr>
        <w:pStyle w:val="ListBullet"/>
      </w:pPr>
      <w:r>
        <w:t>«la persona jurídica es una ficción necesaria»;</w:t>
      </w:r>
    </w:p>
    <w:p>
      <w:pPr>
        <w:pStyle w:val="ListBullet"/>
      </w:pPr>
      <w:r>
        <w:t>«el Estado como construcción mental es una tesis ideológica»;</w:t>
      </w:r>
    </w:p>
    <w:p>
      <w:pPr>
        <w:pStyle w:val="ListBullet"/>
      </w:pPr>
      <w:r>
        <w:t>«retirar la creencia es invitar a la desobediencia»;</w:t>
      </w:r>
    </w:p>
    <w:p>
      <w:pPr>
        <w:pStyle w:val="ListBullet"/>
      </w:pPr>
      <w:r>
        <w:t>«el Estado es aconfesional»;</w:t>
      </w:r>
    </w:p>
    <w:p>
      <w:pPr>
        <w:pStyle w:val="ListBullet"/>
      </w:pPr>
      <w:r>
        <w:t>«hablar de bien y mal es demonizar al adversario»;</w:t>
      </w:r>
    </w:p>
    <w:p>
      <w:pPr>
        <w:pStyle w:val="ListBullet"/>
      </w:pPr>
      <w:r>
        <w:t>«el Estado de derecho sustituyó la moral por procedimientos neutrales»;</w:t>
      </w:r>
    </w:p>
    <w:p>
      <w:pPr>
        <w:pStyle w:val="ListBullet"/>
      </w:pPr>
      <w:r>
        <w:t>y «la convergencia es una selección interesada».</w:t>
      </w:r>
    </w:p>
    <w:p>
      <w:pPr>
        <w:pStyle w:val="Heading2"/>
      </w:pPr>
      <w:r>
        <w:t>Para recordar</w:t>
      </w:r>
    </w:p>
    <w:p>
      <w:pPr>
        <w:pStyle w:val="ListBullet"/>
      </w:pPr>
      <w:r>
        <w:t>Las tradiciones describen un mal sin cuerpo propio: acusa, engaña, se hace muchos y actúa a través de otros, a veces de hombres.</w:t>
      </w:r>
    </w:p>
    <w:p>
      <w:pPr>
        <w:pStyle w:val="ListBullet"/>
      </w:pPr>
      <w:r>
        <w:t>El poder de uno solo vive de que muchos se lo den: es la servidumbre voluntaria.</w:t>
      </w:r>
    </w:p>
    <w:p>
      <w:pPr>
        <w:pStyle w:val="ListBullet"/>
      </w:pPr>
      <w:r>
        <w:t>La lucha entre el bien y el mal pide, casi siempre, que el ser humano elija. Y varios textos ven poderes sin cuerpo detrás de los reinos.</w:t>
      </w:r>
    </w:p>
    <w:p>
      <w:pPr>
        <w:pStyle w:val="ListBullet"/>
      </w:pPr>
      <w:r>
        <w:t>El canon etíope cuenta que los ángeles caídos enseñaron las armas y llevaron a adorar lo que no es Dios; la Biblia común guarda el mismo aviso.</w:t>
      </w:r>
    </w:p>
    <w:p>
      <w:pPr>
        <w:pStyle w:val="ListBullet"/>
      </w:pPr>
      <w:r>
        <w:t>El mal convive con nosotros, sin cuerpo propio: susurra, seduce y se disfraza de luz. Se le vence velando, conociendo sus maniobras y no dándole el consentimiento.</w:t>
      </w:r>
    </w:p>
    <w:p>
      <w:pPr>
        <w:pStyle w:val="ListBullet"/>
      </w:pPr>
      <w:r>
        <w:t>La virtud, según Aristóteles, no está entre el ángel y el demonio, sino entre dos vicios, uno por defecto y otro por exceso; y el extremo de algo bueno, llevado lejos, se disfraza de virtud.</w:t>
      </w:r>
    </w:p>
    <w:p>
      <w:pPr>
        <w:pStyle w:val="ListBullet"/>
      </w:pPr>
      <w:r>
        <w:t>La obra usa la imagen del padre de la mentira solo como lectura del autor, con una fórmula: «apunta hacia».</w:t>
      </w:r>
    </w:p>
    <w:p>
      <w:pPr>
        <w:pStyle w:val="ListBullet"/>
      </w:pPr>
      <w:r>
        <w:rPr>
          <w:b/>
        </w:rPr>
        <w:t>Lo siguiente:</w:t>
      </w:r>
      <w:r>
        <w:t xml:space="preserve"> lo que se da por supuesto sobre el Estado sin haberlo comprobado, frente a lo que dicen la norma y el dato (</w:t>
      </w:r>
      <w:r>
        <w:t>capítulo 5</w:t>
      </w:r>
      <w:r>
        <w:t>).</w:t>
      </w:r>
    </w:p>
    <w:p>
      <w:r>
        <w:br w:type="page"/>
      </w:r>
    </w:p>
    <w:p>
      <w:pPr>
        <w:pStyle w:val="Heading1"/>
      </w:pPr>
      <w:r>
        <w:t>5 Lo que se da por supuesto</w:t>
      </w:r>
    </w:p>
    <w:p>
      <w:pPr>
        <w:spacing w:after="200"/>
      </w:pPr>
      <w:r>
        <w:rPr>
          <w:rFonts w:ascii="Segoe UI" w:hAnsi="Segoe UI" w:eastAsia="Segoe UI" w:cs="Segoe UI"/>
          <w:color w:val="6B665E"/>
          <w:sz w:val="17"/>
        </w:rPr>
        <w:t>Primera versión: 5 de octubre de 2026 · Última revisión: 12 de octubre de 2026 · Cambios anotados en el capítulo: 6 · Citas leídas en su fuente: 63</w:t>
      </w:r>
    </w:p>
    <w:p>
      <w:pPr>
        <w:pBdr>
          <w:left w:val="single" w:sz="24" w:space="6" w:color="E2DED6"/>
        </w:pBdr>
        <w:shd w:val="clear" w:color="auto" w:fill="F1EEE8"/>
        <w:spacing w:before="80" w:after="160"/>
        <w:ind w:left="142" w:right="142"/>
      </w:pPr>
      <w:r>
        <w:rPr>
          <w:b/>
        </w:rPr>
        <w:t>En pocas palabras:</w:t>
      </w:r>
    </w:p>
    <w:p>
      <w:pPr>
        <w:pStyle w:val="ListBullet"/>
      </w:pPr>
      <w:r>
        <w:t>Muchas cosas que se dan por supuestas sobre el Estado no las dice ninguna ley: las sugiere un nombre oficial o una cifra que se repite. Puestas al lado de la norma y del dato, veinticinco de ellas dicen otra cosa.</w:t>
      </w:r>
    </w:p>
    <w:p>
      <w:pPr>
        <w:pStyle w:val="ListBullet"/>
      </w:pPr>
      <w:r>
        <w:t>El Estado se sostiene en presunciones. Da por cierto, sin haberlo probado, el consentimiento del pueblo, la validez de sus propios actos, el valor de su moneda y la conformidad de quienes aún no han nacido. Ordenadas, forman un edificio de siete plantas, y frente a cada una la ley de Dios dice otra cosa.</w:t>
      </w:r>
    </w:p>
    <w:p>
      <w:pPr>
        <w:pStyle w:val="ListBullet"/>
      </w:pPr>
      <w:r>
        <w:t>El Estado y el derecho existen porque se reconocen, no porque tengan cuerpo: son ficciones jurídicas. Una ficción declarada no es un vicio. Se vuelve engaño cuando se presenta como un hecho natural.</w:t>
      </w:r>
    </w:p>
    <w:p>
      <w:pPr>
        <w:pStyle w:val="ListBullet"/>
      </w:pPr>
      <w:r>
        <w:t>La raíz es una: la presunción ocupa el lugar del consentimiento. Y empieza al nacer: en setenta y dos horas, a cada recién nacido se le abre un registro, antes de que pueda decir sí o no. Esa es la piedra que sostiene toda la obra: el pueblo no consintió; nació dentro y lo aceptó sin saberlo.</w:t>
      </w:r>
    </w:p>
    <w:p>
      <w:pPr>
        <w:pStyle w:val="ListBullet"/>
      </w:pPr>
      <w:r>
        <w:t>Ninguna de estas piezas, por separado, hace caer el edificio. Juntas, impiden ver que no se sostiene, y la costumbre hace el resto. Por eso ha durado.</w:t>
      </w:r>
    </w:p>
    <w:p>
      <w:pPr>
        <w:pStyle w:val="Heading2"/>
      </w:pPr>
      <w:r>
        <w:t>5.1 Lo que se da por supuesto y lo que es: el dinero, el poder y la información</w:t>
      </w:r>
    </w:p>
    <w:p>
      <w:pPr>
        <w:pBdr>
          <w:left w:val="single" w:sz="24" w:space="6" w:color="E2DED6"/>
        </w:pBdr>
        <w:shd w:val="clear" w:color="auto" w:fill="F1EEE8"/>
        <w:spacing w:before="80" w:after="160"/>
        <w:ind w:left="142" w:right="142"/>
      </w:pPr>
      <w:r>
        <w:rPr>
          <w:b/>
        </w:rPr>
        <w:t>La idea: muchas cosas que se dan por supuestas no las dice ninguna ley; las sugiere un nombre oficial o una cifra que se repite. Puestas al lado de la norma y del dato, dicen otra cosa.</w:t>
      </w:r>
    </w:p>
    <w:p>
      <w:pPr>
        <w:pStyle w:val="Heading3"/>
      </w:pPr>
      <w:r>
        <w:t>El dinero</w:t>
      </w:r>
    </w:p>
    <w:p>
      <w:pPr>
        <w:pStyle w:val="Heading3"/>
      </w:pPr>
      <w:r>
        <w:t>El poder</w:t>
      </w:r>
    </w:p>
    <w:p>
      <w:pPr>
        <w:pStyle w:val="Heading3"/>
      </w:pPr>
      <w:r>
        <w:t>La información</w:t>
      </w:r>
    </w:p>
    <w:p>
      <w:r>
        <w:rPr>
          <w:b/>
        </w:rPr>
        <w:t>Conclusión, lo que arrojan los datos:</w:t>
      </w:r>
      <w:r>
        <w:t xml:space="preserve"> en las tres familias se repite el mismo patrón: un nombre o una cifra oficial sugieren una cosa, y la norma o el dato dicen otra. La «hucha» no guarda, la «cotización» no ahorra, la «transparencia» no suma, la «urgencia» se vuelve costumbre y el «derecho» a la vivienda no se puede reclamar. En tres casos, lo que no coincide es el propio significado de la palabra: la «inflación», que nombraba la emisión excesiva de moneda y hoy nombra la subida de los precios; el banco, del que se cree que presta el dinero de los ahorradores, cuando la mayor parte del dinero se crea al conceder el préstamo; y el «contrato» social, que nadie firmó. Ninguna de estas filas exige suponer nada: basta leer la norma y el dato. Y la Constitución, revisada artículo por artículo, suma 69 incumplimientos (</w:t>
      </w:r>
      <w:r>
        <w:t>7.1</w:t>
      </w:r>
      <w:r>
        <w:t xml:space="preserve">; </w:t>
      </w:r>
      <w:r>
        <w:t>anexo A</w:t>
      </w:r>
      <w:r>
        <w:t>).</w:t>
      </w:r>
    </w:p>
    <w:p>
      <w:pPr>
        <w:pStyle w:val="Heading2"/>
      </w:pPr>
      <w:r>
        <w:t>5.2 El edificio de las presunciones</w:t>
      </w:r>
    </w:p>
    <w:p>
      <w:pPr>
        <w:pBdr>
          <w:left w:val="single" w:sz="24" w:space="6" w:color="E2DED6"/>
        </w:pBdr>
        <w:shd w:val="clear" w:color="auto" w:fill="F1EEE8"/>
        <w:spacing w:before="80" w:after="160"/>
        <w:ind w:left="142" w:right="142"/>
      </w:pPr>
      <w:r>
        <w:rPr>
          <w:b/>
        </w:rPr>
        <w:t>La idea: el Estado se sostiene en presunciones: da por cierto, sin haberlo probado, lo que más necesita. Ordenadas, forman un edificio de siete plantas, de los cimientos al tejado; y frente a cada una, la ley de Dios dice otra cosa.</w:t>
      </w:r>
    </w:p>
    <w:p>
      <w:pPr>
        <w:pStyle w:val="Heading3"/>
      </w:pPr>
      <w:r>
        <w:t>Planta 1. Los cimientos: el orden de las leyes</w:t>
      </w:r>
    </w:p>
    <w:p>
      <w:pPr>
        <w:pStyle w:val="Heading3"/>
      </w:pPr>
      <w:r>
        <w:t>Planta 2. La autoridad</w:t>
      </w:r>
    </w:p>
    <w:p>
      <w:pPr>
        <w:pStyle w:val="Heading3"/>
      </w:pPr>
      <w:r>
        <w:t>Planta 3. La persona</w:t>
      </w:r>
    </w:p>
    <w:p>
      <w:pPr>
        <w:pStyle w:val="Heading3"/>
      </w:pPr>
      <w:r>
        <w:t>Planta 4. El poder sobre el ciudadano</w:t>
      </w:r>
    </w:p>
    <w:p>
      <w:pPr>
        <w:pStyle w:val="Heading3"/>
      </w:pPr>
      <w:r>
        <w:t>Planta 5. El dinero</w:t>
      </w:r>
    </w:p>
    <w:p>
      <w:pPr>
        <w:pStyle w:val="Heading3"/>
      </w:pPr>
      <w:r>
        <w:t>Planta 6. El tiempo y las generaciones</w:t>
      </w:r>
    </w:p>
    <w:p>
      <w:pPr>
        <w:pStyle w:val="Heading3"/>
      </w:pPr>
      <w:r>
        <w:t>Planta 7. La información y la legitimidad</w:t>
      </w:r>
    </w:p>
    <w:p>
      <w:r>
        <w:rPr>
          <w:b/>
        </w:rPr>
        <w:t>Conclusión, lo que arrojan los datos:</w:t>
      </w:r>
      <w:r>
        <w:t xml:space="preserve"> cada presunción del edificio está escrita en una norma o medida en un dato, y todas reparten la carga de la prueba del mismo lado: el Estado se presume válido, cierto y solvente, y es el ciudadano quien tiene que probar lo contrario. Frente a cada una, los textos sagrados dicen otra cosa: el sí se dice, la medida es cabal, lo confiado se devuelve entero, nadie paga por lo que comieron sus padres y quien administra da cuenta.</w:t>
      </w:r>
    </w:p>
    <w:p>
      <w:pPr>
        <w:pStyle w:val="Heading2"/>
      </w:pPr>
      <w:r>
        <w:t>5.3 La ficción jurídica: cómo existen el Estado y el derecho</w:t>
      </w:r>
    </w:p>
    <w:p>
      <w:pPr>
        <w:pBdr>
          <w:left w:val="single" w:sz="24" w:space="6" w:color="E2DED6"/>
        </w:pBdr>
        <w:shd w:val="clear" w:color="auto" w:fill="F1EEE8"/>
        <w:spacing w:before="80" w:after="160"/>
        <w:ind w:left="142" w:right="142"/>
      </w:pPr>
      <w:r>
        <w:rPr>
          <w:b/>
        </w:rPr>
        <w:t>La idea: el Estado y el derecho existen porque se reconocen, no porque tengan cuerpo. Son ficciones jurídicas, y una ficción declarada no es un vicio: se vuelve engaño cuando se presenta como un hecho natural.</w:t>
      </w:r>
    </w:p>
    <w:p>
      <w:r>
        <w:rPr>
          <w:b/>
        </w:rPr>
        <w:t>Conclusión, lo que arrojan los datos:</w:t>
      </w:r>
      <w:r>
        <w:t xml:space="preserve"> el Estado y el derecho son hechos que existen porque se reconocen, y la ley trata como persona a lo que no tiene cuerpo: es una ficción jurídica, y la ley la declara. En su origen se funda a sí mismo, como todo orden nuevo, y eso no prueba fraude. La ficción se vuelve maniobra camuflada (</w:t>
      </w:r>
      <w:r>
        <w:t>5.1</w:t>
      </w:r>
      <w:r>
        <w:t>) cuando se presenta como un hecho natural; y lo que distingue a un gobierno de otro son sus frutos.</w:t>
      </w:r>
    </w:p>
    <w:p>
      <w:pPr>
        <w:pStyle w:val="Heading2"/>
      </w:pPr>
      <w:r>
        <w:t>5.4 La raíz: la presunción en lugar del consentimiento</w:t>
      </w:r>
    </w:p>
    <w:p>
      <w:pPr>
        <w:pBdr>
          <w:left w:val="single" w:sz="24" w:space="6" w:color="E2DED6"/>
        </w:pBdr>
        <w:shd w:val="clear" w:color="auto" w:fill="F1EEE8"/>
        <w:spacing w:before="80" w:after="160"/>
        <w:ind w:left="142" w:right="142"/>
      </w:pPr>
      <w:r>
        <w:rPr>
          <w:b/>
        </w:rPr>
        <w:t>La idea: todas estas maniobras tienen una raíz común: la presunción ocupa el lugar del consentimiento. Y empieza el día en que se nace. Esa es la piedra que sostiene toda la obra: el pueblo no consintió; nació dentro y lo aceptó sin saberlo.</w:t>
      </w:r>
    </w:p>
    <w:p>
      <w:r>
        <w:rPr>
          <w:b/>
        </w:rPr>
        <w:t>Conclusión, lo que arrojan los datos:</w:t>
      </w:r>
      <w:r>
        <w:t xml:space="preserve"> cada presunción está escrita en una norma o medida en un dato, y todas juegan a favor del sistema. Alguna tiene justificación oficial: sin la presunción de validez ninguna administración podría funcionar, y se puede recurrir. Pero ninguna justifica la asimetría: el Estado se presume válido a sí mismo, mientras el consentimiento del ciudadano, que debería ser el punto de partida, se presume aunque nunca se dio.</w:t>
      </w:r>
    </w:p>
    <w:p>
      <w:r>
        <w:rPr>
          <w:b/>
        </w:rPr>
        <w:t>Conclusión, lo que arrojan los datos:</w:t>
      </w:r>
      <w:r>
        <w:t xml:space="preserve"> la ley obliga a comunicar cada nacimiento en setenta y dos horas, abre a cada nacido un registro y le asigna un código único e invariable en el tiempo. El interesado no puede consentir: las obligaciones llegan antes que la conciencia. Rousseau ya dijo que nadie puede dar a sus hijos de forma irrevocable; y La Boétie, que quien nace dentro lo toma por natural.</w:t>
      </w:r>
    </w:p>
    <w:p>
      <w:pPr>
        <w:pStyle w:val="Heading2"/>
      </w:pPr>
      <w:r>
        <w:t>5.5 Por qué ha durado</w:t>
      </w:r>
    </w:p>
    <w:p>
      <w:pPr>
        <w:pBdr>
          <w:left w:val="single" w:sz="24" w:space="6" w:color="E2DED6"/>
        </w:pBdr>
        <w:shd w:val="clear" w:color="auto" w:fill="F1EEE8"/>
        <w:spacing w:before="80" w:after="160"/>
        <w:ind w:left="142" w:right="142"/>
      </w:pPr>
      <w:r>
        <w:rPr>
          <w:b/>
        </w:rPr>
        <w:t>La idea: ninguna pieza, por separado, hace caer el edificio; juntas, impiden ver que no se sostiene. Y la costumbre hace el resto.</w:t>
      </w:r>
    </w:p>
    <w:p>
      <w:r>
        <w:rPr>
          <w:b/>
        </w:rPr>
        <w:t>Conclusión, lo que arrojan los datos:</w:t>
      </w:r>
      <w:r>
        <w:t xml:space="preserve"> ninguna de estas piezas, por separado, hace caer el edificio; juntas, impiden que se vea que no se sostiene. La quiebra no se puede declarar, la deuda aplaza el vencimiento, la moneda que pierde valor paga parte de la cuenta, la carga de la prueba recae en quien reclama y las palabras miran al efecto y no a la causa. Por eso ha podido durar más de lo que permitiría la vara que se aplica a cualquier persona o empresa. Y la costumbre lo sostiene: quien nace dentro lo toma por natural.</w:t>
      </w:r>
    </w:p>
    <w:p>
      <w:pPr>
        <w:pStyle w:val="Heading2"/>
      </w:pPr>
      <w:r>
        <w:t>Límite honesto de la prueba</w:t>
      </w:r>
    </w:p>
    <w:p>
      <w:pPr>
        <w:pStyle w:val="ListBullet"/>
      </w:pPr>
      <w:r>
        <w:rPr>
          <w:b/>
        </w:rPr>
        <w:t>No todo lo que se da por supuesto es falso por igual.</w:t>
      </w:r>
      <w:r>
        <w:t xml:space="preserve"> Unas creencias las contradice la norma («cotizo para mi propia jubilación», frente al reparto). Otras parten de un indicador correcto para lo que mide: la presión fiscal sobre el PIB es el estándar de la OCDE y de Eurostat, y sirve para comparar países; lo engañoso es tomarla como la carga que soporta cada persona. </w:t>
      </w:r>
    </w:p>
    <w:p>
      <w:pPr>
        <w:pStyle w:val="ListBullet"/>
      </w:pPr>
      <w:r>
        <w:rPr>
          <w:b/>
        </w:rPr>
        <w:t>Algunas presunciones tienen razón de ser.</w:t>
      </w:r>
      <w:r>
        <w:t xml:space="preserve"> Sin la presunción de validez ninguna administración podría funcionar, y todo acto se puede recurrir. La obra discute la asimetría, no que existan. </w:t>
      </w:r>
    </w:p>
    <w:p>
      <w:pPr>
        <w:pStyle w:val="ListBullet"/>
      </w:pPr>
      <w:r>
        <w:rPr>
          <w:b/>
        </w:rPr>
        <w:t>Una sociedad necesita un Estado</w:t>
      </w:r>
      <w:r>
        <w:t xml:space="preserve"> que coordine lo que es de todos: cuestionarlo todo no es negarlo todo. </w:t>
      </w:r>
    </w:p>
    <w:p>
      <w:pPr>
        <w:pStyle w:val="ListBullet"/>
      </w:pPr>
      <w:r>
        <w:rPr>
          <w:b/>
        </w:rPr>
        <w:t>La ficción jurídica es estructura, no prueba de fraude.</w:t>
      </w:r>
      <w:r>
        <w:t xml:space="preserve"> Todo orden nuevo, en ese sentido, se funda a sí mismo; y la persona jurídica también sirve a la vida (</w:t>
      </w:r>
      <w:r>
        <w:t>capítulo 4</w:t>
      </w:r>
      <w:r>
        <w:t xml:space="preserve">, «Límite honesto de la prueba»). </w:t>
      </w:r>
    </w:p>
    <w:p>
      <w:pPr>
        <w:pStyle w:val="ListBullet"/>
      </w:pPr>
      <w:r>
        <w:rPr>
          <w:b/>
        </w:rPr>
        <w:t>Inscribir el nacimiento protege al niño:</w:t>
      </w:r>
      <w:r>
        <w:t xml:space="preserve"> le da identidad, nacionalidad y acceso a sus derechos desde el primer día. La obra no lo discute; señala que la obligación llega antes que el consentimiento. </w:t>
      </w:r>
    </w:p>
    <w:p>
      <w:pPr>
        <w:pStyle w:val="ListBullet"/>
      </w:pPr>
      <w:r>
        <w:rPr>
          <w:b/>
        </w:rPr>
        <w:t>Las pensiones prometidas no son deuda que venza hoy:</w:t>
      </w:r>
      <w:r>
        <w:t xml:space="preserve"> el propio INE advierte que son el valor presente de pagos futuros. </w:t>
      </w:r>
    </w:p>
    <w:p>
      <w:pPr>
        <w:pStyle w:val="ListBullet"/>
      </w:pPr>
      <w:r>
        <w:rPr>
          <w:b/>
        </w:rPr>
        <w:t>Fuentes secundarias:</w:t>
      </w:r>
      <w:r>
        <w:t xml:space="preserve"> Searle, Derrida y Putnam se citan por fuente secundaria, porque no hay texto abierto para leerlos.</w:t>
      </w:r>
    </w:p>
    <w:p>
      <w:pPr>
        <w:pStyle w:val="ListBullet"/>
      </w:pPr>
      <w:r>
        <w:rPr>
          <w:b/>
        </w:rPr>
        <w:t>Lo que no entra:</w:t>
      </w:r>
      <w:r>
        <w:t xml:space="preserve"> las ediciones de la Academia entre 1925 y 1992, porque no se han podido consultar; y que «ninguna ley» obligue a explicar las normas en lenguaje llano, que no se ha buscado en todo el ordenamiento (lo leído, arriba). </w:t>
      </w:r>
    </w:p>
    <w:p>
      <w:pPr>
        <w:pStyle w:val="Heading2"/>
      </w:pPr>
      <w:r>
        <w:t>Dónde se oye la defensa del Estado</w:t>
      </w:r>
    </w:p>
    <w:p>
      <w:r>
        <w:t>La defensa del Estado frente a este capítulo, y lo que la obra le responde, se oyen en el juicio:</w:t>
      </w:r>
    </w:p>
    <w:p>
      <w:pPr>
        <w:pStyle w:val="ListBullet"/>
      </w:pPr>
      <w:r>
        <w:rPr>
          <w:b/>
        </w:rPr>
        <w:t>cada presunción del edificio es un cargo</w:t>
      </w:r>
      <w:r>
        <w:t xml:space="preserve"> (cargos 1 a 23, en </w:t>
      </w:r>
      <w:r>
        <w:t>11.3</w:t>
      </w:r>
      <w:r>
        <w:t>): allí se oyen la mejor defensa del Estado y los contrapuntos de la obra, presunción por presunción;</w:t>
      </w:r>
    </w:p>
    <w:p>
      <w:pPr>
        <w:pStyle w:val="ListBullet"/>
      </w:pPr>
      <w:r>
        <w:t xml:space="preserve">las de las creencias de </w:t>
      </w:r>
      <w:r>
        <w:t>5.1</w:t>
      </w:r>
      <w:r>
        <w:t xml:space="preserve"> van a esos mismos cargos; y, además, la de la presión fiscal y las cotizaciones, al </w:t>
      </w:r>
      <w:r>
        <w:t>cargo 25</w:t>
      </w:r>
      <w:r>
        <w:t xml:space="preserve"> (la carga), y la del amparo, al </w:t>
      </w:r>
      <w:r>
        <w:t>cargo 24</w:t>
      </w:r>
      <w:r>
        <w:t xml:space="preserve"> (la separación de poderes y los controles);</w:t>
      </w:r>
    </w:p>
    <w:p>
      <w:pPr>
        <w:pStyle w:val="ListBullet"/>
      </w:pPr>
      <w:r>
        <w:t>y, en las cuestiones previas (</w:t>
      </w:r>
      <w:r>
        <w:t>11.2</w:t>
      </w:r>
      <w:r>
        <w:t>), «la persona jurídica es una ficción necesaria» y «el Estado como construcción mental es una tesis ideológica».</w:t>
      </w:r>
    </w:p>
    <w:p>
      <w:pPr>
        <w:pStyle w:val="Heading2"/>
      </w:pPr>
      <w:r>
        <w:t>Para recordar</w:t>
      </w:r>
    </w:p>
    <w:p>
      <w:pPr>
        <w:pStyle w:val="ListBullet"/>
      </w:pPr>
      <w:r>
        <w:t>Muchas cosas que se dan por supuestas sobre el Estado no las dice ninguna ley: la hucha no guarda, la cotización no ahorra, la transparencia no suma y el derecho a la vivienda no se puede reclamar sin una ley que lo desarrolle.</w:t>
      </w:r>
    </w:p>
    <w:p>
      <w:pPr>
        <w:pStyle w:val="ListBullet"/>
      </w:pPr>
      <w:r>
        <w:t>Hasta las palabras cambian: «inflación» nombraba la emisión excesiva de moneda, y hoy nombra la subida de los precios.</w:t>
      </w:r>
    </w:p>
    <w:p>
      <w:pPr>
        <w:pStyle w:val="ListBullet"/>
      </w:pPr>
      <w:r>
        <w:t>El Estado se sostiene en presunciones que ponen la carga de la prueba en el ciudadano: sus actos se presumen válidos, la palabra de su agente hace prueba y la ignorancia de la ley no excusa.</w:t>
      </w:r>
    </w:p>
    <w:p>
      <w:pPr>
        <w:pStyle w:val="ListBullet"/>
      </w:pPr>
      <w:r>
        <w:t>Frente a cada presunción, la ley de Dios dice otra cosa: el sí se dice, la medida es cabal, lo confiado se devuelve entero y quien administra da cuenta.</w:t>
      </w:r>
    </w:p>
    <w:p>
      <w:pPr>
        <w:pStyle w:val="ListBullet"/>
      </w:pPr>
      <w:r>
        <w:t>El Estado y el derecho son ficciones jurídicas: existen porque se reconocen. No es un vicio mientras se declare; lo que los distingue son sus frutos.</w:t>
      </w:r>
    </w:p>
    <w:p>
      <w:pPr>
        <w:pStyle w:val="ListBullet"/>
      </w:pPr>
      <w:r>
        <w:t>La raíz es la presunción en lugar del consentimiento, y empieza al nacer: un registro y un código en setenta y dos horas, cuando el interesado tiene cero días. Esa es la piedra que sostiene toda la obra: el pueblo no consintió; nació dentro y lo aceptó sin saberlo.</w:t>
      </w:r>
    </w:p>
    <w:p>
      <w:pPr>
        <w:pStyle w:val="ListBullet"/>
      </w:pPr>
      <w:r>
        <w:t>Ha durado porque sus piezas se sostienen unas a otras, y porque quien nace dentro lo toma por natural. Lo que se sostiene solo en presunciones se disuelve cuando se pide la prueba.</w:t>
      </w:r>
    </w:p>
    <w:p>
      <w:pPr>
        <w:pStyle w:val="ListBullet"/>
      </w:pPr>
      <w:r>
        <w:rPr>
          <w:b/>
        </w:rPr>
        <w:t>Lo que aquí se expone que hay que podar (lectura del autor):</w:t>
      </w:r>
      <w:r>
        <w:t xml:space="preserve"> la presunción en el lugar del consentimiento: dar por consentido, desde el nacimiento, lo que el pueblo no consintió, y poner en el ciudadano la carga de la prueba.</w:t>
      </w:r>
    </w:p>
    <w:p>
      <w:pPr>
        <w:pStyle w:val="ListBullet"/>
      </w:pPr>
      <w:r>
        <w:rPr>
          <w:b/>
        </w:rPr>
        <w:t>Lo siguiente:</w:t>
      </w:r>
      <w:r>
        <w:t xml:space="preserve"> cómo se construyó el Estado: con qué ideas se justificó, cómo se proclama a sí mismo y qué frenos se pensaron para que no abuse (</w:t>
      </w:r>
      <w:r>
        <w:t>capítulo 6</w:t>
      </w:r>
      <w:r>
        <w:t>).</w:t>
      </w:r>
    </w:p>
    <w:p>
      <w:r>
        <w:br w:type="page"/>
      </w:r>
    </w:p>
    <w:p>
      <w:pPr>
        <w:pStyle w:val="Heading1"/>
      </w:pPr>
      <w:r>
        <w:t>6 Cómo se construyó el Estado</w:t>
      </w:r>
    </w:p>
    <w:p>
      <w:pPr>
        <w:spacing w:after="200"/>
      </w:pPr>
      <w:r>
        <w:rPr>
          <w:rFonts w:ascii="Segoe UI" w:hAnsi="Segoe UI" w:eastAsia="Segoe UI" w:cs="Segoe UI"/>
          <w:color w:val="6B665E"/>
          <w:sz w:val="17"/>
        </w:rPr>
        <w:t>Primera versión: 5 de octubre de 2026 · Última revisión: 12 de octubre de 2026 · Cambios anotados en el capítulo: 5 · Citas leídas en su fuente: 115</w:t>
      </w:r>
    </w:p>
    <w:p>
      <w:pPr>
        <w:pBdr>
          <w:left w:val="single" w:sz="24" w:space="6" w:color="E2DED6"/>
        </w:pBdr>
        <w:shd w:val="clear" w:color="auto" w:fill="F1EEE8"/>
        <w:spacing w:before="80" w:after="160"/>
        <w:ind w:left="142" w:right="142"/>
      </w:pPr>
      <w:r>
        <w:rPr>
          <w:b/>
        </w:rPr>
        <w:t>En pocas palabras:</w:t>
      </w:r>
    </w:p>
    <w:p>
      <w:pPr>
        <w:pStyle w:val="ListBullet"/>
      </w:pPr>
      <w:r>
        <w:t>El contrato social no es un documento: es una idea para explicar por qué se obedece. Sus propios autores lo dijeron. Kant lo llamó «una mera idea de la razón», y Hume escribió que casi todos los gobiernos nacieron de la usurpación o de la conquista.</w:t>
      </w:r>
    </w:p>
    <w:p>
      <w:pPr>
        <w:pStyle w:val="ListBullet"/>
      </w:pPr>
      <w:r>
        <w:t>Hobbes, Locke y Rousseau rellenaron esa idea de tres maneras que no casan entre sí. Y hay un caso documentado de un poder que tomó de ella lo que lo legitimaba y dejó lo que lo limitaba: Francia, en 1793.</w:t>
      </w:r>
    </w:p>
    <w:p>
      <w:pPr>
        <w:pStyle w:val="ListBullet"/>
      </w:pPr>
      <w:r>
        <w:t>Ningún Estado recibió su autoridad de nadie por encima, y el derecho internacional lo escribe así. Cuando además un poder se declara el único que conoce la voluntad de Dios o el bien común, y deja de admitir corrección, se autoproclama. Ha pasado en Egipto, en Roma, en Japón, en la cristiandad medieval y en la monarquía absoluta.</w:t>
      </w:r>
    </w:p>
    <w:p>
      <w:pPr>
        <w:pStyle w:val="ListBullet"/>
      </w:pPr>
      <w:r>
        <w:t>Gobernar y poseer se separaron por ley en España en 1811. Y desde el siglo XVI, ni el poder más absoluto podía tomar el bien ajeno sin causa justa.</w:t>
      </w:r>
    </w:p>
    <w:p>
      <w:pPr>
        <w:pStyle w:val="ListBullet"/>
      </w:pPr>
      <w:r>
        <w:t>En España, el acceso al poder es mixto: hay sanciones, tribunales y partidos nuevos; y los controladores los eligen los controlados, hay barreras de entrada, y la iniciativa popular no puede tocar la ley electoral ni los impuestos.</w:t>
      </w:r>
    </w:p>
    <w:p>
      <w:pPr>
        <w:pStyle w:val="ListBullet"/>
      </w:pPr>
      <w:r>
        <w:t>El freno que pensó Montesquieu es «que el poder frene al poder». El último recurso, la rebelión, lo nombra la Declaración Universal para que no haga falta. La obra no lo propone: su vía es la constancia escrita.</w:t>
      </w:r>
    </w:p>
    <w:p>
      <w:pPr>
        <w:pStyle w:val="Heading2"/>
      </w:pPr>
      <w:r>
        <w:t>6.1 El contrato que nadie firmó</w:t>
      </w:r>
    </w:p>
    <w:p>
      <w:pPr>
        <w:pBdr>
          <w:left w:val="single" w:sz="24" w:space="6" w:color="E2DED6"/>
        </w:pBdr>
        <w:shd w:val="clear" w:color="auto" w:fill="F1EEE8"/>
        <w:spacing w:before="80" w:after="160"/>
        <w:ind w:left="142" w:right="142"/>
      </w:pPr>
      <w:r>
        <w:rPr>
          <w:b/>
        </w:rPr>
        <w:t>La idea: el contrato social no es un documento, sino una idea para explicar por qué se obedece. Sus autores la presentaron así, y el poder tomó de ella lo que le servía.</w:t>
      </w:r>
    </w:p>
    <w:p>
      <w:pPr>
        <w:pStyle w:val="Heading3"/>
      </w:pPr>
      <w:r>
        <w:t>Tres maneras de rellenar la misma idea</w:t>
      </w:r>
    </w:p>
    <w:p>
      <w:pPr>
        <w:pStyle w:val="Heading3"/>
      </w:pPr>
      <w:r>
        <w:t>Una idea, no un hecho: lo dijeron sus autores</w:t>
      </w:r>
    </w:p>
    <w:p>
      <w:pPr>
        <w:pStyle w:val="Heading3"/>
      </w:pPr>
      <w:r>
        <w:t>Lo que se tomó y lo que se dejó</w:t>
      </w:r>
    </w:p>
    <w:p>
      <w:r>
        <w:rPr>
          <w:b/>
        </w:rPr>
        <w:t>Conclusión, lo que arrojan los datos:</w:t>
      </w:r>
      <w:r>
        <w:t xml:space="preserve"> el contrato social es una idea, y sus autores lo dijeron: para Kant, «una mera idea de la razón»; para Hume, casi todos los gobiernos nacieron de la usurpación o la conquista. Tres autores la rellenaron de tres maneras que no casan entre sí. Y hay un caso documentado de un poder que tomó la pieza que lo legitimaba, la voluntad general, sin la condición que la limitaba: en 1793, la Constitución de derechos se apartó, la que la sustituyó nunca entró en vigor, y se propuso un gobierno revolucionario «hasta la paz». Lo que no prueba: que toda invocación de la voluntad general sea un abuso. Hay usos democráticos con deliberación real y con los frenos que el propio Rousseau pedía.</w:t>
      </w:r>
    </w:p>
    <w:p>
      <w:pPr>
        <w:pStyle w:val="Heading2"/>
      </w:pPr>
      <w:r>
        <w:t>6.2 Cómo se autoproclama un Estado</w:t>
      </w:r>
    </w:p>
    <w:p>
      <w:pPr>
        <w:pBdr>
          <w:left w:val="single" w:sz="24" w:space="6" w:color="E2DED6"/>
        </w:pBdr>
        <w:shd w:val="clear" w:color="auto" w:fill="F1EEE8"/>
        <w:spacing w:before="80" w:after="160"/>
        <w:ind w:left="142" w:right="142"/>
      </w:pPr>
      <w:r>
        <w:rPr>
          <w:b/>
        </w:rPr>
        <w:t>La idea: ningún Estado recibió su autoridad de nadie por encima. La tiene porque la ejerce y porque otros se la reconocen. Cuando además se declara el único intérprete de la voluntad de Dios o del bien común, y deja de admitir corrección, se autoproclama.</w:t>
      </w:r>
    </w:p>
    <w:p>
      <w:pPr>
        <w:pStyle w:val="Heading3"/>
      </w:pPr>
      <w:r>
        <w:t>Del aprendiz al ser superior</w:t>
      </w:r>
    </w:p>
    <w:p>
      <w:r>
        <w:rPr>
          <w:b/>
        </w:rPr>
        <w:t>Conclusión, lo que arrojan los datos:</w:t>
      </w:r>
      <w:r>
        <w:t xml:space="preserve"> lo que distingue a quien gobierna con justicia no es una condición alcanzada de una vez, como muestra Salomón, sino mantener cada día la disposición de aprendiz: saber que puede estar equivocado y aceptar que lo corrijan. En los casos vistos, el cierre por dentro, creerse en posesión exclusiva de la verdad, precede al cierre de los frenos de fuera: concilios, parlamentos y tribunales. Los griegos tenían palabra para eso, </w:t>
      </w:r>
      <w:r>
        <w:rPr>
          <w:i/>
        </w:rPr>
        <w:t>hybris</w:t>
      </w:r>
      <w:r>
        <w:t>, la desmesura del mortal que se iguala a los dioses, y el coro de Sófocles lo resume: «la insolencia engendra al tirano»</w:t>
      </w:r>
      <w:r>
        <w:t xml:space="preserve"> (Sófocles, Edipo rey, 873)</w:t>
      </w:r>
      <w:r>
        <w:br/>
      </w:r>
      <w:r>
        <w:rPr>
          <w:b/>
        </w:rPr>
        <w:t>leída en su fuente · Sófocles, Edipo rey, 873</w:t>
      </w:r>
      <w:r>
        <w:br/>
      </w:r>
      <w:r>
        <w:rPr>
          <w:b/>
        </w:rPr>
        <w:t>Original donde está:</w:t>
      </w:r>
      <w:r>
        <w:t xml:space="preserve"> sofocles_edipo_rey_grc_perseus.xml</w:t>
      </w:r>
      <w:r>
        <w:br/>
      </w:r>
      <w:r>
        <w:t>El pasaje literal no está en el archivo de pasajes con este comienzo; la auditoría lo halló en ese original.</w:t>
      </w:r>
      <w:r>
        <w:t>. Lo que no prueba: siete casos no hacen una ley; son casos con fecha y fuente, con sus límites.</w:t>
      </w:r>
    </w:p>
    <w:p>
      <w:pPr>
        <w:pStyle w:val="Heading2"/>
      </w:pPr>
      <w:r>
        <w:t>6.3 Propiedad y poder</w:t>
      </w:r>
    </w:p>
    <w:p>
      <w:pPr>
        <w:pBdr>
          <w:left w:val="single" w:sz="24" w:space="6" w:color="E2DED6"/>
        </w:pBdr>
        <w:shd w:val="clear" w:color="auto" w:fill="F1EEE8"/>
        <w:spacing w:before="80" w:after="160"/>
        <w:ind w:left="142" w:right="142"/>
      </w:pPr>
      <w:r>
        <w:rPr>
          <w:b/>
        </w:rPr>
        <w:t>La idea: el poder de gobernar y el derecho a poseer estuvieron unidos durante siglos. En España, la ley los separó en 1811. Y desde el siglo XVI, hasta el poder más absoluto tenía un límite: no tomar el bien ajeno sin causa justa.</w:t>
      </w:r>
    </w:p>
    <w:p>
      <w:r>
        <w:rPr>
          <w:b/>
        </w:rPr>
        <w:t>Conclusión, lo que arrojan los datos:</w:t>
      </w:r>
      <w:r>
        <w:t xml:space="preserve"> gobernar y poseer no son lo mismo. En España, su separación tiene fecha y ley, 1811, y su límite es más antiguo: ni el poder absoluto de Bodino podía tomar el bien ajeno sin causa justa. Y ninguna dominación se conforma con ser obedecida: necesita que se crea en su legitimidad.</w:t>
      </w:r>
    </w:p>
    <w:p>
      <w:pPr>
        <w:pStyle w:val="Heading2"/>
      </w:pPr>
      <w:r>
        <w:t>6.4 El acceso al poder: cinco pensadores y siete casos</w:t>
      </w:r>
    </w:p>
    <w:p>
      <w:pPr>
        <w:pBdr>
          <w:left w:val="single" w:sz="24" w:space="6" w:color="E2DED6"/>
        </w:pBdr>
        <w:shd w:val="clear" w:color="auto" w:fill="F1EEE8"/>
        <w:spacing w:before="80" w:after="160"/>
        <w:ind w:left="142" w:right="142"/>
      </w:pPr>
      <w:r>
        <w:rPr>
          <w:b/>
        </w:rPr>
        <w:t>La idea: ¿el poder cambia de máscara pero es siempre lo mismo? Cinco pensadores, de Ibn Jaldún en el siglo XIV a Tilly en el XX, dicen que gobierna siempre una minoría. Un estudio reciente mide que una parte de los países ha salido de ese orden. España está en un punto mixto, y se puede decir dónde.</w:t>
      </w:r>
    </w:p>
    <w:p>
      <w:pPr>
        <w:pStyle w:val="Heading3"/>
      </w:pPr>
      <w:r>
        <w:t>Siete piezas de España</w:t>
      </w:r>
    </w:p>
    <w:p>
      <w:r>
        <w:rPr>
          <w:b/>
        </w:rPr>
        <w:t>Conclusión, lo que arrojan los datos:</w:t>
      </w:r>
      <w:r>
        <w:t xml:space="preserve"> las dos respuestas extremas no se sostienen. España no es un orden de acceso limitado puro: hay sanciones, disoluciones judiciales, sentencias que anulan y partidos nuevos que han entrado. Tampoco es de acceso abierto puro: el propio Tribunal Constitucional admitió la tensión del Consejo General del Poder Judicial; los órganos de control (ese Consejo, el Tribunal de Cuentas y parte del Constitucional) los eligen las Cámaras por tres quintos, es decir, los partidos a los que controlan; las reglas electorales dificultan la entrada; y la iniciativa popular no puede tocar las leyes que deciden quién gobierna. Es una posición mixta, y se puede decir dónde falla.</w:t>
      </w:r>
    </w:p>
    <w:p>
      <w:pPr>
        <w:pStyle w:val="Heading2"/>
      </w:pPr>
      <w:r>
        <w:t>6.5 La separación de poderes y el derecho de resistencia</w:t>
      </w:r>
    </w:p>
    <w:p>
      <w:pPr>
        <w:pBdr>
          <w:left w:val="single" w:sz="24" w:space="6" w:color="E2DED6"/>
        </w:pBdr>
        <w:shd w:val="clear" w:color="auto" w:fill="F1EEE8"/>
        <w:spacing w:before="80" w:after="160"/>
        <w:ind w:left="142" w:right="142"/>
      </w:pPr>
      <w:r>
        <w:rPr>
          <w:b/>
        </w:rPr>
        <w:t>La idea: Montesquieu respondió cómo se evita que el poder abuse: que el poder frene al poder. Locke, qué pasa cuando ya no frena: el gobierno que traiciona su encargo se disuelve a sí mismo. Y la rebelión es el último recurso, que la Declaración Universal quiere hacer innecesario.</w:t>
      </w:r>
    </w:p>
    <w:p>
      <w:r>
        <w:rPr>
          <w:b/>
        </w:rPr>
        <w:t>Conclusión, lo que arrojan los datos:</w:t>
      </w:r>
      <w:r>
        <w:t xml:space="preserve"> la separación de poderes es un diseño, no un acto de confianza: que el poder frene al poder. Locke añade que la tiranía se mide por el ejercicio, no por el origen, y que es el gobierno que traiciona su encargo el que se disuelve primero. La Declaración Universal nombra la rebelión como el recurso que un régimen de derecho debe hacer innecesario.</w:t>
      </w:r>
    </w:p>
    <w:p>
      <w:pPr>
        <w:pStyle w:val="Heading2"/>
      </w:pPr>
      <w:r>
        <w:t>Límite honesto de la prueba</w:t>
      </w:r>
    </w:p>
    <w:p>
      <w:pPr>
        <w:pStyle w:val="ListBullet"/>
      </w:pPr>
      <w:r>
        <w:rPr>
          <w:b/>
        </w:rPr>
        <w:t>El contrato social como idea no prueba fraude.</w:t>
      </w:r>
      <w:r>
        <w:t xml:space="preserve"> Una ficción declarada no es un vicio (</w:t>
      </w:r>
      <w:r>
        <w:t>5.3</w:t>
      </w:r>
      <w:r>
        <w:t xml:space="preserve">), y que sus autores lo presentaran como idea es honestidad, no engaño. La asimetría está en el uso que se hizo después. </w:t>
      </w:r>
    </w:p>
    <w:p>
      <w:pPr>
        <w:pStyle w:val="ListBullet"/>
      </w:pPr>
      <w:r>
        <w:rPr>
          <w:b/>
        </w:rPr>
        <w:t>1793 es un caso, no una ley.</w:t>
      </w:r>
      <w:r>
        <w:t xml:space="preserve"> Prueba que el patrón ocurrió, no que toda invocación de la voluntad general sea un abuso. Y el estudio más reciente discute que Robespierre fuera una aplicación de Rousseau. </w:t>
      </w:r>
    </w:p>
    <w:p>
      <w:pPr>
        <w:pStyle w:val="ListBullet"/>
      </w:pPr>
      <w:r>
        <w:rPr>
          <w:b/>
        </w:rPr>
        <w:t>Los casos de autoproclamación son siete</w:t>
      </w:r>
      <w:r>
        <w:t xml:space="preserve">, con fecha y fuente. No prueban que todo poder acabe así, ni que todo el que se sabe aprendiz gobierne bien: Salomón. </w:t>
      </w:r>
    </w:p>
    <w:p>
      <w:pPr>
        <w:pStyle w:val="ListBullet"/>
      </w:pPr>
      <w:r>
        <w:rPr>
          <w:b/>
        </w:rPr>
        <w:t>El pacto de 1978 fue real:</w:t>
      </w:r>
      <w:r>
        <w:t xml:space="preserve"> lo redactó una ponencia de siete diputados, lo votó una amplia mayoría y se ratificó en referéndum. Lo que la obra discute es que obligue a quien no lo votó (</w:t>
      </w:r>
      <w:r>
        <w:t>11.3</w:t>
      </w:r>
      <w:r>
        <w:t xml:space="preserve">, </w:t>
      </w:r>
      <w:r>
        <w:t>cargo 11</w:t>
      </w:r>
      <w:r>
        <w:t xml:space="preserve">). </w:t>
      </w:r>
    </w:p>
    <w:p>
      <w:pPr>
        <w:pStyle w:val="ListBullet"/>
      </w:pPr>
      <w:r>
        <w:rPr>
          <w:b/>
        </w:rPr>
        <w:t>Las barreras electorales son legales</w:t>
      </w:r>
      <w:r>
        <w:t xml:space="preserve"> y las han avalado el Constitucional y el Tribunal Europeo de Derechos Humanos; su fin declarado es evitar la fragmentación. Que favorezcan a los grandes es un efecto que describe el Consejo de Estado, no un propósito probado. </w:t>
      </w:r>
    </w:p>
    <w:p>
      <w:pPr>
        <w:pStyle w:val="ListBullet"/>
      </w:pPr>
      <w:r>
        <w:rPr>
          <w:b/>
        </w:rPr>
        <w:t>Los índices miden percepción y gobernanza,</w:t>
      </w:r>
      <w:r>
        <w:t xml:space="preserve"> no patrimonialismo: ningún organismo da un porcentaje de eso. </w:t>
      </w:r>
    </w:p>
    <w:p>
      <w:pPr>
        <w:pStyle w:val="ListBullet"/>
      </w:pPr>
      <w:r>
        <w:rPr>
          <w:b/>
        </w:rPr>
        <w:t>Fuentes secundarias:</w:t>
      </w:r>
      <w:r>
        <w:t xml:space="preserve"> Straehle, Berlin, Cordero y Aldunate, Pita Broncano, el Centro Memorial de las Víctimas del Terrorismo (2020) y Buesa (2022), para las muertes de 1980, y, para la Operación Galaxia y la Isla de las Rosas, Muñoz Bolaños (2012), Zugasti (2008) y Calabrese (2024). Tilly, solo por el título.</w:t>
      </w:r>
    </w:p>
    <w:p>
      <w:pPr>
        <w:pStyle w:val="ListBullet"/>
      </w:pPr>
      <w:r>
        <w:rPr>
          <w:b/>
        </w:rPr>
        <w:t>Los recuentos de 1980 y de las multas.</w:t>
      </w:r>
      <w:r>
        <w:t xml:space="preserve"> Para 1980 no hay una cifra única: el Centro Memorial cuenta 132 muertos por todo el terrorismo, la Cronología de la Guardia Civil 97 de ETA y «Vidas rotas» uno más, y la obra no ha leído el libro del Memorial entero. El recuento de las multas es de la obra, hecho por programa sobre dos listados en PDF con celdas combinadas, y puede diferir en unas pocas filas de otros recuentos.</w:t>
      </w:r>
    </w:p>
    <w:p>
      <w:pPr>
        <w:pStyle w:val="ListBullet"/>
      </w:pPr>
      <w:r>
        <w:rPr>
          <w:b/>
        </w:rPr>
        <w:t>Lo que no entra:</w:t>
      </w:r>
      <w:r>
        <w:t xml:space="preserve"> la frase de Furet (no se ha localizado); Kling y Vírgala (sin acceso a su texto); el «sindicato del crimen» de North, Wallis y Weingast (no está en el texto leído); las siete condenas de siete por delitos de opinión (sin el estudio); las tres condiciones de la rebelión legítima (sin un texto que las fije); la muerte de Condorcet (no se ha leído en fuente); Sealand, Liberland y Minerva (solo enciclopedia); y el pasaje de Westfalia, que no existe. </w:t>
      </w:r>
    </w:p>
    <w:p>
      <w:pPr>
        <w:pStyle w:val="Heading2"/>
      </w:pPr>
      <w:r>
        <w:t>Dónde se oye la defensa del Estado</w:t>
      </w:r>
    </w:p>
    <w:p>
      <w:r>
        <w:t>La defensa del Estado frente a este capítulo, y lo que la obra le responde, se oyen en el juicio:</w:t>
      </w:r>
    </w:p>
    <w:p>
      <w:pPr>
        <w:pStyle w:val="ListBullet"/>
      </w:pPr>
      <w:r>
        <w:t xml:space="preserve">«La Constitución de 1978 es el contrato»: </w:t>
      </w:r>
      <w:r>
        <w:t>cargo 11</w:t>
      </w:r>
      <w:r>
        <w:t xml:space="preserve"> (</w:t>
      </w:r>
      <w:r>
        <w:t>11.3</w:t>
      </w:r>
      <w:r>
        <w:t>);</w:t>
      </w:r>
    </w:p>
    <w:p>
      <w:pPr>
        <w:pStyle w:val="ListBullet"/>
      </w:pPr>
      <w:r>
        <w:t xml:space="preserve">«La autoridad no nace de un título superior»: </w:t>
      </w:r>
      <w:r>
        <w:t>cargo 2</w:t>
      </w:r>
      <w:r>
        <w:t>;</w:t>
      </w:r>
    </w:p>
    <w:p>
      <w:pPr>
        <w:pStyle w:val="ListBullet"/>
      </w:pPr>
      <w:r>
        <w:t>«Nadie puede declararse exento de la ley»: en las cuestiones previas (</w:t>
      </w:r>
      <w:r>
        <w:t>11.2</w:t>
      </w:r>
      <w:r>
        <w:t>);</w:t>
      </w:r>
    </w:p>
    <w:p>
      <w:pPr>
        <w:pStyle w:val="ListBullet"/>
      </w:pPr>
      <w:r>
        <w:t xml:space="preserve">«La separación de 1811 se cumple»: </w:t>
      </w:r>
      <w:r>
        <w:t>cargo 13</w:t>
      </w:r>
      <w:r>
        <w:t xml:space="preserve">; y «el impuesto es legítimo porque lo aprueba la ley»: </w:t>
      </w:r>
      <w:r>
        <w:t>cargo 7</w:t>
      </w:r>
      <w:r>
        <w:t>;</w:t>
      </w:r>
    </w:p>
    <w:p>
      <w:pPr>
        <w:pStyle w:val="ListBullet"/>
      </w:pPr>
      <w:r>
        <w:t xml:space="preserve">el Tribunal de Cuentas y la separación de poderes: </w:t>
      </w:r>
      <w:r>
        <w:t>cargo 24</w:t>
      </w:r>
      <w:r>
        <w:t xml:space="preserve">; y los avales y las barreras de entrada: </w:t>
      </w:r>
      <w:r>
        <w:t>cargo 6</w:t>
      </w:r>
      <w:r>
        <w:t>.</w:t>
      </w:r>
    </w:p>
    <w:p>
      <w:pPr>
        <w:pStyle w:val="Heading2"/>
      </w:pPr>
      <w:r>
        <w:t>Para recordar</w:t>
      </w:r>
    </w:p>
    <w:p>
      <w:pPr>
        <w:pStyle w:val="ListBullet"/>
      </w:pPr>
      <w:r>
        <w:t>El contrato social es una idea, no un documento: Kant la llamó «una mera idea de la razón», y Hume escribió que casi todos los gobiernos nacieron de la usurpación o de la conquista.</w:t>
      </w:r>
    </w:p>
    <w:p>
      <w:pPr>
        <w:pStyle w:val="ListBullet"/>
      </w:pPr>
      <w:r>
        <w:t>Hobbes, Locke y Rousseau la rellenaron de tres maneras: el miedo, los derechos que ya existían y la voluntad general.</w:t>
      </w:r>
    </w:p>
    <w:p>
      <w:pPr>
        <w:pStyle w:val="ListBullet"/>
      </w:pPr>
      <w:r>
        <w:t>En 1793, el poder tomó la voluntad general y dejó lo que la limitaba: dos constituciones, y ninguna en vigor.</w:t>
      </w:r>
    </w:p>
    <w:p>
      <w:pPr>
        <w:pStyle w:val="ListBullet"/>
      </w:pPr>
      <w:r>
        <w:t>Un Estado existe sin que nadie se lo conceda (Montevideo, 1933). Se autoproclama cuando además se declara el único intérprete del bien y deja de admitir corrección. «La insolencia engendra al tirano».</w:t>
      </w:r>
    </w:p>
    <w:p>
      <w:pPr>
        <w:pStyle w:val="ListBullet"/>
      </w:pPr>
      <w:r>
        <w:t>Gobernar y poseer se separaron por ley en España en 1811; y ni el poder absoluto de Bodino podía tomar el bien ajeno sin causa justa.</w:t>
      </w:r>
    </w:p>
    <w:p>
      <w:pPr>
        <w:pStyle w:val="ListBullet"/>
      </w:pPr>
      <w:r>
        <w:t>En España, el acceso al poder es mixto: hay sanciones, tribunales y partidos nuevos; y los controladores los eligen los controlados, hay barreras de entrada, y la iniciativa popular no toca la ley electoral ni los impuestos.</w:t>
      </w:r>
    </w:p>
    <w:p>
      <w:pPr>
        <w:pStyle w:val="ListBullet"/>
      </w:pPr>
      <w:r>
        <w:t>«Que el poder frene al poder»: Montesquieu. La rebelión es el último recurso, que un régimen de derecho debe hacer innecesario. La obra no la propone: su vía es la constancia escrita.</w:t>
      </w:r>
    </w:p>
    <w:p>
      <w:pPr>
        <w:pStyle w:val="ListBullet"/>
      </w:pPr>
      <w:r>
        <w:rPr>
          <w:b/>
        </w:rPr>
        <w:t>Lo que aquí se expone que hay que podar (lectura del autor):</w:t>
      </w:r>
      <w:r>
        <w:t xml:space="preserve"> el contrato social dado por firmado, cuando es una idea y no un documento; y el poder que se declara el único intérprete del bien y deja de admitir corrección.</w:t>
      </w:r>
    </w:p>
    <w:p>
      <w:pPr>
        <w:pStyle w:val="ListBullet"/>
      </w:pPr>
      <w:r>
        <w:rPr>
          <w:b/>
        </w:rPr>
        <w:t>Lo siguiente:</w:t>
      </w:r>
      <w:r>
        <w:t xml:space="preserve"> de la teoría a los hechos de España: la Constitución, artículo por artículo (</w:t>
      </w:r>
      <w:r>
        <w:t>capítulo 7</w:t>
      </w:r>
      <w:r>
        <w:t>).</w:t>
      </w:r>
    </w:p>
    <w:p>
      <w:r>
        <w:br w:type="page"/>
      </w:r>
    </w:p>
    <w:p>
      <w:pPr>
        <w:pStyle w:val="Heading1"/>
      </w:pPr>
      <w:r>
        <w:t>7 La auditoría: la Constitución frente a los hechos</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Si la Constitución es la traducción escrita del contrato social, la pregunta de si se cumple se puede partir en 169 preguntas comprobables, una por artículo: la norma, el hecho y su fuente.</w:t>
      </w:r>
    </w:p>
    <w:p>
      <w:pPr>
        <w:pStyle w:val="ListBullet"/>
      </w:pPr>
      <w:r>
        <w:t>La auditoría da 93 artículos que se cumplen, 69 que no y 7 pendientes. En 23 de los 69 ya hay una declaración formal de un tribunal o de un organismo externo.</w:t>
      </w:r>
    </w:p>
    <w:p>
      <w:pPr>
        <w:pStyle w:val="ListBullet"/>
      </w:pPr>
      <w:r>
        <w:t>El incumplimiento no se reparte igual: recae en el 62,1 % de los artículos que afectan al ciudadano y en el 27,2 % de los que organizan el poder. Y cuando el freno de otro poder actúa, corrige al poder en el 26,32 % de los casos, y protege al ciudadano en el 4,65 %.</w:t>
      </w:r>
    </w:p>
    <w:p>
      <w:pPr>
        <w:pStyle w:val="ListBullet"/>
      </w:pPr>
      <w:r>
        <w:t>Cada pieza, sola, es defendible. Juntas, forman un cuerpo que ninguna explica sola.</w:t>
      </w:r>
    </w:p>
    <w:p>
      <w:pPr>
        <w:pStyle w:val="ListBullet"/>
      </w:pPr>
      <w:r>
        <w:t>Una norma puede seguir en pie y haberse vaciado: es la corrupción de la forma. Y se mide como mide el propio Tribunal de Cuentas: por los resultados.</w:t>
      </w:r>
    </w:p>
    <w:p>
      <w:pPr>
        <w:pStyle w:val="ListBullet"/>
      </w:pPr>
      <w:r>
        <w:t>El cobro del Estado está blindado, y sus deberes con el ciudadano, aplazados: lo uno se ejecuta sin juez; lo otro no se puede pedir a un juez sin una ley que lo desarrolle.</w:t>
      </w:r>
    </w:p>
    <w:p>
      <w:pPr>
        <w:pStyle w:val="ListBullet"/>
      </w:pPr>
      <w:r>
        <w:t>Algunos diseños legales enfrentan a la gente sin que nadie actúe de mala fe: obligan a decidir deprisa con la prueba incompleta.</w:t>
      </w:r>
    </w:p>
    <w:p>
      <w:pPr>
        <w:pStyle w:val="ListBullet"/>
      </w:pPr>
      <w:r>
        <w:t>Nada de esto es la tiranía sistemática que la teoría pide para el derecho de resistencia (</w:t>
      </w:r>
      <w:r>
        <w:t>6.5</w:t>
      </w:r>
      <w:r>
        <w:t>): los frenos actúan, a veces. Es una asimetría medida.</w:t>
      </w:r>
    </w:p>
    <w:p>
      <w:pPr>
        <w:pStyle w:val="Heading2"/>
      </w:pPr>
      <w:r>
        <w:t>7.1 El método: auditar el contrato social</w:t>
      </w:r>
    </w:p>
    <w:p>
      <w:pPr>
        <w:pBdr>
          <w:left w:val="single" w:sz="24" w:space="6" w:color="E2DED6"/>
        </w:pBdr>
        <w:shd w:val="clear" w:color="auto" w:fill="F1EEE8"/>
        <w:spacing w:before="80" w:after="160"/>
        <w:ind w:left="142" w:right="142"/>
      </w:pPr>
      <w:r>
        <w:rPr>
          <w:b/>
        </w:rPr>
        <w:t>La idea: «¿se cumple el contrato social?» no tiene respuesta comprobable así formulada. Pero si la Constitución es su traducción escrita, la pregunta se parte en 169 preguntas que sí la tienen.</w:t>
      </w:r>
    </w:p>
    <w:p>
      <w:r>
        <w:rPr>
          <w:b/>
        </w:rPr>
        <w:t>Conclusión, lo que arrojan los datos:</w:t>
      </w:r>
      <w:r>
        <w:t xml:space="preserve"> la Constitución se puede auditar artículo por artículo, con fuente, sin opinar. Se cumplen 93 de 169 artículos, y en 23 de los 69 incumplidos ya hay declaración formal externa. Y aparece una asimetría medible: el sistema resuelve mejor sus conflictos internos que sus obligaciones con el ciudadano. Lo que no prueba: una ruptura del pacto en el sentido que la teoría clásica reserva para su último recurso.</w:t>
      </w:r>
    </w:p>
    <w:p>
      <w:pPr>
        <w:pStyle w:val="Heading2"/>
      </w:pPr>
      <w:r>
        <w:t>7.2 El método de Núremberg</w:t>
      </w:r>
    </w:p>
    <w:p>
      <w:pPr>
        <w:pBdr>
          <w:left w:val="single" w:sz="24" w:space="6" w:color="E2DED6"/>
        </w:pBdr>
        <w:shd w:val="clear" w:color="auto" w:fill="F1EEE8"/>
        <w:spacing w:before="80" w:after="160"/>
        <w:ind w:left="142" w:right="142"/>
      </w:pPr>
      <w:r>
        <w:rPr>
          <w:b/>
        </w:rPr>
        <w:t>La idea: el poder no se juzga con relatos, sino con sus propios documentos. Quince normas, cada una frente al hecho que le sigue.</w:t>
      </w:r>
    </w:p>
    <w:p>
      <w:pPr>
        <w:pStyle w:val="Heading2"/>
      </w:pPr>
      <w:r>
        <w:t>7.3 La Constitución y los hechos</w:t>
      </w:r>
    </w:p>
    <w:p>
      <w:pPr>
        <w:pBdr>
          <w:left w:val="single" w:sz="24" w:space="6" w:color="E2DED6"/>
        </w:pBdr>
        <w:shd w:val="clear" w:color="auto" w:fill="F1EEE8"/>
        <w:spacing w:before="80" w:after="160"/>
        <w:ind w:left="142" w:right="142"/>
      </w:pPr>
      <w:r>
        <w:rPr>
          <w:b/>
        </w:rPr>
        <w:t>La idea: once casos más con el mismo método. Dos rompen el patrón, y uno, leído en su original, no es lo que parecía.</w:t>
      </w:r>
    </w:p>
    <w:p>
      <w:r>
        <w:rPr>
          <w:b/>
        </w:rPr>
        <w:t>Conclusión, lo que arrojan los datos:</w:t>
      </w:r>
      <w:r>
        <w:t xml:space="preserve"> ninguno de estos casos, por separado, prueba más de lo que dice. Juntos extienden el mismo patrón de </w:t>
      </w:r>
      <w:r>
        <w:t>7.2</w:t>
      </w:r>
      <w:r>
        <w:t xml:space="preserve"> a otros terrenos: el voto de quien vive fuera, la lengua, la igualdad en la Corona, la vivienda. Ninguna pieza sola sostiene una acusación; juntas, dibujan un cuerpo hecho de partes legales, cada una defendible.</w:t>
      </w:r>
    </w:p>
    <w:p>
      <w:pPr>
        <w:pStyle w:val="Heading2"/>
      </w:pPr>
      <w:r>
        <w:t>7.4 El bien común frente al organigrama</w:t>
      </w:r>
    </w:p>
    <w:p>
      <w:pPr>
        <w:pBdr>
          <w:left w:val="single" w:sz="24" w:space="6" w:color="E2DED6"/>
        </w:pBdr>
        <w:shd w:val="clear" w:color="auto" w:fill="F1EEE8"/>
        <w:spacing w:before="80" w:after="160"/>
        <w:ind w:left="142" w:right="142"/>
      </w:pPr>
      <w:r>
        <w:rPr>
          <w:b/>
        </w:rPr>
        <w:t>La idea: separados en dos grupos, los mismos 169 artículos muestran que la Constitución se incumple el doble en lo que promete al ciudadano que en lo que organiza al poder. Y que el freno actúa cinco veces más cuando el poder se controla a sí mismo.</w:t>
      </w:r>
    </w:p>
    <w:p>
      <w:r>
        <w:rPr>
          <w:b/>
        </w:rPr>
        <w:t>Conclusión, lo que arrojan los datos:</w:t>
      </w:r>
      <w:r>
        <w:t xml:space="preserve"> el ciudadano encuentra su Constitución incumplida en más de tres de cada cinco artículos que le afectan directamente; el aparato del poder, en casi tres de cada diez de los de su propio funcionamiento. Y el freno de Montesquieu funciona en España, pero de forma desigual: protege más al poder que al ciudadano.</w:t>
      </w:r>
    </w:p>
    <w:p>
      <w:pPr>
        <w:pStyle w:val="Heading2"/>
      </w:pPr>
      <w:r>
        <w:t>7.5 La corrupción de la forma</w:t>
      </w:r>
    </w:p>
    <w:p>
      <w:pPr>
        <w:pBdr>
          <w:left w:val="single" w:sz="24" w:space="6" w:color="E2DED6"/>
        </w:pBdr>
        <w:shd w:val="clear" w:color="auto" w:fill="F1EEE8"/>
        <w:spacing w:before="80" w:after="160"/>
        <w:ind w:left="142" w:right="142"/>
      </w:pPr>
      <w:r>
        <w:rPr>
          <w:b/>
        </w:rPr>
        <w:t>La idea: algo puede conservar su nombre, su cargo y su título y haber perdido la sustancia que lo sostenía. Las tradiciones lo vieron; y el propio sistema auditado mide así: por los resultados.</w:t>
      </w:r>
    </w:p>
    <w:p>
      <w:r>
        <w:rPr>
          <w:b/>
        </w:rPr>
        <w:t>Conclusión, lo que arrojan los datos:</w:t>
      </w:r>
      <w:r>
        <w:t xml:space="preserve"> la idea de que una forma sin sustancia es corrupción la sostienen tradiciones sin contacto documentado entre sí, y varias la hicieron institución: el taburete ashanti, el título iroqués, el veedor inca, la regla de Qumrán. Y es la medida del propio sistema: la norma internacional de auditoría, la ley europea y el Tribunal de Cuentas miden por los resultados. Aplicada a la Constitución, encuentra corrupciones puntuales y lagunas de origen, y también restauraciones.</w:t>
      </w:r>
    </w:p>
    <w:p>
      <w:pPr>
        <w:pStyle w:val="Heading2"/>
      </w:pPr>
      <w:r>
        <w:t>7.6 El cobro blindado y el deber aplazado</w:t>
      </w:r>
    </w:p>
    <w:p>
      <w:pPr>
        <w:pBdr>
          <w:left w:val="single" w:sz="24" w:space="6" w:color="E2DED6"/>
        </w:pBdr>
        <w:shd w:val="clear" w:color="auto" w:fill="F1EEE8"/>
        <w:spacing w:before="80" w:after="160"/>
        <w:ind w:left="142" w:right="142"/>
      </w:pPr>
      <w:r>
        <w:rPr>
          <w:b/>
        </w:rPr>
        <w:t>La idea: cuando el ciudadano incumple, el Estado cobra solo y deprisa; cuando incumple el Estado, el ciudadano no tiene un mecanismo igual. No hace falta suponer mala fe: bastan los artículos, las cifras y las sentencias.</w:t>
      </w:r>
    </w:p>
    <w:p>
      <w:pPr>
        <w:pStyle w:val="Heading3"/>
      </w:pPr>
      <w:r>
        <w:t>El cobro</w:t>
      </w:r>
    </w:p>
    <w:p>
      <w:pPr>
        <w:pStyle w:val="Heading3"/>
      </w:pPr>
      <w:r>
        <w:t>El deber</w:t>
      </w:r>
    </w:p>
    <w:p>
      <w:r>
        <w:rPr>
          <w:b/>
        </w:rPr>
        <w:t>Conclusión, lo que arrojan los datos:</w:t>
      </w:r>
      <w:r>
        <w:t xml:space="preserve"> no es que los deberes sean desiguales en el papel: la Constitución pide mucho al Estado. Es que el mecanismo para hacerlos cumplir es distinto. El incumplimiento del ciudadano se cobra con autotutela, embargo sin juez y recargo; el del Estado, en la vivienda o la infancia, no tiene un mecanismo que el ciudadano pueda activar solo, porque el art. 53.3 exige antes una ley. Y solo dos de los doce principios rectores, la infancia y la vivienda, tienen dato propio en esta auditoría: afirmar que los otros diez fallan igual sería sobreafirmar.</w:t>
      </w:r>
    </w:p>
    <w:p>
      <w:pPr>
        <w:pStyle w:val="Heading2"/>
      </w:pPr>
      <w:r>
        <w:t>7.7 El diseño legal que enfrenta a la gente</w:t>
      </w:r>
    </w:p>
    <w:p>
      <w:pPr>
        <w:pBdr>
          <w:left w:val="single" w:sz="24" w:space="6" w:color="E2DED6"/>
        </w:pBdr>
        <w:shd w:val="clear" w:color="auto" w:fill="F1EEE8"/>
        <w:spacing w:before="80" w:after="160"/>
        <w:ind w:left="142" w:right="142"/>
      </w:pPr>
      <w:r>
        <w:rPr>
          <w:b/>
        </w:rPr>
        <w:t>La idea: no es que la gente sea peor. Algunos diseños legales obligan a decidir deprisa, cuando la prueba aún no existe, y pueden enfrentar a las personas sin que nadie haya actuado de mala fe.</w:t>
      </w:r>
    </w:p>
    <w:p>
      <w:r>
        <w:rPr>
          <w:b/>
        </w:rPr>
        <w:t>Conclusión, lo que arrojan los datos:</w:t>
      </w:r>
      <w:r>
        <w:t xml:space="preserve"> tres frentes distintos, la ocupación, la denuncia y las visitas, comparten una estructura: una decisión que hay que tomar deprisa, cuando la prueba completa no existe todavía. En los tres, la letra defiende a quien la crítica dice desprotegido: el propietario tiene la vía rápida; el denunciado, la audiencia y la tasa real de denegaciones; el progenitor investigado, el derecho a pedir que no se suspendan las visitas. Lo que falla, cuando falla, es la distancia entre lo que la ley promete y lo que el reloj del primer momento permite verificar.</w:t>
      </w:r>
    </w:p>
    <w:p>
      <w:pPr>
        <w:pStyle w:val="Heading2"/>
      </w:pPr>
      <w:r>
        <w:t>Límite honesto de la prueba</w:t>
      </w:r>
    </w:p>
    <w:p>
      <w:pPr>
        <w:pStyle w:val="ListBullet"/>
      </w:pPr>
      <w:r>
        <w:rPr>
          <w:b/>
        </w:rPr>
        <w:t>La auditoría mide cumplimiento normativo</w:t>
      </w:r>
      <w:r>
        <w:t xml:space="preserve">, no intención: si el hecho documentado coincide con la norma. Un resultado medido no es una causa demostrada. </w:t>
      </w:r>
    </w:p>
    <w:p>
      <w:pPr>
        <w:pStyle w:val="ListBullet"/>
      </w:pPr>
      <w:r>
        <w:rPr>
          <w:b/>
        </w:rPr>
        <w:t>No es tiranía sistemática.</w:t>
      </w:r>
      <w:r>
        <w:t xml:space="preserve"> Los contrapesos actúan: hay doce intentos frenados, y el sistema se corrigió en casos reales. El umbral clásico del derecho de resistencia (</w:t>
      </w:r>
      <w:r>
        <w:t>6.5</w:t>
      </w:r>
      <w:r>
        <w:t xml:space="preserve">) no está en un porcentaje, sino en la gravedad y en el agotamiento de las vías pacíficas, que no están agotadas. </w:t>
      </w:r>
    </w:p>
    <w:p>
      <w:pPr>
        <w:pStyle w:val="ListBullet"/>
      </w:pPr>
      <w:r>
        <w:rPr>
          <w:b/>
        </w:rPr>
        <w:t>Un caso, corregido.</w:t>
      </w:r>
      <w:r>
        <w:t xml:space="preserve"> La ficha del derecho de reunión (art. 21) se apoyaba en una lectura equivocada de la ley de seguridad ciudadana: el art. 36.2 castiga la perturbación grave, no la protesta pacífica, y el Constitucional lo declaró constitucional. Por el criterio de la propia obra, cuenta como cumplimiento limpio, y así van las cifras de este capítulo (93, 69 y 7; 62,1 % y 4,65 %).</w:t>
      </w:r>
    </w:p>
    <w:p>
      <w:pPr>
        <w:pStyle w:val="ListBullet"/>
      </w:pPr>
      <w:r>
        <w:rPr>
          <w:b/>
        </w:rPr>
        <w:t>Tres casos, pasados a pendiente.</w:t>
      </w:r>
      <w:r>
        <w:t xml:space="preserve"> El art. 7 (sindicatos) se contaba como incumplimiento sin que lo sostuviera el único hecho leído, un informe del Tribunal de Cuentas de 2014 sobre un contrato concreto que cumplía la ley; el art. 110 (reclamar la presencia del Gobierno) se apoyaba en un conflicto de agosto de 2026 todavía abierto; y el art. 111 (el Gobierno, sometido a las preguntas de las Cámaras) se apoyaba en una cifra de plazos que incluye el plazo ampliado, que es legal, y que calculan terceros con datos que el Congreso publica pregunta a pregunta, pero no en un conjunto de datos abiertos con que auditarla en bloque. Los tres pasan de incumplir a pendiente (</w:t>
      </w:r>
      <w:r>
        <w:t>anexo A</w:t>
      </w:r>
      <w:r>
        <w:t>), y por eso el recuento es 93, 69 y 7, y el incumplimiento del organigrama del poder, el 27,2 %.</w:t>
      </w:r>
    </w:p>
    <w:p>
      <w:pPr>
        <w:pStyle w:val="ListBullet"/>
      </w:pPr>
      <w:r>
        <w:rPr>
          <w:b/>
        </w:rPr>
        <w:t>Los casos son una selección</w:t>
      </w:r>
      <w:r>
        <w:t xml:space="preserve">, con su fuente. La auditoría completa, con los 169 artículos, está en el </w:t>
      </w:r>
      <w:r>
        <w:t>anexo A</w:t>
      </w:r>
      <w:r>
        <w:t>.</w:t>
      </w:r>
    </w:p>
    <w:p>
      <w:pPr>
        <w:pStyle w:val="ListBullet"/>
      </w:pPr>
      <w:r>
        <w:rPr>
          <w:b/>
        </w:rPr>
        <w:t>La corrupción de la forma es un diagnóstico puntual</w:t>
      </w:r>
      <w:r>
        <w:t xml:space="preserve">, no una sentencia sobre la institución entera. Dos de los siete casos están reparados o en reparación, y dos son lagunas de diseño. </w:t>
      </w:r>
    </w:p>
    <w:p>
      <w:pPr>
        <w:pStyle w:val="ListBullet"/>
      </w:pPr>
      <w:r>
        <w:rPr>
          <w:b/>
        </w:rPr>
        <w:t>Solo dos de los doce principios rectores</w:t>
      </w:r>
      <w:r>
        <w:t xml:space="preserve"> tienen dato propio en esta auditoría. </w:t>
      </w:r>
    </w:p>
    <w:p>
      <w:pPr>
        <w:pStyle w:val="ListBullet"/>
      </w:pPr>
      <w:r>
        <w:rPr>
          <w:b/>
        </w:rPr>
        <w:t>Fuentes secundarias:</w:t>
      </w:r>
      <w:r>
        <w:t xml:space="preserve"> el Museo del Holocausto de Estados Unidos (Núremberg), la descripción del </w:t>
      </w:r>
      <w:r>
        <w:rPr>
          <w:i/>
        </w:rPr>
        <w:t>Frankenstate</w:t>
      </w:r>
      <w:r>
        <w:t xml:space="preserve"> (el artículo de Scheppele es de pago), la prensa ghanesa, la Británica (esenios), Idealista News (Torrejón) y la sentencia del Supremo sobre la expropiación (no se ha podido leer); el estudio de 2023 sobre la prisión permanente, por su título.</w:t>
      </w:r>
    </w:p>
    <w:p>
      <w:pPr>
        <w:pStyle w:val="ListBullet"/>
      </w:pPr>
      <w:r>
        <w:rPr>
          <w:b/>
        </w:rPr>
        <w:t>Lo que no entra:</w:t>
      </w:r>
      <w:r>
        <w:t xml:space="preserve"> las «unas 3.000 toneladas» de documentos de Núremberg (una cifra de divulgación; el informe de Jackson habla de más de 100.000 documentos revisados y unos 4.000 usados); la frase atribuida a Confucio sobre el usurpador llamado rey (sale de una enciclopedia); los mayas (sin acceso al libro); la frase sobre la manipulación del juramento ashanti (no localizada); la sentencia de la Audiencia de Málaga (solo un blog); la previsión de 42.059 millones en intereses (solo prensa); la frase del manual del Tribunal de Cuentas Europeo (no localizada).</w:t>
      </w:r>
    </w:p>
    <w:p>
      <w:pPr>
        <w:pStyle w:val="Heading2"/>
      </w:pPr>
      <w:r>
        <w:t>Dónde se oye la defensa del Estado</w:t>
      </w:r>
    </w:p>
    <w:p>
      <w:r>
        <w:t>La defensa del Estado frente a este capítulo, y lo que la obra le responde, se oyen en el juicio:</w:t>
      </w:r>
    </w:p>
    <w:p>
      <w:pPr>
        <w:pStyle w:val="ListBullet"/>
      </w:pPr>
      <w:r>
        <w:t>«El Estado cumple la mayoría» y «la lectura de conjunto»: frente al dictamen (</w:t>
      </w:r>
      <w:r>
        <w:t>11.4</w:t>
      </w:r>
      <w:r>
        <w:t>);</w:t>
      </w:r>
    </w:p>
    <w:p>
      <w:pPr>
        <w:pStyle w:val="ListBullet"/>
      </w:pPr>
      <w:r>
        <w:t xml:space="preserve">«Cuando el propio sistema se frenó a sí mismo»: </w:t>
      </w:r>
      <w:r>
        <w:t>cargo 24</w:t>
      </w:r>
      <w:r>
        <w:t xml:space="preserve"> (</w:t>
      </w:r>
      <w:r>
        <w:t>11.3</w:t>
      </w:r>
      <w:r>
        <w:t>);</w:t>
      </w:r>
    </w:p>
    <w:p>
      <w:pPr>
        <w:pStyle w:val="ListBullet"/>
      </w:pPr>
      <w:r>
        <w:t xml:space="preserve">«El voto exterior y el dinero de los partidos»: </w:t>
      </w:r>
      <w:r>
        <w:t>cargo 6</w:t>
      </w:r>
      <w:r>
        <w:t>;</w:t>
      </w:r>
    </w:p>
    <w:p>
      <w:pPr>
        <w:pStyle w:val="ListBullet"/>
      </w:pPr>
      <w:r>
        <w:t xml:space="preserve">el Fondo de Reserva: </w:t>
      </w:r>
      <w:r>
        <w:t>cargo 15</w:t>
      </w:r>
      <w:r>
        <w:t xml:space="preserve">; la asignación de diputados y senadores: </w:t>
      </w:r>
      <w:r>
        <w:t>cargo 6</w:t>
      </w:r>
      <w:r>
        <w:t>;</w:t>
      </w:r>
    </w:p>
    <w:p>
      <w:pPr>
        <w:pStyle w:val="ListBullet"/>
      </w:pPr>
      <w:r>
        <w:t xml:space="preserve">la ocupación y la suspensión de visitas: </w:t>
      </w:r>
      <w:r>
        <w:t>cargo 27</w:t>
      </w:r>
      <w:r>
        <w:t>.</w:t>
      </w:r>
    </w:p>
    <w:p>
      <w:pPr>
        <w:pStyle w:val="Heading2"/>
      </w:pPr>
      <w:r>
        <w:t>Para recordar</w:t>
      </w:r>
    </w:p>
    <w:p>
      <w:pPr>
        <w:pStyle w:val="ListBullet"/>
      </w:pPr>
      <w:r>
        <w:t>La Constitución se puede auditar como un contrato: 169 preguntas, una por artículo, con la norma, el hecho y la fuente.</w:t>
      </w:r>
    </w:p>
    <w:p>
      <w:pPr>
        <w:pStyle w:val="ListBullet"/>
      </w:pPr>
      <w:r>
        <w:t>Se cumplen 93 artículos y no se cumplen 69; en 23 de esos 69 ya hay una declaración formal externa.</w:t>
      </w:r>
    </w:p>
    <w:p>
      <w:pPr>
        <w:pStyle w:val="ListBullet"/>
      </w:pPr>
      <w:r>
        <w:t>El incumplimiento recae dos veces más en lo que la Constitución promete al ciudadano (62,1 %) que en lo que organiza al poder (27,2 %); y el freno actúa más de cinco veces más cuando el poder se controla a sí mismo (26,32 %) que cuando protege al ciudadano (4,65 %).</w:t>
      </w:r>
    </w:p>
    <w:p>
      <w:pPr>
        <w:pStyle w:val="ListBullet"/>
      </w:pPr>
      <w:r>
        <w:t>El método de Núremberg: juzgar al poder con sus propios documentos. «Debemos probar hechos increíbles con pruebas creíbles».</w:t>
      </w:r>
    </w:p>
    <w:p>
      <w:pPr>
        <w:pStyle w:val="ListBullet"/>
      </w:pPr>
      <w:r>
        <w:t>La corrupción de la forma: conservar el nombre y perder la sustancia. «El tirano se distingue del rey por los hechos, no por el nombre». Y el propio sistema mide así: por los resultados.</w:t>
      </w:r>
    </w:p>
    <w:p>
      <w:pPr>
        <w:pStyle w:val="ListBullet"/>
      </w:pPr>
      <w:r>
        <w:t>El cobro está blindado y el deber, aplazado: lo uno se ejecuta sin juez; lo otro necesita antes una ley.</w:t>
      </w:r>
    </w:p>
    <w:p>
      <w:pPr>
        <w:pStyle w:val="ListBullet"/>
      </w:pPr>
      <w:r>
        <w:t>Algunos diseños legales enfrentan a la gente sin mala fe de nadie: obligan a decidir antes de saber.</w:t>
      </w:r>
    </w:p>
    <w:p>
      <w:pPr>
        <w:pStyle w:val="ListBullet"/>
      </w:pPr>
      <w:r>
        <w:rPr>
          <w:b/>
        </w:rPr>
        <w:t>Lo que aquí se expone que hay que podar (lectura del autor):</w:t>
      </w:r>
      <w:r>
        <w:t xml:space="preserve"> dar por cumplido lo que solo está escrito: la forma que conserva el nombre y pierde la sustancia en los artículos que no se cumplen, y el cobro que se ejecuta mientras el deber se aplaza.</w:t>
      </w:r>
    </w:p>
    <w:p>
      <w:pPr>
        <w:pStyle w:val="ListBullet"/>
      </w:pPr>
      <w:r>
        <w:rPr>
          <w:b/>
        </w:rPr>
        <w:t>Lo siguiente:</w:t>
      </w:r>
      <w:r>
        <w:t xml:space="preserve"> lo que llega a la vida diaria: el dinero, lo que se lleva cada año de lo que cuesta el trabajo, la vivienda, los hijos y la confianza; la otra mitad de la vara, los frutos (</w:t>
      </w:r>
      <w:r>
        <w:t>capítulo 8</w:t>
      </w:r>
      <w:r>
        <w:t>).</w:t>
      </w:r>
    </w:p>
    <w:p>
      <w:r>
        <w:br w:type="page"/>
      </w:r>
    </w:p>
    <w:p>
      <w:pPr>
        <w:pStyle w:val="Heading1"/>
      </w:pPr>
      <w:r>
        <w:t>8 Los frutos</w:t>
      </w:r>
    </w:p>
    <w:p>
      <w:pPr>
        <w:spacing w:after="200"/>
      </w:pPr>
      <w:r>
        <w:rPr>
          <w:rFonts w:ascii="Segoe UI" w:hAnsi="Segoe UI" w:eastAsia="Segoe UI" w:cs="Segoe UI"/>
          <w:color w:val="6B665E"/>
          <w:sz w:val="17"/>
        </w:rPr>
        <w:t>Primera versión: 6 de octubre de 2026 · Última revisión: 12 de octubre de 2026 · Cambios anotados en el capítulo: 12 · Citas leídas en su fuente: 74</w:t>
      </w:r>
    </w:p>
    <w:p>
      <w:pPr>
        <w:pBdr>
          <w:left w:val="single" w:sz="24" w:space="6" w:color="E2DED6"/>
        </w:pBdr>
        <w:shd w:val="clear" w:color="auto" w:fill="F1EEE8"/>
        <w:spacing w:before="80" w:after="160"/>
        <w:ind w:left="142" w:right="142"/>
      </w:pPr>
      <w:r>
        <w:rPr>
          <w:b/>
        </w:rPr>
        <w:t>En pocas palabras:</w:t>
      </w:r>
    </w:p>
    <w:p>
      <w:pPr>
        <w:pStyle w:val="ListBullet"/>
      </w:pPr>
      <w:r>
        <w:t>Desde 1971 ninguna moneda se puede cambiar por oro: el dinero vale lo que la ley declara y la confianza que se le tiene. Y la mayor parte la crean los bancos al prestar: nace como deuda.</w:t>
      </w:r>
    </w:p>
    <w:p>
      <w:pPr>
        <w:pStyle w:val="ListBullet"/>
      </w:pPr>
      <w:r>
        <w:t>Durante siete siglos se ha advertido, a menudo desde dentro del poder, que alterar el valor de la moneda es quitar al pueblo sin pedirle permiso.</w:t>
      </w:r>
    </w:p>
    <w:p>
      <w:pPr>
        <w:pStyle w:val="ListBullet"/>
      </w:pPr>
      <w:r>
        <w:t>100 euros guardados el 1 de enero de 1971 compran hoy lo que entonces 3,90. El salario medio compra lo mismo que en 2008. Y entre 2021 y 2025 la subida de los precios rebajó la deuda del Estado más de lo que este pagó en intereses.</w:t>
      </w:r>
    </w:p>
    <w:p>
      <w:pPr>
        <w:pStyle w:val="ListBullet"/>
      </w:pPr>
      <w:r>
        <w:t>De cada 100 euros que paga una empresa por un asalariado medio, al menos 41 van a cotizaciones e IRPF, y hasta 53,6 con todas las capas. El autónomo, entre el 42 % y el 53 %, según la base que elija.</w:t>
      </w:r>
    </w:p>
    <w:p>
      <w:pPr>
        <w:pStyle w:val="ListBullet"/>
      </w:pPr>
      <w:r>
        <w:t>Cuando el ciudadano omite, el sistema lo cobra solo; cuando omite el sistema, el ciudadano tiene que litigar años: la gasolina, la franquicia del IVA, el algoritmo del bono social.</w:t>
      </w:r>
    </w:p>
    <w:p>
      <w:pPr>
        <w:pStyle w:val="ListBullet"/>
      </w:pPr>
      <w:r>
        <w:t>De la hucha de las pensiones se dispusieron 80.337 millones entre 2012 y 2019, y la ley obliga a invertirla en títulos públicos: hoy, solo deuda española. El total del gasto se publica; la suma de quién cobra qué, no.</w:t>
      </w:r>
    </w:p>
    <w:p>
      <w:pPr>
        <w:pStyle w:val="ListBullet"/>
      </w:pPr>
      <w:r>
        <w:t>La vivienda cuesta 8,4 años de la renta bruta de un hogar mediano, y la fecundidad está en su mínimo, 1,10 hijos por mujer. Por qué, queda abierto.</w:t>
      </w:r>
    </w:p>
    <w:p>
      <w:pPr>
        <w:pStyle w:val="ListBullet"/>
      </w:pPr>
      <w:r>
        <w:t>La confianza entre las personas no ha caído. La que está baja es la confianza en las instituciones.</w:t>
      </w:r>
    </w:p>
    <w:p>
      <w:pPr>
        <w:pStyle w:val="Heading2"/>
      </w:pPr>
      <w:r>
        <w:t>8.1 El dinero sin respaldo y la deuda</w:t>
      </w:r>
    </w:p>
    <w:p>
      <w:pPr>
        <w:pBdr>
          <w:left w:val="single" w:sz="24" w:space="6" w:color="E2DED6"/>
        </w:pBdr>
        <w:shd w:val="clear" w:color="auto" w:fill="F1EEE8"/>
        <w:spacing w:before="80" w:after="160"/>
        <w:ind w:left="142" w:right="142"/>
      </w:pPr>
      <w:r>
        <w:rPr>
          <w:b/>
        </w:rPr>
        <w:t>La idea: el sistema monetario actual nació de una decisión política fechada; la mayor parte del dinero la crea la banca al prestar; la deuda mundial está en máximos; y España ha escrito en su Constitución que la deuda se paga antes que nada.</w:t>
      </w:r>
    </w:p>
    <w:p>
      <w:r>
        <w:rPr>
          <w:b/>
        </w:rPr>
        <w:t>Conclusión, lo que arrojan los datos:</w:t>
      </w:r>
      <w:r>
        <w:t xml:space="preserve"> el sistema monetario actual nació de una decisión fechada en 1971; el dinero se crea sobre todo como deuda, lo reconocen el regulador y la investigación independiente; la deuda mundial está en máximos; y España ha dado al pago de su deuda prioridad constitucional. Lo que no demuestra ninguna fuente citada: que exista una estrategia mundial coordinada para mantener a la población endeudada. La obra lo califica como «patrón documentado, sin intención probada», y esa calificación solo subiría con una fuente que muestre declaración o coordinación.</w:t>
      </w:r>
    </w:p>
    <w:p>
      <w:pPr>
        <w:pStyle w:val="Heading2"/>
      </w:pPr>
      <w:r>
        <w:t>8.2 Setecientos años de advertencias</w:t>
      </w:r>
    </w:p>
    <w:p>
      <w:pPr>
        <w:pBdr>
          <w:left w:val="single" w:sz="24" w:space="6" w:color="E2DED6"/>
        </w:pBdr>
        <w:shd w:val="clear" w:color="auto" w:fill="F1EEE8"/>
        <w:spacing w:before="80" w:after="160"/>
        <w:ind w:left="142" w:right="142"/>
      </w:pPr>
      <w:r>
        <w:rPr>
          <w:b/>
        </w:rPr>
        <w:t>La idea: desde la Edad Media, autores sin contacto documentado entre sí, varios de ellos dentro del propio poder, advirtieron lo mismo: alterar el valor de la moneda es una forma de quitar al pueblo sin pedirle permiso.</w:t>
      </w:r>
    </w:p>
    <w:p>
      <w:r>
        <w:rPr>
          <w:b/>
        </w:rPr>
        <w:t>Conclusión, lo que arrojan los datos:</w:t>
      </w:r>
      <w:r>
        <w:t xml:space="preserve"> ocho autores en siete siglos, con documento firmado y fechado, advierten de lo mismo: alterar la moneda traslada riqueza sin aprobar ningún impuesto. Varios estaban cerca del poder: un capellán de un rey, un futuro presidente de la Reserva Federal y un presidente de banco central en ejercicio. Dos frases que suelen sumarse a la lista no resisten la prueba igual: la atribuida a Lenin, que Keynes daba de oídas, y la que circula a nombre de Friedman, sin fuente primaria localizada.</w:t>
      </w:r>
    </w:p>
    <w:p>
      <w:pPr>
        <w:pStyle w:val="Heading2"/>
      </w:pPr>
      <w:r>
        <w:t>8.3 El tiempo de vida que se lleva la moneda</w:t>
      </w:r>
    </w:p>
    <w:p>
      <w:pPr>
        <w:pBdr>
          <w:left w:val="single" w:sz="24" w:space="6" w:color="E2DED6"/>
        </w:pBdr>
        <w:shd w:val="clear" w:color="auto" w:fill="F1EEE8"/>
        <w:spacing w:before="80" w:after="160"/>
        <w:ind w:left="142" w:right="142"/>
      </w:pPr>
      <w:r>
        <w:rPr>
          <w:b/>
        </w:rPr>
        <w:t>La idea: el dinero es tiempo de vida guardado. Si pierde valor, se pierde tiempo de vida, sin que nadie lo vote ni dé su consentimiento.</w:t>
      </w:r>
    </w:p>
    <w:p>
      <w:r>
        <w:rPr>
          <w:b/>
        </w:rPr>
        <w:t>Conclusión, lo que arrojan los datos:</w:t>
      </w:r>
      <w:r>
        <w:t xml:space="preserve"> desde 1971, el dinero guardado ha perdido el 96 % de su valor; la meta oficial es que pierda un 2 % al año; el salario medio compra lo mismo que en 2008; el IRPF sube sin ley que lo suba; y entre 2021 y 2025 la inflación rebajó la deuda del Estado más de lo que este pagó en intereses. Lo que pierde quien ahorra lo gana, en buena parte, quien debe. Y no hay una norma que proteja el ahorro privado.</w:t>
      </w:r>
    </w:p>
    <w:p>
      <w:pPr>
        <w:pStyle w:val="Heading2"/>
      </w:pPr>
      <w:r>
        <w:t>8.4 La carga</w:t>
      </w:r>
    </w:p>
    <w:p>
      <w:pPr>
        <w:pBdr>
          <w:left w:val="single" w:sz="24" w:space="6" w:color="E2DED6"/>
        </w:pBdr>
        <w:shd w:val="clear" w:color="auto" w:fill="F1EEE8"/>
        <w:spacing w:before="80" w:after="160"/>
        <w:ind w:left="142" w:right="142"/>
      </w:pPr>
      <w:r>
        <w:rPr>
          <w:b/>
        </w:rPr>
        <w:t>La idea: la cifra oficial de presión fiscal mide lo que recauda el Estado frente a toda la economía, no lo que soporta una persona. Medida sobre el coste de su trabajo, la carga es mucho mayor, y distinta para el asalariado, el autónomo y el que trabaja con una sociedad.</w:t>
      </w:r>
    </w:p>
    <w:p>
      <w:r>
        <w:rPr>
          <w:b/>
        </w:rPr>
        <w:t>Conclusión, lo que arrojan los datos:</w:t>
      </w:r>
      <w:r>
        <w:t xml:space="preserve"> cada uno de estos hechos está verificado y varios ya se vieron por separado (</w:t>
      </w:r>
      <w:r>
        <w:t>7.6</w:t>
      </w:r>
      <w:r>
        <w:t>). Que su suma sea «servidumbre» o «extorsión», en el sentido estricto de esas palabras, excede lo que prueban: ninguno describe una coacción dirigida y consciente contra una persona concreta. Lo que sí describen, sin necesitar esas palabras, es una asimetría: el Estado extrae con automatismo y precisión, y devuelve con resultados desiguales. Es la misma asimetría de la auditoría, ahora en euros: el 62,1 % de incumplimiento en lo que la Constitución promete al ciudadano (</w:t>
      </w:r>
      <w:r>
        <w:t>7.4</w:t>
      </w:r>
      <w:r>
        <w:t>).</w:t>
      </w:r>
    </w:p>
    <w:p>
      <w:pPr>
        <w:pStyle w:val="Heading2"/>
      </w:pPr>
      <w:r>
        <w:t>8.5 La extracción</w:t>
      </w:r>
    </w:p>
    <w:p>
      <w:pPr>
        <w:pBdr>
          <w:left w:val="single" w:sz="24" w:space="6" w:color="E2DED6"/>
        </w:pBdr>
        <w:shd w:val="clear" w:color="auto" w:fill="F1EEE8"/>
        <w:spacing w:before="80" w:after="160"/>
        <w:ind w:left="142" w:right="142"/>
      </w:pPr>
      <w:r>
        <w:rPr>
          <w:b/>
        </w:rPr>
        <w:t>La idea: el sistema toma actuando, y toma también no actuando. Cuando el ciudadano omite, el sistema tiene recargo, sanción y apremio; cuando omite el sistema, el ciudadano tiene que acudir a un tribunal y esperar años.</w:t>
      </w:r>
    </w:p>
    <w:p>
      <w:r>
        <w:rPr>
          <w:b/>
        </w:rPr>
        <w:t>Conclusión, lo que arrojan los datos:</w:t>
      </w:r>
      <w:r>
        <w:t xml:space="preserve"> en cuatro casos de este apartado, quien declara el incumplimiento no es la obra, sino un tercero: el Supremo (la gasolina y BOSCO), la Comisión Europea (la franquicia) y un tribunal superior de justicia, cuya sentencia el Supremo dejó firme (la Zona de Bajas Emisiones). Y en los cuatro el patrón es el mismo: el Estado cobra o niega en el acto, y corrige tarde, cuando corrige. El silencio del ciudadano se castiga solo; el del sistema hay que perseguirlo. Contra la regla no juega todo: el silencio de la Administración a veces favorece al ciudadano, porque el vencimiento del plazo, en los procedimientos que él inicia, le «legitima» para entender estimada su solicitud, salvo las excepciones de la ley</w:t>
      </w:r>
      <w:r>
        <w:t xml:space="preserve"> (Ley 39/2015, art. 24.1)</w:t>
      </w:r>
      <w:r>
        <w:t>.</w:t>
      </w:r>
    </w:p>
    <w:p>
      <w:pPr>
        <w:pStyle w:val="Heading2"/>
      </w:pPr>
      <w:r>
        <w:t>8.6 A dónde va cada euro, y quién sostiene a quién</w:t>
      </w:r>
    </w:p>
    <w:p>
      <w:pPr>
        <w:pBdr>
          <w:left w:val="single" w:sz="24" w:space="6" w:color="E2DED6"/>
        </w:pBdr>
        <w:shd w:val="clear" w:color="auto" w:fill="F1EEE8"/>
        <w:spacing w:before="80" w:after="160"/>
        <w:ind w:left="142" w:right="142"/>
      </w:pPr>
      <w:r>
        <w:rPr>
          <w:b/>
        </w:rPr>
        <w:t>La idea: el total del gasto público se publica, y se puede seguir. Lo que no se publica sumado es el detalle que permitiría juzgar si el sistema sirve al pueblo o se sirve a sí mismo.</w:t>
      </w:r>
    </w:p>
    <w:p>
      <w:r>
        <w:rPr>
          <w:b/>
        </w:rPr>
        <w:t>Conclusión, lo que arrojan los datos:</w:t>
      </w:r>
      <w:r>
        <w:t xml:space="preserve"> la protección social es la mayor partida del gasto, y las pensiones de quien trabajó las pagan, sobre todo, quienes trabajan hoy: la ley establece un sistema de reparto, no de ahorro. La hucha se vació y la ley obliga a invertirla en títulos públicos: hoy, solo deuda española, con un rendimiento que en diez años no ha cubierto los precios. El agujero de cada año equivale a los intereses, y los intereses suben. La pensión media del Estado es 1,7 veces la del trabajo privado y el salario medio público, un 50 % mayor. Y el detalle de quién cobra qué no se publica sumado.</w:t>
      </w:r>
    </w:p>
    <w:p>
      <w:pPr>
        <w:pStyle w:val="Heading2"/>
      </w:pPr>
      <w:r>
        <w:t>8.7 La industria, el campo y la vivienda</w:t>
      </w:r>
    </w:p>
    <w:p>
      <w:pPr>
        <w:pBdr>
          <w:left w:val="single" w:sz="24" w:space="6" w:color="E2DED6"/>
        </w:pBdr>
        <w:shd w:val="clear" w:color="auto" w:fill="F1EEE8"/>
        <w:spacing w:before="80" w:after="160"/>
        <w:ind w:left="142" w:right="142"/>
      </w:pPr>
      <w:r>
        <w:rPr>
          <w:b/>
        </w:rPr>
        <w:t>La idea: «cada vez que el Estado mete mano en algo, lo asfixia». La obra no lo acepta ni lo descarta en bloque: lo comprueba sector por sector, y dice dónde se confirma, dónde se complica y dónde no aguanta.</w:t>
      </w:r>
    </w:p>
    <w:p>
      <w:r>
        <w:rPr>
          <w:b/>
        </w:rPr>
        <w:t>Conclusión, lo que arrojan los datos:</w:t>
      </w:r>
      <w:r>
        <w:t xml:space="preserve"> la tesis se confirma en parte: la industria perdió unos 850.000 empleos entre 1977 y 1985, y los contratos de alquiler registrados caen en Cataluña, aunque desde antes de que se regulara. Pero se complica: la pérdida de empleo industrial empezó antes de la reconversión, las privatizaciones las hicieron Gobiernos de distinto signo, y el puesto de España sube y baja según el año y la medida. Y un punto no aguantó el contraste: la propia obra descartó sus cifras sobre la ocupación, que venían de blogs y no de organismos oficiales. Lo que el diseño legal hace en ese terreno se vio en </w:t>
      </w:r>
      <w:r>
        <w:t>7.7</w:t>
      </w:r>
      <w:r>
        <w:t>.</w:t>
      </w:r>
    </w:p>
    <w:p>
      <w:pPr>
        <w:pStyle w:val="Heading2"/>
      </w:pPr>
      <w:r>
        <w:t>8.8 Vivienda y fecundidad</w:t>
      </w:r>
    </w:p>
    <w:p>
      <w:pPr>
        <w:pBdr>
          <w:left w:val="single" w:sz="24" w:space="6" w:color="E2DED6"/>
        </w:pBdr>
        <w:shd w:val="clear" w:color="auto" w:fill="F1EEE8"/>
        <w:spacing w:before="80" w:after="160"/>
        <w:ind w:left="142" w:right="142"/>
      </w:pPr>
      <w:r>
        <w:rPr>
          <w:b/>
        </w:rPr>
        <w:t>La idea: la vivienda se ha alejado del salario y los hijos están en mínimos. Que lo uno cause lo otro, o que ambos vengan de la captura institucional, no está demostrado: la pregunta causal queda abierta.</w:t>
      </w:r>
    </w:p>
    <w:p>
      <w:r>
        <w:rPr>
          <w:b/>
        </w:rPr>
        <w:t>Conclusión, lo que arrojan los datos:</w:t>
      </w:r>
      <w:r>
        <w:t xml:space="preserve"> dos cifras de fuente oficial, 8,36 años de renta bruta de un hogar mediano y un 38 % de su renta disponible el primer año de hipoteca, y una fecundidad en su mínimo, en el mismo país y el mismo periodo, dibujan un vaciado real del poder adquisitivo aplicado a la decisión más básica: formar un hogar. Lo que no dicen es por qué. Lo que sí está documentado son mecanismos del propio Estado que reducen la renta disponible: el IRPF que sube solo y la pérdida de valor del dinero (</w:t>
      </w:r>
      <w:r>
        <w:t>8.3</w:t>
      </w:r>
      <w:r>
        <w:t>). No prueban que causen la caída de los hijos, y la obra no lo afirma.</w:t>
      </w:r>
    </w:p>
    <w:p>
      <w:pPr>
        <w:pStyle w:val="Heading2"/>
      </w:pPr>
      <w:r>
        <w:t>8.9 La confianza</w:t>
      </w:r>
    </w:p>
    <w:p>
      <w:pPr>
        <w:pBdr>
          <w:left w:val="single" w:sz="24" w:space="6" w:color="E2DED6"/>
        </w:pBdr>
        <w:shd w:val="clear" w:color="auto" w:fill="F1EEE8"/>
        <w:spacing w:before="80" w:after="160"/>
        <w:ind w:left="142" w:right="142"/>
      </w:pPr>
      <w:r>
        <w:rPr>
          <w:b/>
        </w:rPr>
        <w:t>La idea: la sensación de que la gente es peor que antes es, según la mejor evidencia disponible, una ilusión. Lo que sí está bajo es la confianza en las instituciones.</w:t>
      </w:r>
    </w:p>
    <w:p>
      <w:r>
        <w:rPr>
          <w:b/>
        </w:rPr>
        <w:t>Conclusión, lo que arrojan los datos:</w:t>
      </w:r>
      <w:r>
        <w:t xml:space="preserve"> la confianza entre las personas es hoy mayor que hace doce años, y la desconfianza apunta a las instituciones; el diseño legal enfrenta a la gente sin que nadie tenga que actuar de mala fe (</w:t>
      </w:r>
      <w:r>
        <w:t>7.7</w:t>
      </w:r>
      <w:r>
        <w:t>); y la vivienda y la fecundidad están en mínimos, con la pregunta causal abierta (</w:t>
      </w:r>
      <w:r>
        <w:t>8.8</w:t>
      </w:r>
      <w:r>
        <w:t>). El problema no está en la gente.</w:t>
      </w:r>
    </w:p>
    <w:p>
      <w:pPr>
        <w:pStyle w:val="Heading2"/>
      </w:pPr>
      <w:r>
        <w:t>8.10 La salud y la familia</w:t>
      </w:r>
    </w:p>
    <w:p>
      <w:pPr>
        <w:pBdr>
          <w:left w:val="single" w:sz="24" w:space="6" w:color="E2DED6"/>
        </w:pBdr>
        <w:shd w:val="clear" w:color="auto" w:fill="F1EEE8"/>
        <w:spacing w:before="80" w:after="160"/>
        <w:ind w:left="142" w:right="142"/>
      </w:pPr>
      <w:r>
        <w:rPr>
          <w:b/>
        </w:rPr>
        <w:t>La idea: de lo que se ve a simple vista, los datos oficiales confirman una cosa y matizan las otras: el consumo de antidepresivos se ha multiplicado; los suicidios y los divorcios, medidos por habitante y separando a la población española de la extranjera, no suben. Se dice lo que muestran las series y no se afirma ninguna causa.</w:t>
      </w:r>
    </w:p>
    <w:p>
      <w:r>
        <w:rPr>
          <w:b/>
        </w:rPr>
        <w:t>Conclusión, lo que arrojan los datos:</w:t>
      </w:r>
      <w:r>
        <w:t xml:space="preserve"> el consumo de antidepresivos se ha multiplicado por casi cuatro desde 2000, en las tres series oficiales que lo miden. El número de suicidios y de divorcios sube desde 1980 o 2000, pero por habitante no: la tasa de suicidios es casi la misma desde 2005 y baja ajustada por edad, y los divorcios suben hasta 2006 y bajan después. Separar a la población española de la extranjera no cambia ninguna de las dos series. La depresión y la ansiedad declaradas se mantienen, y los síntomas depresivos graves, medidos con cuestionario, suben. La obra no afirma ninguna causa.</w:t>
      </w:r>
    </w:p>
    <w:p>
      <w:pPr>
        <w:pStyle w:val="Heading2"/>
      </w:pPr>
      <w:r>
        <w:t>8.11 El efectivo y la señal</w:t>
      </w:r>
    </w:p>
    <w:p>
      <w:pPr>
        <w:pBdr>
          <w:left w:val="single" w:sz="24" w:space="6" w:color="E2DED6"/>
        </w:pBdr>
        <w:shd w:val="clear" w:color="auto" w:fill="F1EEE8"/>
        <w:spacing w:before="80" w:after="160"/>
        <w:ind w:left="142" w:right="142"/>
      </w:pPr>
      <w:r>
        <w:rPr>
          <w:b/>
        </w:rPr>
        <w:t>La idea: los pagos grandes en efectivo se limitan cada vez más y se prepara un euro digital; el texto de la Biblia que habla de condicionar el comprar y el vender a una señal lo liga a la lealtad a un poder, no a un medio de pago.</w:t>
      </w:r>
    </w:p>
    <w:p>
      <w:r>
        <w:rPr>
          <w:b/>
        </w:rPr>
        <w:t>Conclusión, lo que arrojan los datos.</w:t>
      </w:r>
      <w:r>
        <w:t xml:space="preserve"> Hay una dirección: el límite de pago en efectivo en España bajó de 2.500 a 1.000 euros, la Unión Europea fija un máximo de 10.000 desde 2027, el BCE dejó de producir el billete de 500 y se prepara el euro digital. Y hay hechos que no encajan con la idea de que el efectivo vaya a desaparecer: el billete de 500 sigue siendo de curso legal, la Comisión propone proteger el efectivo, el BCE dice que el euro digital lo complementaría y ningún país europeo lo prohíbe en general. Estos hechos no prueban un plan de eliminar el efectivo ni lo descartan: muestran un estrechamiento de los pagos grandes en efectivo y un dinero digital en preparación.</w:t>
      </w:r>
    </w:p>
    <w:p>
      <w:pPr>
        <w:pStyle w:val="Heading2"/>
      </w:pPr>
      <w:r>
        <w:t>Límite honesto de la prueba</w:t>
      </w:r>
    </w:p>
    <w:p>
      <w:pPr>
        <w:pStyle w:val="ListBullet"/>
      </w:pPr>
      <w:r>
        <w:rPr>
          <w:b/>
        </w:rPr>
        <w:t>La causa no está demostrada.</w:t>
      </w:r>
      <w:r>
        <w:t xml:space="preserve"> El capítulo mide efectos: la pérdida de valor del dinero, la carga, la vivienda, los hijos. Que la captura institucional los cause es una hipótesis abierta (</w:t>
      </w:r>
      <w:r>
        <w:t>8.8</w:t>
      </w:r>
      <w:r>
        <w:t>), y que exista una estrategia mundial para mantener a la población endeudada, también (</w:t>
      </w:r>
      <w:r>
        <w:t>8.1</w:t>
      </w:r>
      <w:r>
        <w:t>).</w:t>
      </w:r>
    </w:p>
    <w:p>
      <w:pPr>
        <w:pStyle w:val="ListBullet"/>
      </w:pPr>
      <w:r>
        <w:rPr>
          <w:b/>
        </w:rPr>
        <w:t>Los cálculos de la obra se dicen como tales:</w:t>
      </w:r>
      <w:r>
        <w:t xml:space="preserve"> la pérdida de los 100 euros desde 1971, la deuda rebajada por la inflación, los perfiles del autónomo y del societario, los salarios medios público y privado, los puestos de España por PIB y la aritmética de la vivienda.</w:t>
      </w:r>
    </w:p>
    <w:p>
      <w:pPr>
        <w:pStyle w:val="ListBullet"/>
      </w:pPr>
      <w:r>
        <w:rPr>
          <w:b/>
        </w:rPr>
        <w:t>Las capas 4 y 5 de la carga</w:t>
      </w:r>
      <w:r>
        <w:t xml:space="preserve"> son una hipótesis de reparto y una obligación futura; la parte firme es la capa 1, contrastada con la OCDE.</w:t>
      </w:r>
    </w:p>
    <w:p>
      <w:pPr>
        <w:pStyle w:val="ListBullet"/>
      </w:pPr>
      <w:r>
        <w:rPr>
          <w:b/>
        </w:rPr>
        <w:t>Las comparaciones de medias</w:t>
      </w:r>
      <w:r>
        <w:t xml:space="preserve"> entre lo público y lo privado no corrigen la jornada, la antigüedad ni la cualificación.</w:t>
      </w:r>
    </w:p>
    <w:p>
      <w:pPr>
        <w:pStyle w:val="ListBullet"/>
      </w:pPr>
      <w:r>
        <w:rPr>
          <w:b/>
        </w:rPr>
        <w:t>Fuentes privadas o interesadas, marcadas:</w:t>
      </w:r>
      <w:r>
        <w:t xml:space="preserve"> el Impuestómetro (con datos de Molinari y EY), una asociación y una fundación de autónomos y pymes, un sindicato, una organización ecologista y la prensa sobre las multas de la Zona de Bajas Emisiones, cuya cifra la da una asociación de automovilistas y no un organismo oficial.</w:t>
      </w:r>
    </w:p>
    <w:p>
      <w:pPr>
        <w:pStyle w:val="ListBullet"/>
      </w:pPr>
      <w:r>
        <w:rPr>
          <w:b/>
        </w:rPr>
        <w:t>Lo que no se ha podido leer:</w:t>
      </w:r>
      <w:r>
        <w:t xml:space="preserve"> la STS de 2017 del foto-rojo, entera; la réplica de Smith, Smith y Stocks, salvo en transcripción; el informe completo del IIF, que es solo para socios; la cita atribuida a Friedman sobre la inflación como impuesto sin ley, que circula sin fuente primaria localizada.</w:t>
      </w:r>
    </w:p>
    <w:p>
      <w:pPr>
        <w:pStyle w:val="ListBullet"/>
      </w:pPr>
      <w:r>
        <w:rPr>
          <w:b/>
        </w:rPr>
        <w:t>Lo que no entra:</w:t>
      </w:r>
      <w:r>
        <w:t xml:space="preserve"> el «63 % del PIB» de la zona euro, los «18 billones» de dinero nuevo y las frases de la «literatura financiera» (sin fuente); los precios de Benidorm; las cifras de coste de la reconversión, de una fuente concentrada; las «60.000 viviendas de alquiler» perdidas; Nozick, y Murphy y Nagel.</w:t>
      </w:r>
    </w:p>
    <w:p>
      <w:pPr>
        <w:pStyle w:val="ListBullet"/>
      </w:pPr>
      <w:r>
        <w:rPr>
          <w:b/>
        </w:rPr>
        <w:t>Los números de la salud y la familia describen, no explican.</w:t>
      </w:r>
      <w:r>
        <w:t xml:space="preserve"> Que suban o no suban estas series no prueba que la causa sea el dinero, el Estado ni nada concreto: son datos de un país en el que han cambiado muchas cosas a la vez, y la obra no afirma ninguna causa.</w:t>
      </w:r>
    </w:p>
    <w:p>
      <w:pPr>
        <w:pStyle w:val="ListBullet"/>
      </w:pPr>
      <w:r>
        <w:rPr>
          <w:b/>
        </w:rPr>
        <w:t>«Española» no es «nativa», y algunos datos son provisionales o no se pudieron leer.</w:t>
      </w:r>
      <w:r>
        <w:t xml:space="preserve"> El INE publica los suicidios por nacionalidad y no por país de nacimiento; los suicidios de 2025 y la población de 2025 y 2026 son provisionales; el informe de antidepresivos de la Agencia de 2025 es un panel que no se pudo descargar; la serie de la OCDE tiene roturas en 2014 y 2018; y la depresión declarada de 2006 no es comparable.</w:t>
      </w:r>
    </w:p>
    <w:p>
      <w:pPr>
        <w:pStyle w:val="ListBullet"/>
      </w:pPr>
      <w:r>
        <w:rPr>
          <w:b/>
        </w:rPr>
        <w:t>El efectivo y la señal: los datos no muestran ningún plan de eliminar el efectivo,</w:t>
      </w:r>
      <w:r>
        <w:t xml:space="preserve"> y las fuentes oficiales leídas dicen lo contrario; la obra expone una dirección de hechos, con los que no encajan, y no afirma ninguna intención (</w:t>
      </w:r>
      <w:r>
        <w:t>8.11</w:t>
      </w:r>
      <w:r>
        <w:t>).</w:t>
      </w:r>
    </w:p>
    <w:p>
      <w:pPr>
        <w:pStyle w:val="ListBullet"/>
      </w:pPr>
      <w:r>
        <w:rPr>
          <w:b/>
        </w:rPr>
        <w:t>La señal del Apocalipsis no nombra ningún medio de pago,</w:t>
      </w:r>
      <w:r>
        <w:t xml:space="preserve"> y los dos autores antiguos que la comentan la ligan a una lealtad (Hipólito, a un acto de culto): la lectura de hoy es del autor y no se puede comprobar con los datos. El argumento del salto de vocabulario no sirve para elegir un medio concreto, porque permitiría igual de bien cualquier identificación (</w:t>
      </w:r>
      <w:r>
        <w:t>8.11</w:t>
      </w:r>
      <w:r>
        <w:t>).</w:t>
      </w:r>
    </w:p>
    <w:p>
      <w:pPr>
        <w:pStyle w:val="Heading2"/>
      </w:pPr>
      <w:r>
        <w:t>Dónde se oye la defensa del Estado</w:t>
      </w:r>
    </w:p>
    <w:p>
      <w:r>
        <w:t>La defensa del Estado frente a este capítulo, y lo que la obra le responde, se oyen en el juicio:</w:t>
      </w:r>
    </w:p>
    <w:p>
      <w:pPr>
        <w:pStyle w:val="ListBullet"/>
      </w:pPr>
      <w:r>
        <w:t xml:space="preserve">que la moneda sin respaldo estabiliza la economía y que el banco central es independiente, y que «hoy ningún gobierno devalúa para financiarse»: </w:t>
      </w:r>
      <w:r>
        <w:t>cargo 17</w:t>
      </w:r>
      <w:r>
        <w:t xml:space="preserve"> (</w:t>
      </w:r>
      <w:r>
        <w:t>11.3</w:t>
      </w:r>
      <w:r>
        <w:t>);</w:t>
      </w:r>
    </w:p>
    <w:p>
      <w:pPr>
        <w:pStyle w:val="ListBullet"/>
      </w:pPr>
      <w:r>
        <w:t>«No existe ningún plan mundial», «La desconfianza en las instituciones también es un sesgo» y «No todas las instituciones son iguales»: en las cuestiones previas (</w:t>
      </w:r>
      <w:r>
        <w:t>11.2</w:t>
      </w:r>
      <w:r>
        <w:t>);</w:t>
      </w:r>
    </w:p>
    <w:p>
      <w:pPr>
        <w:pStyle w:val="ListBullet"/>
      </w:pPr>
      <w:r>
        <w:t xml:space="preserve">«La reconversión era inevitable»: </w:t>
      </w:r>
      <w:r>
        <w:t>cargo 28</w:t>
      </w:r>
      <w:r>
        <w:t>;</w:t>
      </w:r>
    </w:p>
    <w:p>
      <w:pPr>
        <w:pStyle w:val="ListBullet"/>
      </w:pPr>
      <w:r>
        <w:t xml:space="preserve">«La baja fecundidad es un fenómeno europeo y cultural», «Los 58 años son una cifra sindical, y no son comparables» y «Correlación no es causalidad»: </w:t>
      </w:r>
      <w:r>
        <w:t>cargo 10</w:t>
      </w:r>
      <w:r>
        <w:t>;</w:t>
      </w:r>
    </w:p>
    <w:p>
      <w:pPr>
        <w:pStyle w:val="ListBullet"/>
      </w:pPr>
      <w:r>
        <w:t xml:space="preserve">las omisiones, de BOSCO, la franquicia y la gasolina: </w:t>
      </w:r>
      <w:r>
        <w:t>cargo 22</w:t>
      </w:r>
      <w:r>
        <w:t xml:space="preserve">; los aforamientos: </w:t>
      </w:r>
      <w:r>
        <w:t>cargo 2</w:t>
      </w:r>
      <w:r>
        <w:t>;</w:t>
      </w:r>
    </w:p>
    <w:p>
      <w:pPr>
        <w:pStyle w:val="ListBullet"/>
      </w:pPr>
      <w:r>
        <w:t>«la conclusión de conjunto», y que decir que «el sistema creó los problemas» es un salto: frente al dictamen (</w:t>
      </w:r>
      <w:r>
        <w:t>11.4</w:t>
      </w:r>
      <w:r>
        <w:t>).</w:t>
      </w:r>
    </w:p>
    <w:p>
      <w:pPr>
        <w:pStyle w:val="Heading2"/>
      </w:pPr>
      <w:r>
        <w:t>Para recordar</w:t>
      </w:r>
    </w:p>
    <w:p>
      <w:pPr>
        <w:pStyle w:val="ListBullet"/>
      </w:pPr>
      <w:r>
        <w:t>Desde 1971, el dinero vale lo que la ley declara y la confianza que se le tiene: es el dinero sin respaldo material. La mayor parte la crean los bancos al prestar.</w:t>
      </w:r>
    </w:p>
    <w:p>
      <w:pPr>
        <w:pStyle w:val="ListBullet"/>
      </w:pPr>
      <w:r>
        <w:t>Durante siete siglos, desde dentro del poder, se advirtió lo mismo: alterar la moneda es quitar sin pedir permiso.</w:t>
      </w:r>
    </w:p>
    <w:p>
      <w:pPr>
        <w:pStyle w:val="ListBullet"/>
      </w:pPr>
      <w:r>
        <w:t>El tiempo de vida cristalizado: 100 euros guardados el 1 de enero de 1971 compran hoy lo que entonces 3,90; la meta oficial es perder un 2 % al año; y lo que pierde quien ahorra lo gana, en buena parte, quien debe.</w:t>
      </w:r>
    </w:p>
    <w:p>
      <w:pPr>
        <w:pStyle w:val="ListBullet"/>
      </w:pPr>
      <w:r>
        <w:t>La carga: de cada 100 euros que cuesta el trabajo de un asalariado medio, al menos 41 van a cotizaciones e IRPF, y hasta 53,6 con todas las capas.</w:t>
      </w:r>
    </w:p>
    <w:p>
      <w:pPr>
        <w:pStyle w:val="ListBullet"/>
      </w:pPr>
      <w:r>
        <w:t>El silencio del ciudadano se castiga solo; el del sistema hay que perseguirlo durante años.</w:t>
      </w:r>
    </w:p>
    <w:p>
      <w:pPr>
        <w:pStyle w:val="ListBullet"/>
      </w:pPr>
      <w:r>
        <w:t>La hucha de las pensiones se vació y está invertida, por ley, en deuda del propio Estado. Se publica cada dato, nunca la suma: es el muro de opacidad.</w:t>
      </w:r>
    </w:p>
    <w:p>
      <w:pPr>
        <w:pStyle w:val="ListBullet"/>
      </w:pPr>
      <w:r>
        <w:t>La vivienda se ha alejado del salario y los hijos están en mínimos; la causa, abierta.</w:t>
      </w:r>
    </w:p>
    <w:p>
      <w:pPr>
        <w:pStyle w:val="ListBullet"/>
      </w:pPr>
      <w:r>
        <w:t>La gente no es peor que antes: la confianza que ha caído es la que se tenía en las instituciones.</w:t>
      </w:r>
    </w:p>
    <w:p>
      <w:pPr>
        <w:pStyle w:val="ListBullet"/>
      </w:pPr>
      <w:r>
        <w:t>La salud y la familia: los antidepresivos se han multiplicado por casi cuatro desde 2000; los suicidios y los divorcios, por habitante y separando a la población española de la extranjera, no suben; no se afirma ninguna causa.</w:t>
      </w:r>
    </w:p>
    <w:p>
      <w:pPr>
        <w:pStyle w:val="ListBullet"/>
      </w:pPr>
      <w:r>
        <w:t>El efectivo y la señal: los pagos grandes en efectivo se limitan cada vez más y se prepara un euro digital, con hechos que no encajan con que el efectivo vaya a desaparecer; el texto de la Biblia que condiciona comprar y vender a una señal la liga a la lealtad a un poder, no a un medio de pago; la obra no afirma ninguna intención.</w:t>
      </w:r>
    </w:p>
    <w:p>
      <w:pPr>
        <w:pStyle w:val="ListBullet"/>
      </w:pPr>
      <w:r>
        <w:rPr>
          <w:b/>
        </w:rPr>
        <w:t>Lo que aquí se expone que hay que podar (lectura del autor):</w:t>
      </w:r>
      <w:r>
        <w:t xml:space="preserve"> la moneda que, al perder valor, quita sin pedir permiso el tiempo de vida de quien ahorra; el silencio del ciudadano, que se castiga solo, frente al del sistema, que hay que perseguir durante años; y el muro de opacidad, que publica cada dato y no la suma.</w:t>
      </w:r>
    </w:p>
    <w:p>
      <w:pPr>
        <w:pStyle w:val="ListBullet"/>
      </w:pPr>
      <w:r>
        <w:rPr>
          <w:b/>
        </w:rPr>
        <w:t>Lo siguiente:</w:t>
      </w:r>
      <w:r>
        <w:t xml:space="preserve"> lo medido, reunido en una conclusión, el dictamen, con sus límites (</w:t>
      </w:r>
      <w:r>
        <w:t>capítulo 9</w:t>
      </w:r>
      <w:r>
        <w:t>).</w:t>
      </w:r>
    </w:p>
    <w:p>
      <w:r>
        <w:br w:type="page"/>
      </w:r>
    </w:p>
    <w:p>
      <w:pPr>
        <w:pStyle w:val="Heading1"/>
      </w:pPr>
      <w:r>
        <w:t>9 El dictamen</w:t>
      </w:r>
    </w:p>
    <w:p>
      <w:pPr>
        <w:spacing w:after="200"/>
      </w:pPr>
      <w:r>
        <w:rPr>
          <w:rFonts w:ascii="Segoe UI" w:hAnsi="Segoe UI" w:eastAsia="Segoe UI" w:cs="Segoe UI"/>
          <w:color w:val="6B665E"/>
          <w:sz w:val="17"/>
        </w:rPr>
        <w:t>Primera versión: 6 de octubre de 2026 · Última revisión: 12 de octubre de 2026 · Cambios anotados en el capítulo: 6 · Citas leídas en su fuente: 46</w:t>
      </w:r>
    </w:p>
    <w:p>
      <w:pPr>
        <w:pBdr>
          <w:left w:val="single" w:sz="24" w:space="6" w:color="E2DED6"/>
        </w:pBdr>
        <w:shd w:val="clear" w:color="auto" w:fill="F1EEE8"/>
        <w:spacing w:before="80" w:after="160"/>
        <w:ind w:left="142" w:right="142"/>
      </w:pPr>
      <w:r>
        <w:rPr>
          <w:b/>
        </w:rPr>
        <w:t>En pocas palabras:</w:t>
      </w:r>
    </w:p>
    <w:p>
      <w:pPr>
        <w:pStyle w:val="ListBullet"/>
      </w:pPr>
      <w:r>
        <w:t>Medido con la regla que aplica a cualquier empresa, el sistema estaría en causa de disolución: la Seguridad Social tiene patrimonio neto negativo desde 2017 y debe al Estado 126.170 millones de euros, y las administraciones gastaron más de lo que ingresaban en 28 de los 31 años de 1995 a 2025. No se le puede declarar en quiebra: su propia ley lo excluye del concurso.</w:t>
      </w:r>
    </w:p>
    <w:p>
      <w:pPr>
        <w:pStyle w:val="ListBullet"/>
      </w:pPr>
      <w:r>
        <w:t>Su deuda mayor no figura en la oficial: 6,13 billones de euros en pensiones ya prometidas. El ciudadano es a la vez su acreedor y quien la paga.</w:t>
      </w:r>
    </w:p>
    <w:p>
      <w:pPr>
        <w:pStyle w:val="ListBullet"/>
      </w:pPr>
      <w:r>
        <w:t xml:space="preserve">La autoridad, la </w:t>
      </w:r>
      <w:r>
        <w:rPr>
          <w:i/>
        </w:rPr>
        <w:t>auctoritas</w:t>
      </w:r>
      <w:r>
        <w:t>, viene de «hacer crecer». Hoy cada generación necesita más años de vida, más normas y más trámites para obtener lo mismo, y el hueco se cubre con deuda.</w:t>
      </w:r>
    </w:p>
    <w:p>
      <w:pPr>
        <w:pStyle w:val="ListBullet"/>
      </w:pPr>
      <w:r>
        <w:t xml:space="preserve">El dictamen de la obra, con el formato de la Ley de Auditoría y sin valor oficial: </w:t>
      </w:r>
      <w:r>
        <w:rPr>
          <w:b/>
        </w:rPr>
        <w:t>opinión desfavorable</w:t>
      </w:r>
      <w:r>
        <w:t>. Anuncia el cierre de una forma de gobierno, no de la ley ni de la comunidad, y no exime a nadie de sus obligaciones.</w:t>
      </w:r>
    </w:p>
    <w:p>
      <w:pPr>
        <w:pStyle w:val="ListBullet"/>
      </w:pPr>
      <w:r>
        <w:t>La compensación no puede pagarse con más deuda contra el mismo ciudadano: auditoría, responsabilidad de cada persona probada caso a caso, devolución de lo obtenido ilícitamente, y nunca por apellido.</w:t>
      </w:r>
    </w:p>
    <w:p>
      <w:pPr>
        <w:pStyle w:val="ListBullet"/>
      </w:pPr>
      <w:r>
        <w:t>Diez veces, de 1688 a 2009, la historia muestra la misma secuencia: primero se agota la sustancia del poder, y solo después el pueblo deja de sostenerlo. Es constancia histórica, no un manual.</w:t>
      </w:r>
    </w:p>
    <w:p>
      <w:pPr>
        <w:pStyle w:val="Heading2"/>
      </w:pPr>
      <w:r>
        <w:t>9.1 La quiebra camuflada</w:t>
      </w:r>
    </w:p>
    <w:p>
      <w:pPr>
        <w:pBdr>
          <w:left w:val="single" w:sz="24" w:space="6" w:color="E2DED6"/>
        </w:pBdr>
        <w:shd w:val="clear" w:color="auto" w:fill="F1EEE8"/>
        <w:spacing w:before="80" w:after="160"/>
        <w:ind w:left="142" w:right="142"/>
      </w:pPr>
      <w:r>
        <w:rPr>
          <w:b/>
        </w:rPr>
        <w:t>La idea: con la regla que el sistema aplica a cualquier empresa, estaría en causa de disolución, y su propia ley lo excluye del concurso. Su deuda mayor la tiene con el ciudadano, que es a la vez quien la paga.</w:t>
      </w:r>
    </w:p>
    <w:p>
      <w:pPr>
        <w:pStyle w:val="Heading3"/>
      </w:pPr>
      <w:r>
        <w:t>La misma vara</w:t>
      </w:r>
    </w:p>
    <w:p>
      <w:r>
        <w:rPr>
          <w:b/>
        </w:rPr>
        <w:t>Conclusión, lo que arrojan los datos:</w:t>
      </w:r>
      <w:r>
        <w:t xml:space="preserve"> con la vara que se aplica a cualquier persona o empresa, este sistema estaría en causa de disolución: su Seguridad Social lleva ocho años con patrimonio neto negativo, y el conjunto gasta más de lo que ingresa casi todos los años, pagando lo que vence con deuda nueva. No se le declara en quiebra porque la ley que él mismo escribe lo excluye del concurso.</w:t>
      </w:r>
    </w:p>
    <w:p>
      <w:pPr>
        <w:pStyle w:val="Heading3"/>
      </w:pPr>
      <w:r>
        <w:t>La deuda contraída contra el ciudadano</w:t>
      </w:r>
    </w:p>
    <w:p>
      <w:r>
        <w:rPr>
          <w:b/>
        </w:rPr>
        <w:t>Conclusión, lo que arrojan los datos:</w:t>
      </w:r>
      <w:r>
        <w:t xml:space="preserve"> el sistema debe a los ciudadanos, en pensiones ya prometidas, más de cuatro veces su deuda oficial, y esa deuda no figura en la cifra que se publica. Solo puede pagarla cobrando a aquellos a quienes se la debe.</w:t>
      </w:r>
    </w:p>
    <w:p>
      <w:pPr>
        <w:pStyle w:val="Heading3"/>
      </w:pPr>
      <w:r>
        <w:t>La autoridad perdida</w:t>
      </w:r>
    </w:p>
    <w:p>
      <w:r>
        <w:rPr>
          <w:b/>
        </w:rPr>
        <w:t>Conclusión, lo que arrojan los datos:</w:t>
      </w:r>
      <w:r>
        <w:t xml:space="preserve"> medido con la raíz de su propia palabra, el sistema no cumple: cada generación necesita más años de vida, más normas y más trámites para obtener lo mismo, y el hueco se cubre con deuda. Y muestra una de las enfermedades que describió el propio Hobbes, defensor del poder absoluto: impuestos que suben sin votarse y multas que se presupuestan antes de cometerse la infracción. Este diagnóstico no lo firma el autor: sale de las cuentas y estadísticas del propio Estado (el Tribunal de Cuentas, el INE, la Seguridad Social y el BOE) y de Eurostat y la OCDE.</w:t>
      </w:r>
    </w:p>
    <w:p>
      <w:pPr>
        <w:pStyle w:val="Heading2"/>
      </w:pPr>
      <w:r>
        <w:t>9.2 La forma sin sustancia, y cuando el pueblo retira la legitimidad</w:t>
      </w:r>
    </w:p>
    <w:p>
      <w:pPr>
        <w:pBdr>
          <w:left w:val="single" w:sz="24" w:space="6" w:color="E2DED6"/>
        </w:pBdr>
        <w:shd w:val="clear" w:color="auto" w:fill="F1EEE8"/>
        <w:spacing w:before="80" w:after="160"/>
        <w:ind w:left="142" w:right="142"/>
      </w:pPr>
      <w:r>
        <w:rPr>
          <w:b/>
        </w:rPr>
        <w:t>La idea: algunas tradiciones dieron al pueblo o a sus consejos un modo de retirar a quien gobierna sin sustancia. Cuando ese modo no existe, o falla, la historia muestra una secuencia que se repite: primero se agota la sustancia del poder, y solo después el pueblo deja de sostenerlo.</w:t>
      </w:r>
    </w:p>
    <w:p>
      <w:r>
        <w:rPr>
          <w:b/>
        </w:rPr>
        <w:t>Conclusión, lo que arrojan los datos:</w:t>
      </w:r>
      <w:r>
        <w:t xml:space="preserve"> en los diez casos se da la misma secuencia: primero se agota la sustancia del poder, y consta por escrito, y solo después el pueblo deja de sostenerlo. Es la otra cara de lo que se vio en 7.5: la forma puede seguir en pie mucho tiempo después de haberse vaciado, pero no para siempre. Y donde existían, los mejores mecanismos internos de corrección no bastaron contra una fuerza de fuera.</w:t>
      </w:r>
    </w:p>
    <w:p>
      <w:pPr>
        <w:pStyle w:val="Heading2"/>
      </w:pPr>
      <w:r>
        <w:t>Límite honesto de la prueba</w:t>
      </w:r>
    </w:p>
    <w:p>
      <w:pPr>
        <w:pStyle w:val="ListBullet"/>
      </w:pPr>
      <w:r>
        <w:rPr>
          <w:b/>
        </w:rPr>
        <w:t>Un Estado no es una sociedad mercantil.</w:t>
      </w:r>
      <w:r>
        <w:t xml:space="preserve"> La obra lo concede: tiene poder tributario y no desaparece como una empresa. La vara mercantil es una analogía elegida a propósito: medir el sistema con la regla que él aplica a los demás. Lo que prueban los datos es la causa de disolución con esa regla, no una quiebra en sentido legal: el Estado sigue pagando y obteniendo préstamos. </w:t>
      </w:r>
    </w:p>
    <w:p>
      <w:pPr>
        <w:pStyle w:val="ListBullet"/>
      </w:pPr>
      <w:r>
        <w:rPr>
          <w:b/>
        </w:rPr>
        <w:t>El dictamen no tiene valor oficial.</w:t>
      </w:r>
      <w:r>
        <w:t xml:space="preserve"> La obra no es un auditor inscrito ni un órgano de control; usa el formato de la ley para que su conclusión se lea con categorías conocidas. </w:t>
      </w:r>
    </w:p>
    <w:p>
      <w:pPr>
        <w:pStyle w:val="ListBullet"/>
      </w:pPr>
      <w:r>
        <w:rPr>
          <w:b/>
        </w:rPr>
        <w:t>La deuda de pensiones no vence hoy.</w:t>
      </w:r>
      <w:r>
        <w:t xml:space="preserve"> Es el valor actual de pagos futuros, como advierte el INE; y compararla con la deuda oficial es un cálculo de la obra.</w:t>
      </w:r>
    </w:p>
    <w:p>
      <w:pPr>
        <w:pStyle w:val="ListBullet"/>
      </w:pPr>
      <w:r>
        <w:rPr>
          <w:b/>
        </w:rPr>
        <w:t>El Estado cumple la mayor parte de su Constitución:</w:t>
      </w:r>
      <w:r>
        <w:t xml:space="preserve"> 93 de sus 169 artículos, sin incidencia relevante (</w:t>
      </w:r>
      <w:r>
        <w:t>7.1</w:t>
      </w:r>
      <w:r>
        <w:t xml:space="preserve">). El hallazgo no es la cifra total, sino dónde recae el incumplimiento. </w:t>
      </w:r>
    </w:p>
    <w:p>
      <w:pPr>
        <w:pStyle w:val="ListBullet"/>
      </w:pPr>
      <w:r>
        <w:rPr>
          <w:b/>
        </w:rPr>
        <w:t>Hay frutos que se reconocen:</w:t>
      </w:r>
      <w:r>
        <w:t xml:space="preserve"> sanidad universal, una pensión que la OCDE calcula en el 80,4 % del salario, una esperanza de vida de 84 años (</w:t>
      </w:r>
      <w:r>
        <w:t>8.4</w:t>
      </w:r>
      <w:r>
        <w:t xml:space="preserve">). El dictamen no los niega: los mide con la misma vara. Y parte del aumento del gasto se explica porque se vive más. </w:t>
      </w:r>
    </w:p>
    <w:p>
      <w:pPr>
        <w:pStyle w:val="ListBullet"/>
      </w:pPr>
      <w:r>
        <w:rPr>
          <w:b/>
        </w:rPr>
        <w:t>«El sistema creó los problemas» es lectura del autor,</w:t>
      </w:r>
      <w:r>
        <w:t xml:space="preserve"> no conclusión de los datos (</w:t>
      </w:r>
      <w:r>
        <w:t>8.9</w:t>
      </w:r>
      <w:r>
        <w:t xml:space="preserve">). </w:t>
      </w:r>
    </w:p>
    <w:p>
      <w:pPr>
        <w:pStyle w:val="ListBullet"/>
      </w:pPr>
      <w:r>
        <w:rPr>
          <w:b/>
        </w:rPr>
        <w:t>La compensación es una propuesta del autor, y la ley vigente le pone límites.</w:t>
      </w:r>
      <w:r>
        <w:t xml:space="preserve"> Nadie puede ser condenado por lo que no era delito cuando lo hizo</w:t>
      </w:r>
      <w:r>
        <w:t xml:space="preserve"> (Constitución, art. 25.1)</w:t>
      </w:r>
      <w:r>
        <w:t>, y la Constitución garantiza «la irretroactividad de las disposiciones sancionadoras no favorables o restrictivas de derechos individuales»</w:t>
      </w:r>
      <w:r>
        <w:t xml:space="preserve"> (art. 9.3)</w:t>
      </w:r>
      <w:r>
        <w:br/>
      </w:r>
      <w:r>
        <w:rPr>
          <w:b/>
        </w:rPr>
        <w:t>leída en su fuente · art. 9.3</w:t>
      </w:r>
      <w:r>
        <w:br/>
      </w:r>
      <w:r>
        <w:rPr>
          <w:b/>
        </w:rPr>
        <w:t>Archivo leído:</w:t>
      </w:r>
      <w:r>
        <w:t xml:space="preserve"> constitucion_1978.html (c5\constitucion_1978.html) · contraste del archivo de pasajes: ✔</w:t>
      </w:r>
      <w:r>
        <w:br/>
      </w:r>
      <w:r>
        <w:rPr>
          <w:b/>
        </w:rPr>
        <w:t>Lugar:</w:t>
      </w:r>
      <w:r>
        <w:t xml:space="preserve"> Art. 9.3</w:t>
      </w:r>
      <w:r>
        <w:br/>
      </w:r>
      <w:r>
        <w:rPr>
          <w:b/>
        </w:rPr>
        <w:t>Tal como está en la fuente:</w:t>
      </w:r>
      <w:r>
        <w:t xml:space="preserve"> la irretroactividad de las disposiciones sancionadoras no favorables o restrictivas de derechos individuales</w:t>
      </w:r>
      <w:r>
        <w:t>. El decomiso ampliado del Código Penal exige una condena: se ordena sobre los bienes de «una persona condenada por alguno de los siguientes delitos»</w:t>
      </w:r>
      <w:r>
        <w:t xml:space="preserve"> (Código Penal, art. 127 bis.1)</w:t>
      </w:r>
      <w:r>
        <w:br/>
      </w:r>
      <w:r>
        <w:rPr>
          <w:b/>
        </w:rPr>
        <w:t>leída en su fuente · Código Penal, art. 127 bis.1</w:t>
      </w:r>
      <w:r>
        <w:br/>
      </w:r>
      <w:r>
        <w:rPr>
          <w:b/>
        </w:rPr>
        <w:t>Archivo leído:</w:t>
      </w:r>
      <w:r>
        <w:t xml:space="preserve"> 8.5_15a_Codigo_Penal_BOE-A-1995-25444.html (c8c\8.5_15a_Codigo_Penal_BOE-A-1995-25444.html) · contraste del archivo de pasajes: ✔</w:t>
      </w:r>
      <w:r>
        <w:br/>
      </w:r>
      <w:r>
        <w:rPr>
          <w:b/>
        </w:rPr>
        <w:t>Lugar:</w:t>
      </w:r>
      <w:r>
        <w:t xml:space="preserve"> Art. 127 bis.1 (#a127bis)</w:t>
      </w:r>
      <w:r>
        <w:br/>
      </w:r>
      <w:r>
        <w:rPr>
          <w:b/>
        </w:rPr>
        <w:t>Dirección:</w:t>
      </w:r>
      <w:r>
        <w:t xml:space="preserve"> </w:t>
      </w:r>
      <w:r>
        <w:t>https://www.boe.es/buscar/act.php?id=BOE-A-1995-25444</w:t>
      </w:r>
      <w:r>
        <w:br/>
      </w:r>
      <w:r>
        <w:rPr>
          <w:b/>
        </w:rPr>
        <w:t>Tal como está en la fuente:</w:t>
      </w:r>
      <w:r>
        <w:t xml:space="preserve"> 1. El juez o tribunal ordenará también el decomiso de los bienes, efectos y ganancias pertenecientes a una persona condenada por alguno de los siguientes delitos cuando resuelva, a partir de indicios objetivos fundados, que los bienes o efectos provienen de una actividad delictiva, y no se acredite su origen lícito: / a) Delitos de trata de seres humanos. / a bis) Delitos de tráfico de órganos. / b) Delitos relativos a la prostitución y a la explotación sexual y corrupción de menores y delitos de abusos y agresiones sexuales a menores de dieciséis años. / c) Delitos informáticos de los apartados 2 y 3 del artículo 197 y artículo 264. / d) Delitos contra el patrimonio y contra el orden socioeconómico en los supuestos de continuidad delictiva y reincidencia. / e) Delitos relativos a las insolvencias punibles. / f) Delitos contra la propiedad intelectual o industrial. / g) Delitos de corrupción en los negocios. / h) Delitos de receptación del apartado 2 del artículo 298. / i) Delitos de blanqueo de capitales. / j) Delitos contra la Hacienda pública y la Seguridad Social. / k) Delitos contra los derechos de los trabajadores de los artículos 311 a 313. / l) Delitos contra los derechos de los ciudadanos extranjeros. / m) Delitos contra la salud pública de los artículos 368 a 373. / n) Delitos de falsificación de moneda. / o) Delitos de cohecho. / p) Delitos de malversación. / q) Delitos de terrorismo. / r) Delitos cometidos en el seno de una organización o grupo criminal.</w:t>
      </w:r>
      <w:r>
        <w:t xml:space="preserve">. El tribunal de Núremberg habló de la guerra de agresión contra tratados, no de la gestión de un Estado. Lo que el autor propone para lo que fue legal cuando se hizo exigiría cambiar la ley, por las vías del </w:t>
      </w:r>
      <w:r>
        <w:t>capítulo 10</w:t>
      </w:r>
      <w:r>
        <w:t>; mientras tanto, no autoriza a nadie a tomarse la justicia por su mano. Y el límite de la herencia vale para quien la acepta a beneficio de inventario: quien la acepta sin él responde de sus cargas «no sólo con los bienes de ésta, sino también con los suyos propios»</w:t>
      </w:r>
      <w:r>
        <w:t xml:space="preserve"> (Código Civil, art. 1003)</w:t>
      </w:r>
      <w:r>
        <w:br/>
      </w:r>
      <w:r>
        <w:rPr>
          <w:b/>
        </w:rPr>
        <w:t>leída en su fuente · Código Civil, art. 1003</w:t>
      </w:r>
      <w:r>
        <w:br/>
      </w:r>
      <w:r>
        <w:rPr>
          <w:b/>
        </w:rPr>
        <w:t>Archivo leído:</w:t>
      </w:r>
      <w:r>
        <w:t xml:space="preserve"> codigo_civil_1889.html (c5\codigo_civil_1889.html) · contraste del archivo de pasajes: ✔</w:t>
      </w:r>
      <w:r>
        <w:br/>
      </w:r>
      <w:r>
        <w:rPr>
          <w:b/>
        </w:rPr>
        <w:t>Lugar:</w:t>
      </w:r>
      <w:r>
        <w:t xml:space="preserve"> Art. 659</w:t>
      </w:r>
      <w:r>
        <w:br/>
      </w:r>
      <w:r>
        <w:rPr>
          <w:b/>
        </w:rPr>
        <w:t>Tal como está en la fuente:</w:t>
      </w:r>
      <w:r>
        <w:t xml:space="preserve"> no sólo con los bienes de ésta, sino también con los suyos propios</w:t>
      </w:r>
      <w:r>
        <w:t xml:space="preserve">. </w:t>
      </w:r>
    </w:p>
    <w:p>
      <w:pPr>
        <w:pStyle w:val="ListBullet"/>
      </w:pPr>
      <w:r>
        <w:rPr>
          <w:b/>
        </w:rPr>
        <w:t>Los diez casos son constancia histórica, no una ley de la historia.</w:t>
      </w:r>
      <w:r>
        <w:t xml:space="preserve"> Los eligió el autor. La obra no ha estudiado los casos en que el pueblo dejó de obedecer y el poder no cayó, ni qué vino después en cada país: que se retire el sostén a un poder no garantiza lo que llega luego. Varios hechos tienen una sola fuente secundaria (los presos de la India, las manifestaciones de Leipzig, las cacerolas de Islandia). Y la comparación con España la hace el autor, no los datos. </w:t>
      </w:r>
    </w:p>
    <w:p>
      <w:pPr>
        <w:pStyle w:val="ListBullet"/>
      </w:pPr>
      <w:r>
        <w:rPr>
          <w:b/>
        </w:rPr>
        <w:t>El caso que se descartó:</w:t>
      </w:r>
      <w:r>
        <w:t xml:space="preserve"> los aztecas elegían a su gobernante dentro de un linaje y por sus méritos, pero no se halló ningún modo de destituirlo: «El poder del Tlatoani era absoluto desde el punto de vista jurídico»</w:t>
      </w:r>
      <w:r>
        <w:t xml:space="preserve"> (López Austin, La constitución real de México-Tenochtitlan, UNAM, conclusión 12)</w:t>
      </w:r>
      <w:r>
        <w:br/>
      </w:r>
      <w:r>
        <w:rPr>
          <w:b/>
        </w:rPr>
        <w:t>pasaje guardado · López Austin, La constitución real de México-Tenochtitlan, UNAM, conclusión 12</w:t>
      </w:r>
      <w:r>
        <w:br/>
      </w:r>
      <w:r>
        <w:rPr>
          <w:b/>
        </w:rPr>
        <w:t>Archivo leído:</w:t>
      </w:r>
      <w:r>
        <w:t xml:space="preserve"> c13_unam_lopez_austin_constitucion_real_1961_conclusiones_060_11.pdf; c13_unam_lopez_austin_constitucion_real_1961_cap_funcionamiento_estatal_060_09.pdf; c13_unam_torquemada_monarquia_indiana_lib2_cap62_muerte_tizoc_miv1127.pdf; c13_britannica_ahuitzotl.html (c9b\c13_unam_lopez_austin_constitucion_real_1961_conclusiones_060_11.pdf) · contraste del archivo de pasajes: parcial</w:t>
      </w:r>
      <w:r>
        <w:br/>
      </w:r>
      <w:r>
        <w:rPr>
          <w:b/>
        </w:rPr>
        <w:t>Lugar:</w:t>
      </w:r>
      <w:r>
        <w:t xml:space="preserve"> López Austin, conclusión 12, pág. PDF 4 (p. 151)</w:t>
      </w:r>
      <w:r>
        <w:br/>
      </w:r>
      <w:r>
        <w:rPr>
          <w:b/>
        </w:rPr>
        <w:t>Tal como está en la fuente:</w:t>
      </w:r>
      <w:r>
        <w:t xml:space="preserve"> El poder del Tlatoani era absoluto desde el punto de vista jurídico.</w:t>
      </w:r>
      <w:r>
        <w:t>. A Tízoc no lo destituyeron: lo mataron, según las crónicas</w:t>
      </w:r>
      <w:r>
        <w:t xml:space="preserve"> (Torquemada, Monarquía indiana, 1615, lib. II, cap. LXII)</w:t>
      </w:r>
      <w:r>
        <w:t xml:space="preserve">. La fuente maya del Registro no se ha leído en el original, y no entra. </w:t>
      </w:r>
    </w:p>
    <w:p>
      <w:pPr>
        <w:pStyle w:val="ListBullet"/>
      </w:pPr>
      <w:r>
        <w:rPr>
          <w:b/>
        </w:rPr>
        <w:t>Cálculos de la obra:</w:t>
      </w:r>
      <w:r>
        <w:t xml:space="preserve"> las 18 jornadas, las «más de cuatro veces», los 37 años para la pensión entera, el 23 % y el 37 % más por habitante, y los 34.405 euros de deuda por habitante.</w:t>
      </w:r>
    </w:p>
    <w:p>
      <w:pPr>
        <w:pStyle w:val="ListBullet"/>
      </w:pPr>
      <w:r>
        <w:rPr>
          <w:b/>
        </w:rPr>
        <w:t>Fuentes privadas, marcadas:</w:t>
      </w:r>
      <w:r>
        <w:t xml:space="preserve"> el Instituto de Estudios Económicos, cuyo 3 % al 5 % recoge de otros autores y cuyo 1,5 % al 2,5 % es una estimación propia, y la asociación de autónomos de </w:t>
      </w:r>
      <w:r>
        <w:t>8.4</w:t>
      </w:r>
      <w:r>
        <w:t>.</w:t>
      </w:r>
    </w:p>
    <w:p>
      <w:pPr>
        <w:pStyle w:val="Heading2"/>
      </w:pPr>
      <w:r>
        <w:t>Dónde se oye la defensa del Estado</w:t>
      </w:r>
    </w:p>
    <w:p>
      <w:r>
        <w:t>La defensa del Estado frente al dictamen, y lo que la obra le responde, se oyen en el juicio, en 11.4:</w:t>
      </w:r>
    </w:p>
    <w:p>
      <w:pPr>
        <w:pStyle w:val="ListBullet"/>
      </w:pPr>
      <w:r>
        <w:t>«Un Estado no es una empresa», «La deuda de pensiones no vence hoy», «Un dinero sin respaldo material es la norma mundial», «"Opinión desfavorable" no es una auditoría oficial» y «Anunciar el cierre de una forma de gobierno invita a desobedecer»;</w:t>
      </w:r>
    </w:p>
    <w:p>
      <w:pPr>
        <w:pStyle w:val="ListBullet"/>
      </w:pPr>
      <w:r>
        <w:t>que España tiene un perfil mixto, con mecanismos reales de acceso abierto; que el Estado cumple la mayor parte de su Constitución; que las amenazas corregidas prueban que el sistema se frena a sí mismo; y la lectura de conjunto, con sus logros;</w:t>
      </w:r>
    </w:p>
    <w:p>
      <w:pPr>
        <w:pStyle w:val="ListBullet"/>
      </w:pPr>
      <w:r>
        <w:t>que «una forma sin sustancia es corrupción» es una categoría moral, no jurídica; y que comparar a España con los diez casos es ilegítimo, porque eran colonias o dictaduras;</w:t>
      </w:r>
    </w:p>
    <w:p>
      <w:pPr>
        <w:pStyle w:val="ListBullet"/>
      </w:pPr>
      <w:r>
        <w:t>que la confianza alta entre la gente prueba que el marco funciona; que decir que «el sistema creó los problemas» es un salto; y la conclusión de conjunto.</w:t>
      </w:r>
    </w:p>
    <w:p>
      <w:r>
        <w:t xml:space="preserve">La objeción de que recuperar lo obtenido ilícitamente exige condena se oye con su propuesta, en el </w:t>
      </w:r>
      <w:r>
        <w:t>capítulo 10</w:t>
      </w:r>
      <w:r>
        <w:t>.</w:t>
      </w:r>
    </w:p>
    <w:p>
      <w:pPr>
        <w:pStyle w:val="Heading2"/>
      </w:pPr>
      <w:r>
        <w:t>Para recordar</w:t>
      </w:r>
    </w:p>
    <w:p>
      <w:pPr>
        <w:pStyle w:val="ListBullet"/>
      </w:pPr>
      <w:r>
        <w:t>La misma vara: con la regla que aplica a cualquier empresa, el sistema estaría en causa de disolución, y su propia ley lo excluye del concurso.</w:t>
      </w:r>
    </w:p>
    <w:p>
      <w:pPr>
        <w:pStyle w:val="ListBullet"/>
      </w:pPr>
      <w:r>
        <w:t>La quiebra camuflada es la lectura del autor: el camuflaje no es el secreto, sino la complejidad.</w:t>
      </w:r>
    </w:p>
    <w:p>
      <w:pPr>
        <w:pStyle w:val="ListBullet"/>
      </w:pPr>
      <w:r>
        <w:t>El ciudadano es acreedor y pagador: 6,13 billones de euros en pensiones prometidas, más de cuatro veces la deuda oficial de aquel año, que no figuran en ella.</w:t>
      </w:r>
    </w:p>
    <w:p>
      <w:pPr>
        <w:pStyle w:val="ListBullet"/>
      </w:pPr>
      <w:r>
        <w:rPr>
          <w:i/>
        </w:rPr>
        <w:t>Auctoritas</w:t>
      </w:r>
      <w:r>
        <w:t xml:space="preserve"> es hacer crecer. Hoy se piden más años, más normas y más trámites por lo mismo, y el hueco se cubre con deuda.</w:t>
      </w:r>
    </w:p>
    <w:p>
      <w:pPr>
        <w:pStyle w:val="ListBullet"/>
      </w:pPr>
      <w:r>
        <w:t>El propio Hobbes escribió que su Leviatán es mortal y que debe obedecer leyes que no son suyas.</w:t>
      </w:r>
    </w:p>
    <w:p>
      <w:pPr>
        <w:pStyle w:val="ListBullet"/>
      </w:pPr>
      <w:r>
        <w:t>El dictamen: opinión desfavorable, sin valor oficial. Anuncia el cierre de una forma de gobierno, no de la ley, por la puerta que la Constitución dejó abierta (art. 168).</w:t>
      </w:r>
    </w:p>
    <w:p>
      <w:pPr>
        <w:pStyle w:val="ListBullet"/>
      </w:pPr>
      <w:r>
        <w:t>La compensación: sin más deuda contra el ciudadano; caso a caso, con derecho de defensa, y nunca por apellido.</w:t>
      </w:r>
    </w:p>
    <w:p>
      <w:pPr>
        <w:pStyle w:val="ListBullet"/>
      </w:pPr>
      <w:r>
        <w:t>Cuando la forma se queda sin sustancia, el pueblo acaba por dejar de sostenerla. La obra lo deja por escrito; su vía es la constancia escrita.</w:t>
      </w:r>
    </w:p>
    <w:p>
      <w:pPr>
        <w:pStyle w:val="ListBullet"/>
      </w:pPr>
      <w:r>
        <w:rPr>
          <w:b/>
        </w:rPr>
        <w:t>Lo que aquí se expone que hay que podar (lectura del autor):</w:t>
      </w:r>
      <w:r>
        <w:t xml:space="preserve"> la quiebra camuflada: la regla que el sistema aplica a cualquier empresa y no se aplica a sí mismo, la complejidad que la tapa y el hueco que se cubre con deuda contra el ciudadano.</w:t>
      </w:r>
    </w:p>
    <w:p>
      <w:pPr>
        <w:pStyle w:val="ListBullet"/>
      </w:pPr>
      <w:r>
        <w:rPr>
          <w:b/>
        </w:rPr>
        <w:t>Lo siguiente:</w:t>
      </w:r>
      <w:r>
        <w:t xml:space="preserve"> las puertas, todas dentro de la ley: compensar, pedir con constancia escrita y deslindar (</w:t>
      </w:r>
      <w:r>
        <w:t>capítulo 10</w:t>
      </w:r>
      <w:r>
        <w:t>).</w:t>
      </w:r>
    </w:p>
    <w:p>
      <w:r>
        <w:br w:type="page"/>
      </w:r>
    </w:p>
    <w:p>
      <w:pPr>
        <w:pStyle w:val="Heading1"/>
      </w:pPr>
      <w:r>
        <w:t>10 Las puertas</w:t>
      </w:r>
    </w:p>
    <w:p>
      <w:pPr>
        <w:spacing w:after="200"/>
      </w:pPr>
      <w:r>
        <w:rPr>
          <w:rFonts w:ascii="Segoe UI" w:hAnsi="Segoe UI" w:eastAsia="Segoe UI" w:cs="Segoe UI"/>
          <w:color w:val="6B665E"/>
          <w:sz w:val="17"/>
        </w:rPr>
        <w:t>Primera versión: 6 de octubre de 2026 · Última revisión: 12 de octubre de 2026 · Cambios anotados en el capítulo: 13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Los textos que mandan pagar y obedecer ponen en el mismo sitio su condición: que la autoridad sirva. La obra está de acuerdo con pagar a un Estado que sirva al pueblo, y su camino es pedir, no dejar de pagar.</w:t>
      </w:r>
    </w:p>
    <w:p>
      <w:pPr>
        <w:pStyle w:val="ListBullet"/>
      </w:pPr>
      <w:r>
        <w:t>No se reclama un Estado nuevo: se invita al que hay a metamorfosearse. Las propuestas del autor van separadas de lo que ya existe.</w:t>
      </w:r>
    </w:p>
    <w:p>
      <w:pPr>
        <w:pStyle w:val="ListBullet"/>
      </w:pPr>
      <w:r>
        <w:t>Corregir sin vengarse: separar lo que sirve de lo que daña, caso por caso y con pruebas, sin arrancar el trigo con la cizaña; y quien corrige, como el médico, necesita consentimiento, buscar el bien del corregido, la medida justa y un rumbo.</w:t>
      </w:r>
    </w:p>
    <w:p>
      <w:pPr>
        <w:pStyle w:val="ListBullet"/>
      </w:pPr>
      <w:r>
        <w:t>La herramienta del ciudadano cabe en una pregunta: «¿Me puede explicar qué es lo que le legitima para solicitarme esto?». Se hace por escrito, y lo que se responde, o el silencio, queda registrado.</w:t>
      </w:r>
    </w:p>
    <w:p>
      <w:pPr>
        <w:pStyle w:val="ListBullet"/>
      </w:pPr>
      <w:r>
        <w:t>La ley ya obliga a compensar el daño injusto, y cada vez más arriba: el particular, la Administración, la justicia, el Tribunal Constitucional y hasta el legislador.</w:t>
      </w:r>
    </w:p>
    <w:p>
      <w:pPr>
        <w:pStyle w:val="ListBullet"/>
      </w:pPr>
      <w:r>
        <w:t>Cuando el límite entre lo que es del Estado y lo que es de la persona ya no se ve, se pide un deslinde: volver a marcarlo, con las dos partes presentes. No es una acusación.</w:t>
      </w:r>
    </w:p>
    <w:p>
      <w:pPr>
        <w:pStyle w:val="ListBullet"/>
      </w:pPr>
      <w:r>
        <w:t>Todo converge en el Registro de los frutos y en el juicio popular de la verdad: dejar constancia, a la vista de todos.</w:t>
      </w:r>
    </w:p>
    <w:p>
      <w:pPr>
        <w:pStyle w:val="ListBullet"/>
      </w:pPr>
      <w:r>
        <w:t>La última puerta no da al Estado, sino a uno mismo: la brújula, tres preguntas cuya respuesta no es dato de la obra.</w:t>
      </w:r>
    </w:p>
    <w:p>
      <w:pPr>
        <w:pStyle w:val="Heading2"/>
      </w:pPr>
      <w:r>
        <w:t>10.1 Lo que se propone: un Estado que sirva al pueblo</w:t>
      </w:r>
    </w:p>
    <w:p>
      <w:pPr>
        <w:pBdr>
          <w:left w:val="single" w:sz="24" w:space="6" w:color="E2DED6"/>
        </w:pBdr>
        <w:shd w:val="clear" w:color="auto" w:fill="F1EEE8"/>
        <w:spacing w:before="80" w:after="160"/>
        <w:ind w:left="142" w:right="142"/>
      </w:pPr>
      <w:r>
        <w:rPr>
          <w:b/>
        </w:rPr>
        <w:t>La idea: los mismos textos que mandan pagar y obedecer ponen la condición en el mismo lugar: la autoridad es para el bien de quien obedece. La obra está de acuerdo con pagar a un Estado que sirva, y su camino es pedir, no dejar de pagar.</w:t>
      </w:r>
    </w:p>
    <w:p>
      <w:pPr>
        <w:pStyle w:val="Heading3"/>
      </w:pPr>
      <w:r>
        <w:t>Los textos que mandan pagar y obedecer</w:t>
      </w:r>
    </w:p>
    <w:p>
      <w:r>
        <w:rPr>
          <w:b/>
        </w:rPr>
        <w:t>Conclusión, lo que arrojan los datos:</w:t>
      </w:r>
      <w:r>
        <w:t xml:space="preserve"> los textos que mandan pagar y obedecer no lo mandan sin condición: la autoridad lo es para el bien de quien obedece, y por encima de ella está Dios.</w:t>
      </w:r>
    </w:p>
    <w:p>
      <w:pPr>
        <w:pStyle w:val="Heading2"/>
      </w:pPr>
      <w:r>
        <w:t>10.2 La metamorfosis del Estado</w:t>
      </w:r>
    </w:p>
    <w:p>
      <w:pPr>
        <w:pBdr>
          <w:left w:val="single" w:sz="24" w:space="6" w:color="E2DED6"/>
        </w:pBdr>
        <w:shd w:val="clear" w:color="auto" w:fill="F1EEE8"/>
        <w:spacing w:before="80" w:after="160"/>
        <w:ind w:left="142" w:right="142"/>
      </w:pPr>
      <w:r>
        <w:rPr>
          <w:b/>
        </w:rPr>
        <w:t>La idea: no se reclama un Estado nuevo, sino que el que hay se alinee con la ley que está por encima de la suya y sirva al bien común, porque solo así recupera su legitimidad. Las propuestas del autor van marcadas como tales, separadas de lo que ya existe.</w:t>
      </w:r>
    </w:p>
    <w:p>
      <w:pPr>
        <w:pStyle w:val="Heading3"/>
      </w:pPr>
      <w:r>
        <w:t>1. La prensa, libre y auditada</w:t>
      </w:r>
    </w:p>
    <w:p>
      <w:r>
        <w:rPr>
          <w:b/>
        </w:rPr>
        <w:t>Conclusión, lo que arrojan los datos:</w:t>
      </w:r>
      <w:r>
        <w:t xml:space="preserve"> la ley ya obliga a que se sepa quién es dueño de cada medio y cuánto dinero público recibe. Cualquiera puede comprobarlo.</w:t>
      </w:r>
    </w:p>
    <w:p>
      <w:pPr>
        <w:pStyle w:val="Heading3"/>
      </w:pPr>
      <w:r>
        <w:t>2. El control ciudadano, con los jubilados</w:t>
      </w:r>
    </w:p>
    <w:p>
      <w:r>
        <w:rPr>
          <w:b/>
        </w:rPr>
        <w:t>Conclusión, lo que arrojan los datos:</w:t>
      </w:r>
      <w:r>
        <w:t xml:space="preserve"> la información existe y es pública, pero llega tarde y casi nadie la mira de forma organizada.</w:t>
      </w:r>
    </w:p>
    <w:p>
      <w:pPr>
        <w:pStyle w:val="Heading2"/>
      </w:pPr>
      <w:r>
        <w:t>10.3 La depuración sin venganza</w:t>
      </w:r>
    </w:p>
    <w:p>
      <w:pPr>
        <w:pBdr>
          <w:left w:val="single" w:sz="24" w:space="6" w:color="E2DED6"/>
        </w:pBdr>
        <w:shd w:val="clear" w:color="auto" w:fill="F1EEE8"/>
        <w:spacing w:before="80" w:after="160"/>
        <w:ind w:left="142" w:right="142"/>
      </w:pPr>
      <w:r>
        <w:rPr>
          <w:b/>
        </w:rPr>
        <w:t>La idea: corregir no es vengarse. Se audita para separar lo que sirve de lo que daña, sin desmantelar sistemas enteros ni cortar cabezas; la responsabilidad se establece por acto y con fuente, nunca por pertenecer a un colectivo; y quien corrige, como el médico, necesita cuatro cosas: consentimiento, buscar el bien del corregido, la medida justa y un rumbo.</w:t>
      </w:r>
    </w:p>
    <w:p>
      <w:r>
        <w:rPr>
          <w:b/>
        </w:rPr>
        <w:t>Conclusión, lo que arrojan los datos:</w:t>
      </w:r>
      <w:r>
        <w:t xml:space="preserve"> los textos leídos coinciden en las cuatro condiciones, y en la medida justa coinciden tres familias que no se citan entre sí (China, la India y el Evangelio) con la misma imagen del campo. Cuando falta una de las cuatro, los mismos textos lo llaman daño: el hombre de Song secó sus brotes; los pastores que se apacientan a sí mismos no sanan a nadie.</w:t>
      </w:r>
    </w:p>
    <w:p>
      <w:pPr>
        <w:pStyle w:val="Heading2"/>
      </w:pPr>
      <w:r>
        <w:t>10.4 La constancia escrita y la pregunta</w:t>
      </w:r>
    </w:p>
    <w:p>
      <w:pPr>
        <w:pBdr>
          <w:left w:val="single" w:sz="24" w:space="6" w:color="E2DED6"/>
        </w:pBdr>
        <w:shd w:val="clear" w:color="auto" w:fill="F1EEE8"/>
        <w:spacing w:before="80" w:after="160"/>
        <w:ind w:left="142" w:right="142"/>
      </w:pPr>
      <w:r>
        <w:rPr>
          <w:b/>
        </w:rPr>
        <w:t>La idea: el ciudadano no tiene que arreglar la casa del Estado, sino dejar constancia. Pide por escrito la norma y la resolución que amparan lo que se le exige, y lo que le respondan, o el silencio, queda registrado. Desde ese momento, quien tramita ya sabe.</w:t>
      </w:r>
    </w:p>
    <w:p>
      <w:pPr>
        <w:pStyle w:val="Heading3"/>
      </w:pPr>
      <w:r>
        <w:t>La constancia escrita</w:t>
      </w:r>
    </w:p>
    <w:p>
      <w:pPr>
        <w:pStyle w:val="Heading3"/>
      </w:pPr>
      <w:r>
        <w:t>Lo que dice la ley sobre quien yerra y quien sostiene lo injusto</w:t>
      </w:r>
    </w:p>
    <w:p>
      <w:r>
        <w:rPr>
          <w:b/>
        </w:rPr>
        <w:t>Conclusión, lo que arrojan los datos:</w:t>
      </w:r>
      <w:r>
        <w:t xml:space="preserve"> la ley distingue a quien yerra de quien sostiene lo injusto a sabiendas. Un escrito que pide la norma y la resolución, expone por qué la actuación no se sostiene y pide identificar a quien la tramita, deja constancia de lo que se advirtió, cuándo y a quién. El escrito no anula la norma: una ley vigente solo la deja sin efecto un tribunal. Y si hubo o no conocimiento, lo decide un juez, no el escrito.</w:t>
      </w:r>
    </w:p>
    <w:p>
      <w:pPr>
        <w:pStyle w:val="Heading3"/>
      </w:pPr>
      <w:r>
        <w:t>La pregunta, y el escrito de petición</w:t>
      </w:r>
    </w:p>
    <w:p>
      <w:pPr>
        <w:pStyle w:val="Heading3"/>
      </w:pPr>
      <w:r>
        <w:t>Qué hacer si no contestan</w:t>
      </w:r>
    </w:p>
    <w:p>
      <w:pPr>
        <w:pStyle w:val="Heading3"/>
      </w:pPr>
      <w:r>
        <w:t>Las vías que ya han funcionado</w:t>
      </w:r>
    </w:p>
    <w:p>
      <w:pPr>
        <w:pStyle w:val="Heading3"/>
      </w:pPr>
      <w:r>
        <w:t>Defenderse juntos</w:t>
      </w:r>
    </w:p>
    <w:p>
      <w:r>
        <w:rPr>
          <w:b/>
        </w:rPr>
        <w:t>Conclusión, lo que arrojan los datos:</w:t>
      </w:r>
      <w:r>
        <w:t xml:space="preserve"> los cauces para defenderse en grupo ya existen. Lo que falta es encontrar a quien tiene el mismo problema.</w:t>
      </w:r>
    </w:p>
    <w:p>
      <w:pPr>
        <w:pStyle w:val="Heading2"/>
      </w:pPr>
      <w:r>
        <w:t>10.5 El botiquín de escritos</w:t>
      </w:r>
    </w:p>
    <w:p>
      <w:pPr>
        <w:pBdr>
          <w:left w:val="single" w:sz="24" w:space="6" w:color="E2DED6"/>
        </w:pBdr>
        <w:shd w:val="clear" w:color="auto" w:fill="F1EEE8"/>
        <w:spacing w:before="80" w:after="160"/>
        <w:ind w:left="142" w:right="142"/>
      </w:pPr>
      <w:r>
        <w:rPr>
          <w:b/>
        </w:rPr>
        <w:t xml:space="preserve">La idea: el botiquín son los modelos de escrito listos para rellenar, cada uno con sus artículos y sus plazos. Aquí, su índice y su regla; los doce modelos completos, en el </w:t>
      </w:r>
      <w:r>
        <w:rPr>
          <w:b/>
        </w:rPr>
        <w:t>anexo D</w:t>
      </w:r>
      <w:r>
        <w:rPr>
          <w:b/>
        </w:rPr>
        <w:t>.</w:t>
      </w:r>
    </w:p>
    <w:p>
      <w:pPr>
        <w:pStyle w:val="Heading2"/>
      </w:pPr>
      <w:r>
        <w:t>10.6 El derecho a compensación</w:t>
      </w:r>
    </w:p>
    <w:p>
      <w:pPr>
        <w:pBdr>
          <w:left w:val="single" w:sz="24" w:space="6" w:color="E2DED6"/>
        </w:pBdr>
        <w:shd w:val="clear" w:color="auto" w:fill="F1EEE8"/>
        <w:spacing w:before="80" w:after="160"/>
        <w:ind w:left="142" w:right="142"/>
      </w:pPr>
      <w:r>
        <w:rPr>
          <w:b/>
        </w:rPr>
        <w:t>La idea: cuando alguien causa un daño injusto, la respuesta madura de un sistema jurídico no es solo castigar: es compensar. La ley española ya obliga a hacerlo cada vez más arriba: el particular, la Administración, la justicia, el Tribunal Constitucional y el legislador. Cuanto más arriba, más estrecho es el camino.</w:t>
      </w:r>
    </w:p>
    <w:p>
      <w:r>
        <w:rPr>
          <w:b/>
        </w:rPr>
        <w:t>Conclusión, lo que arrojan los datos:</w:t>
      </w:r>
      <w:r>
        <w:t xml:space="preserve"> el principio de compensar el daño injusto alcanza en la ley española a todos los niveles del poder, hasta el Tribunal Constitucional y el legislador. Y en este frente concreto la ley pide más al Estado que a los particulares: responder sin que nadie pruebe su culpa. No todas las asimetrías documentadas en esta obra juegan contra el ciudadano, y esta es la prueba.</w:t>
      </w:r>
    </w:p>
    <w:p>
      <w:pPr>
        <w:pStyle w:val="Heading2"/>
      </w:pPr>
      <w:r>
        <w:t>10.7 El deslinde</w:t>
      </w:r>
    </w:p>
    <w:p>
      <w:pPr>
        <w:pBdr>
          <w:left w:val="single" w:sz="24" w:space="6" w:color="E2DED6"/>
        </w:pBdr>
        <w:shd w:val="clear" w:color="auto" w:fill="F1EEE8"/>
        <w:spacing w:before="80" w:after="160"/>
        <w:ind w:left="142" w:right="142"/>
      </w:pPr>
      <w:r>
        <w:rPr>
          <w:b/>
        </w:rPr>
        <w:t>La idea: cuando el límite entre lo que corresponde al Estado y lo que corresponde a la persona ya no se ve, se pide que se vuelva a marcar, con las dos partes presentes. No es una acusación ni una demanda de derribo: es una figura del Código Civil.</w:t>
      </w:r>
    </w:p>
    <w:p>
      <w:pPr>
        <w:pStyle w:val="Heading3"/>
      </w:pPr>
      <w:r>
        <w:t>La figura</w:t>
      </w:r>
    </w:p>
    <w:p>
      <w:pPr>
        <w:pStyle w:val="Heading3"/>
      </w:pPr>
      <w:r>
        <w:t>Por qué esta y no otra</w:t>
      </w:r>
    </w:p>
    <w:p>
      <w:r>
        <w:rPr>
          <w:b/>
        </w:rPr>
        <w:t>Conclusión, lo que arrojan los datos:</w:t>
      </w:r>
      <w:r>
        <w:t xml:space="preserve"> cuando el Estado español se sienta abajo, frente a la Unión, la regla escrita es que la competencia no se presume: se atribuye. Cuando se sienta arriba, frente al ciudadano, sus actos «se presumirán válidos»</w:t>
      </w:r>
      <w:r>
        <w:t xml:space="preserve"> (Ley 39/2015, art. 39)</w:t>
      </w:r>
      <w:r>
        <w:t xml:space="preserve"> (</w:t>
      </w:r>
      <w:r>
        <w:t>5.2</w:t>
      </w:r>
      <w:r>
        <w:t>), y es el ciudadano quien tiene que recurrir para que se le enseñe el título. La misma persona jurídica sostiene dos doctrinas sobre el poder prestado, según la silla en que se siente. No hace falta llamarlo de ningún modo: basta ponerlo en dos columnas.</w:t>
      </w:r>
    </w:p>
    <w:p>
      <w:pPr>
        <w:pStyle w:val="Heading3"/>
      </w:pPr>
      <w:r>
        <w:t>La medida: el exceso que contamina el acto entero</w:t>
      </w:r>
    </w:p>
    <w:p>
      <w:pPr>
        <w:pStyle w:val="Heading3"/>
      </w:pPr>
      <w:r>
        <w:t>La medida del tiempo: la justicia tardía</w:t>
      </w:r>
    </w:p>
    <w:p>
      <w:r>
        <w:rPr>
          <w:b/>
        </w:rPr>
        <w:t>Conclusión, lo que arrojan los datos:</w:t>
      </w:r>
      <w:r>
        <w:t xml:space="preserve"> no hay cifras falsificadas, sino una definición legal estrecha que deja fuera una parte del problema: nadie tiene la cifra total, porque nadie la mide de forma unificada. Es una laguna de medición, no un ocultamiento probado. Y el fallo práctico está en el primer contacto, como en Torrejón de Ardoz (</w:t>
      </w:r>
      <w:r>
        <w:t>7.7</w:t>
      </w:r>
      <w:r>
        <w:t>, n.º 1).</w:t>
      </w:r>
    </w:p>
    <w:p>
      <w:pPr>
        <w:pStyle w:val="Heading2"/>
      </w:pPr>
      <w:r>
        <w:t>10.8 El Registro de los frutos</w:t>
      </w:r>
    </w:p>
    <w:p>
      <w:pPr>
        <w:pBdr>
          <w:left w:val="single" w:sz="24" w:space="6" w:color="E2DED6"/>
        </w:pBdr>
        <w:shd w:val="clear" w:color="auto" w:fill="F1EEE8"/>
        <w:spacing w:before="80" w:after="160"/>
        <w:ind w:left="142" w:right="142"/>
      </w:pPr>
      <w:r>
        <w:rPr>
          <w:b/>
        </w:rPr>
        <w:t>La idea: el Registro de los frutos es el archivo público que la obra propone: cada ciudadano dejará constancia de sus escritos al Estado y de la respuesta o el silencio, y todo converge en un juicio popular de la verdad. Hoy es una propuesta, no un archivo en marcha.</w:t>
      </w:r>
    </w:p>
    <w:p>
      <w:r>
        <w:rPr>
          <w:b/>
        </w:rPr>
        <w:t>Conclusión, lo que arrojan los datos:</w:t>
      </w:r>
      <w:r>
        <w:t xml:space="preserve"> dentro de la jurisdicción del Estado, con sus reglas y sus tribunales, el sistema juega con ventaja: el Constitucional admitió en 2025 59 de 9.089 recursos de amparo (</w:t>
      </w:r>
      <w:r>
        <w:t>5.1</w:t>
      </w:r>
      <w:r>
        <w:t>, n.º 19). Pero la ley ya reconoce otras puertas: el jurado, la costumbre, la petición colectiva y el caso testigo.</w:t>
      </w:r>
    </w:p>
    <w:p>
      <w:pPr>
        <w:pStyle w:val="Heading2"/>
      </w:pPr>
      <w:r>
        <w:t>10.9 La brújula</w:t>
      </w:r>
    </w:p>
    <w:p>
      <w:pPr>
        <w:pBdr>
          <w:left w:val="single" w:sz="24" w:space="6" w:color="E2DED6"/>
        </w:pBdr>
        <w:shd w:val="clear" w:color="auto" w:fill="F1EEE8"/>
        <w:spacing w:before="80" w:after="160"/>
        <w:ind w:left="142" w:right="142"/>
      </w:pPr>
      <w:r>
        <w:rPr>
          <w:b/>
        </w:rPr>
        <w:t>La idea: las puertas de este capítulo sirven para pedir al Estado; esta sirve para mirarse uno. Tres preguntas: cómo te hace sentir vivir en este árbol, cómo lo vive el otro y a qué das tu consentimiento. Lo que uno siente es una señal, no una prueba, y se lee junto a los frutos. La respuesta no es dato de la obra: es tuya.</w:t>
      </w:r>
    </w:p>
    <w:p>
      <w:pPr>
        <w:pStyle w:val="Heading2"/>
      </w:pPr>
      <w:r>
        <w:t>Límite honesto de la prueba</w:t>
      </w:r>
    </w:p>
    <w:p>
      <w:pPr>
        <w:pStyle w:val="ListBullet"/>
      </w:pPr>
      <w:r>
        <w:rPr>
          <w:b/>
        </w:rPr>
        <w:t>Las propuestas son del autor.</w:t>
      </w:r>
      <w:r>
        <w:t xml:space="preserve"> Lo que va marcado como propuesta (el control con jubilados, el diezmo, los jurados por generaciones, el consejo con avales, la defensa en grupo, el Registro y el juicio popular) no está probado por los datos: es lo que el autor propone, y su cálculo, como el de la transición del diezmo, está pendiente.</w:t>
      </w:r>
    </w:p>
    <w:p>
      <w:pPr>
        <w:pStyle w:val="ListBullet"/>
      </w:pPr>
      <w:r>
        <w:rPr>
          <w:b/>
        </w:rPr>
        <w:t>Las vías legales son estrechas.</w:t>
      </w:r>
      <w:r>
        <w:t xml:space="preserve"> Los derechos a compensar existen con letra clara, pero el camino para ejercerlos es largo, y más cuanto más arriba se aplica.</w:t>
      </w:r>
    </w:p>
    <w:p>
      <w:pPr>
        <w:pStyle w:val="ListBullet"/>
      </w:pPr>
      <w:r>
        <w:rPr>
          <w:b/>
        </w:rPr>
        <w:t>El deslinde prueba una convergencia, no una obligación.</w:t>
      </w:r>
      <w:r>
        <w:t xml:space="preserve"> El Estado está sometido por escrito al principio de atribución frente a la Unión, no frente al ciudadano.</w:t>
      </w:r>
    </w:p>
    <w:p>
      <w:pPr>
        <w:pStyle w:val="ListBullet"/>
      </w:pPr>
      <w:r>
        <w:rPr>
          <w:b/>
        </w:rPr>
        <w:t>Lo que no se ha leído en su fuente no entra.</w:t>
      </w:r>
      <w:r>
        <w:t xml:space="preserve"> No entran la historia antigua de la compensación (las leyes hititas, la </w:t>
      </w:r>
      <w:r>
        <w:rPr>
          <w:i/>
        </w:rPr>
        <w:t>Lex Aquilia</w:t>
      </w:r>
      <w:r>
        <w:t>), los tribunales de opinión de la historia, varias frases de autores y de organismos, ni las cifras de vivienda social (libreta de flecos, 05).</w:t>
      </w:r>
    </w:p>
    <w:p>
      <w:pPr>
        <w:pStyle w:val="ListBullet"/>
      </w:pPr>
      <w:r>
        <w:rPr>
          <w:b/>
        </w:rPr>
        <w:t>Los modelos son orientativos.</w:t>
      </w:r>
      <w:r>
        <w:t xml:space="preserve"> No son asesoramiento para un caso concreto.</w:t>
      </w:r>
    </w:p>
    <w:p>
      <w:pPr>
        <w:pStyle w:val="ListBullet"/>
      </w:pPr>
      <w:r>
        <w:rPr>
          <w:b/>
        </w:rPr>
        <w:t>La brújula no es una prueba.</w:t>
      </w:r>
      <w:r>
        <w:t xml:space="preserve"> Lo que uno siente es una señal; la obra no la mide ni la registra.</w:t>
      </w:r>
    </w:p>
    <w:p>
      <w:r>
        <w:t>Cada concesión se discute, con su defensa y sus contrapuntos, en el juicio (</w:t>
      </w:r>
      <w:r>
        <w:t>capítulo 11</w:t>
      </w:r>
      <w:r>
        <w:t>).</w:t>
      </w:r>
    </w:p>
    <w:p>
      <w:pPr>
        <w:pStyle w:val="Heading2"/>
      </w:pPr>
      <w:r>
        <w:t>Dónde se oye la defensa del Estado</w:t>
      </w:r>
    </w:p>
    <w:p>
      <w:r>
        <w:t xml:space="preserve">Las objeciones a las propuestas y la respuesta probable de la Administración a sus escritos se han oído aquí, junto a cada puerta: en </w:t>
      </w:r>
      <w:r>
        <w:t>10.2</w:t>
      </w:r>
      <w:r>
        <w:t xml:space="preserve"> (el control por jubilados, el diezmo, la recuperación sin condena y el jurado), en </w:t>
      </w:r>
      <w:r>
        <w:t>10.3</w:t>
      </w:r>
      <w:r>
        <w:t xml:space="preserve"> (los avales, remitidos a 2.4), en </w:t>
      </w:r>
      <w:r>
        <w:t>10.4</w:t>
      </w:r>
      <w:r>
        <w:t xml:space="preserve"> (las cinco respuestas al escrito de petición) y en </w:t>
      </w:r>
      <w:r>
        <w:t>10.7</w:t>
      </w:r>
      <w:r>
        <w:t xml:space="preserve"> (las cinco a la petición de deslinde). Lo que el Estado defiende de sí mismo va al juicio: como cuestión previa (</w:t>
      </w:r>
      <w:r>
        <w:t>11.2</w:t>
      </w:r>
      <w:r>
        <w:t>), en su cargo (</w:t>
      </w:r>
      <w:r>
        <w:t>11.3</w:t>
      </w:r>
      <w:r>
        <w:t>) o frente al dictamen (</w:t>
      </w:r>
      <w:r>
        <w:t>11.4</w:t>
      </w:r>
      <w:r>
        <w:t>).</w:t>
      </w:r>
    </w:p>
    <w:p>
      <w:pPr>
        <w:pStyle w:val="Heading2"/>
      </w:pPr>
      <w:r>
        <w:t>Para recordar</w:t>
      </w:r>
    </w:p>
    <w:p>
      <w:pPr>
        <w:pStyle w:val="ListBullet"/>
      </w:pPr>
      <w:r>
        <w:t>Los textos que mandan obedecer ponen la condición en el mismo sitio: la autoridad es para el bien de quien obedece.</w:t>
      </w:r>
    </w:p>
    <w:p>
      <w:pPr>
        <w:pStyle w:val="ListBullet"/>
      </w:pPr>
      <w:r>
        <w:t>No se reclama un Estado nuevo: se invita al que hay a metamorfosearse.</w:t>
      </w:r>
    </w:p>
    <w:p>
      <w:pPr>
        <w:pStyle w:val="ListBullet"/>
      </w:pPr>
      <w:r>
        <w:t>Corregir sin vengarse: por acto y con fuente, nunca por colectivo; sin arrancar el trigo con la cizaña; y quien corrige, como el médico, necesita consentimiento, buscar el bien del corregido, la medida justa y un rumbo.</w:t>
      </w:r>
    </w:p>
    <w:p>
      <w:pPr>
        <w:pStyle w:val="ListBullet"/>
      </w:pPr>
      <w:r>
        <w:t>La pregunta: «¿Me puede explicar qué es lo que le legitima para solicitarme esto?». Por escrito, y conservando la copia sellada.</w:t>
      </w:r>
    </w:p>
    <w:p>
      <w:pPr>
        <w:pStyle w:val="ListBullet"/>
      </w:pPr>
      <w:r>
        <w:t>La ley ya obliga a compensar el daño injusto, cada vez más arriba; cuanto más arriba, más estrecho el camino.</w:t>
      </w:r>
    </w:p>
    <w:p>
      <w:pPr>
        <w:pStyle w:val="ListBullet"/>
      </w:pPr>
      <w:r>
        <w:t>El deslinde: volver a marcar el límite, con las dos partes presentes. No es una acusación.</w:t>
      </w:r>
    </w:p>
    <w:p>
      <w:pPr>
        <w:pStyle w:val="ListBullet"/>
      </w:pPr>
      <w:r>
        <w:t>Todo converge en el Registro de los frutos y en el juicio popular de la verdad.</w:t>
      </w:r>
    </w:p>
    <w:p>
      <w:pPr>
        <w:pStyle w:val="ListBullet"/>
      </w:pPr>
      <w:r>
        <w:t>La brújula: cómo te hace sentir vivir en este árbol, cómo lo vive el otro, a qué das tu consentimiento. Señal, no prueba; se lee junto a los frutos.</w:t>
      </w:r>
    </w:p>
    <w:p>
      <w:pPr>
        <w:pStyle w:val="ListBullet"/>
      </w:pPr>
      <w:r>
        <w:rPr>
          <w:b/>
        </w:rPr>
        <w:t>Lo siguiente:</w:t>
      </w:r>
      <w:r>
        <w:t xml:space="preserve"> la defensa del Estado, reunida y respondida cargo por cargo en el juicio popular de la verdad, y el llamamiento (</w:t>
      </w:r>
      <w:r>
        <w:t>capítulo 11</w:t>
      </w:r>
      <w:r>
        <w:t>).</w:t>
      </w:r>
    </w:p>
    <w:p>
      <w:r>
        <w:br w:type="page"/>
      </w:r>
    </w:p>
    <w:p>
      <w:pPr>
        <w:pStyle w:val="Heading1"/>
      </w:pPr>
      <w:r>
        <w:t>11 El juicio popular de la verdad</w:t>
      </w:r>
    </w:p>
    <w:p>
      <w:pPr>
        <w:spacing w:after="200"/>
      </w:pPr>
      <w:r>
        <w:rPr>
          <w:rFonts w:ascii="Segoe UI" w:hAnsi="Segoe UI" w:eastAsia="Segoe UI" w:cs="Segoe UI"/>
          <w:color w:val="6B665E"/>
          <w:sz w:val="17"/>
        </w:rPr>
        <w:t>Primera versión: 6 de octubre de 2026 · Última revisión: 12 de octubre de 2026 · Cambios anotados en el capítulo: 29 · Citas leídas en su fuente: 146</w:t>
      </w:r>
    </w:p>
    <w:p>
      <w:pPr>
        <w:pBdr>
          <w:left w:val="single" w:sz="24" w:space="6" w:color="E2DED6"/>
        </w:pBdr>
        <w:shd w:val="clear" w:color="auto" w:fill="F1EEE8"/>
        <w:spacing w:before="80" w:after="160"/>
        <w:ind w:left="142" w:right="142"/>
      </w:pPr>
      <w:r>
        <w:rPr>
          <w:b/>
        </w:rPr>
        <w:t>En pocas palabras:</w:t>
      </w:r>
    </w:p>
    <w:p>
      <w:pPr>
        <w:pStyle w:val="ListBullet"/>
      </w:pPr>
      <w:r>
        <w:t>El juicio popular de la verdad es un tribunal de opinión: no tiene carácter oficial ni fuerza legal, y lo dice desde el principio. Juzga al Estado institución por institución, nunca a personas.</w:t>
      </w:r>
    </w:p>
    <w:p>
      <w:pPr>
        <w:pStyle w:val="ListBullet"/>
      </w:pPr>
      <w:r>
        <w:t>Antes de los cargos se oyen las objeciones del Estado al método y al propio juicio: las cuestiones previas. Cada una, en su mejor forma, se responde una sola vez.</w:t>
      </w:r>
    </w:p>
    <w:p>
      <w:pPr>
        <w:pStyle w:val="ListBullet"/>
      </w:pPr>
      <w:r>
        <w:t>Después, los cargos. Cada uno es una presunción que el Estado da por cierta; se mide con la ley de Dios, las tradiciones y su propia ley, se oye su defensa en su propia jerga y se le responde, primero con su propia ley.</w:t>
      </w:r>
    </w:p>
    <w:p>
      <w:pPr>
        <w:pStyle w:val="ListBullet"/>
      </w:pPr>
      <w:r>
        <w:t>Cada cargo se cierra con la última palabra: la que la ley concede a todo acusado.</w:t>
      </w:r>
    </w:p>
    <w:p>
      <w:pPr>
        <w:pStyle w:val="ListBullet"/>
      </w:pPr>
      <w:r>
        <w:t>Frente al dictamen de la obra, el Estado tiene trece objeciones. La obra concede lo que es cierto, y lo que queda en pie es la misma vara.</w:t>
      </w:r>
    </w:p>
    <w:p>
      <w:pPr>
        <w:pStyle w:val="ListBullet"/>
      </w:pPr>
      <w:r>
        <w:t>El juicio termina con las preguntas, que cualquiera puede enviar ya, y con un llamamiento: no a acusar, sino a comprobar, a rectificar y a dejar constancia.</w:t>
      </w:r>
    </w:p>
    <w:p>
      <w:pPr>
        <w:pStyle w:val="Heading2"/>
      </w:pPr>
      <w:r>
        <w:t>11.1 Qué es y cómo se hace</w:t>
      </w:r>
    </w:p>
    <w:p>
      <w:pPr>
        <w:pBdr>
          <w:left w:val="single" w:sz="24" w:space="6" w:color="E2DED6"/>
        </w:pBdr>
        <w:shd w:val="clear" w:color="auto" w:fill="F1EEE8"/>
        <w:spacing w:before="80" w:after="160"/>
        <w:ind w:left="142" w:right="142"/>
      </w:pPr>
      <w:r>
        <w:rPr>
          <w:b/>
        </w:rPr>
        <w:t>La idea: el juicio popular de la verdad es un tribunal de opinión que juzga al Estado cargo por cargo, con sus reglas a la vista: cada cargo con su prueba, la defensa del Estado en su propia jerga, la respuesta de la obra y la última palabra para la institución. El jurado se elige por sorteo y su imparcialidad se mide por los frutos: voto razonado por escrito y público, exclusión por conflicto de interés caso a caso, recusación también por la institución juzgada y ningún examen de ideas.</w:t>
      </w:r>
    </w:p>
    <w:p>
      <w:r>
        <w:rPr>
          <w:b/>
        </w:rPr>
        <w:t>Conclusión, lo que arrojan los datos:</w:t>
      </w:r>
      <w:r>
        <w:t xml:space="preserve"> tres de las cuatro reglas están ya en la ley del propio Estado para su jurado: el veredicto razonado, la exclusión por interés y la recusación. La cuarta, no preguntar por las ideas, la pide la Constitución para todos. La obra no inventa un jurado: toma las reglas del que ya existe y las lleva a un tribunal de opinión, con dos diferencias dichas (el voto público y ninguna pregunta de ideas).</w:t>
      </w:r>
    </w:p>
    <w:p>
      <w:pPr>
        <w:pStyle w:val="Heading2"/>
      </w:pPr>
      <w:r>
        <w:t>11.2 Las cuestiones previas</w:t>
      </w:r>
    </w:p>
    <w:p>
      <w:pPr>
        <w:pBdr>
          <w:left w:val="single" w:sz="24" w:space="6" w:color="E2DED6"/>
        </w:pBdr>
        <w:shd w:val="clear" w:color="auto" w:fill="F1EEE8"/>
        <w:spacing w:before="80" w:after="160"/>
        <w:ind w:left="142" w:right="142"/>
      </w:pPr>
      <w:r>
        <w:rPr>
          <w:b/>
        </w:rPr>
        <w:t>La idea: antes de los cargos, el Estado puede objetar al método y al propio juicio. Son veintiocho objeciones; cada una se oye en su mejor forma, se responde una vez y se dice dónde aguanta.</w:t>
      </w:r>
    </w:p>
    <w:p>
      <w:pPr>
        <w:pStyle w:val="Heading3"/>
      </w:pPr>
      <w:r>
        <w:t>La vara: la ley y la moral</w:t>
      </w:r>
    </w:p>
    <w:p>
      <w:pPr>
        <w:pStyle w:val="Heading3"/>
      </w:pPr>
      <w:r>
        <w:t>Las pruebas y el método</w:t>
      </w:r>
    </w:p>
    <w:p>
      <w:pPr>
        <w:pStyle w:val="Heading3"/>
      </w:pPr>
      <w:r>
        <w:t>Las imágenes y las palabras</w:t>
      </w:r>
    </w:p>
    <w:p>
      <w:pPr>
        <w:pStyle w:val="Heading3"/>
      </w:pPr>
      <w:r>
        <w:t>La obediencia y el propio juicio</w:t>
      </w:r>
    </w:p>
    <w:p>
      <w:r>
        <w:rPr>
          <w:b/>
        </w:rPr>
        <w:t>Conclusión, lo que arrojan los datos:</w:t>
      </w:r>
      <w:r>
        <w:t xml:space="preserve"> ninguna de estas objeciones impide el juicio. Unas se conceden, y su concesión se queda en su capítulo; otras se responden con la propia ley del Estado: la Constitución que reconoce derechos «inviolables» e «inherentes» (art. 10.1), que se manda interpretar con la Declaración Universal (art. 10.2) y que se fija como fin «el bien de cuantos la integran» (preámbulo). Las que aguantan enteras (no hay derecho de resistencia, nadie puede declararse exento, el Estado no está obligado a responder) son también las que la obra suscribe.</w:t>
      </w:r>
    </w:p>
    <w:p>
      <w:pPr>
        <w:pStyle w:val="Heading2"/>
      </w:pPr>
      <w:r>
        <w:t>11.3 Los cargos</w:t>
      </w:r>
    </w:p>
    <w:p>
      <w:pPr>
        <w:pBdr>
          <w:left w:val="single" w:sz="24" w:space="6" w:color="E2DED6"/>
        </w:pBdr>
        <w:shd w:val="clear" w:color="auto" w:fill="F1EEE8"/>
        <w:spacing w:before="80" w:after="160"/>
        <w:ind w:left="142" w:right="142"/>
      </w:pPr>
      <w:r>
        <w:rPr>
          <w:b/>
        </w:rPr>
        <w:t>La idea: cada cargo es una presunción del Estado puesta a prueba: lo que dicen la ley de Dios, las tradiciones y su propia ley; dónde está probado; la pregunta; su mejor defensa, en su propia jerga; la respuesta de la obra; y la última palabra para la institución.</w:t>
      </w:r>
    </w:p>
    <w:p>
      <w:pPr>
        <w:pStyle w:val="Heading3"/>
      </w:pPr>
      <w:r>
        <w:t>Cargo 1. La ley humana, primera fuente</w:t>
      </w:r>
    </w:p>
    <w:p>
      <w:r>
        <w:rPr>
          <w:b/>
        </w:rPr>
        <w:t>La defensa del Estado:</w:t>
      </w:r>
      <w:r>
        <w:t xml:space="preserve"> en una sociedad con creencias distintas, la ley tiene que ser común a todos y salir de un procedimiento democrático. La ley escrita da la seguridad que la Constitución garantiza: «la jerarquía normativa» y «la seguridad jurídica»</w:t>
      </w:r>
      <w:r>
        <w:t xml:space="preserve"> (Constitución, art. 9.3)</w:t>
      </w:r>
      <w:r>
        <w:t>. Si la costumbre o el desuso pudieran derogar las leyes, nadie sabría qué está vigente, y hay costumbres injustas que la ley escrita vino a corregir. La ley natural no queda fuera: entra por los principios generales, «sin perjuicio de su carácter informador del ordenamiento jurídico»</w:t>
      </w:r>
      <w:r>
        <w:t xml:space="preserve"> (Código Civil, art. 1.4)</w:t>
      </w:r>
      <w:r>
        <w:br/>
      </w:r>
      <w:r>
        <w:rPr>
          <w:b/>
        </w:rPr>
        <w:t>leída en su fuente · Código Civil, art. 1.4</w:t>
      </w:r>
      <w:r>
        <w:br/>
      </w:r>
      <w:r>
        <w:rPr>
          <w:b/>
        </w:rPr>
        <w:t>Archivo leído:</w:t>
      </w:r>
      <w:r>
        <w:t xml:space="preserve"> cc.html (ant\c1\cc.html) · contraste del archivo de pasajes: ✔</w:t>
      </w:r>
      <w:r>
        <w:br/>
      </w:r>
      <w:r>
        <w:rPr>
          <w:b/>
        </w:rPr>
        <w:t>Lugar:</w:t>
      </w:r>
      <w:r>
        <w:t xml:space="preserve"> Código Civil, art. 1.4</w:t>
      </w:r>
      <w:r>
        <w:br/>
      </w:r>
      <w:r>
        <w:rPr>
          <w:b/>
        </w:rPr>
        <w:t>Tal como está en la fuente:</w:t>
      </w:r>
      <w:r>
        <w:t xml:space="preserve"> se aplicarán en defecto de ley o costumbre, sin perjuicio de su carácter informador del ordenamiento jurídico</w:t>
      </w:r>
      <w:r>
        <w:t>, y por los valores que la Constitución propugna, entre ellos «la justicia»</w:t>
      </w:r>
      <w:r>
        <w:t xml:space="preserve"> (Constitución, art. 1.1)</w:t>
      </w:r>
      <w:r>
        <w:t>. Los tribunales de la costumbre tienen su lugar porque la ley se lo da</w:t>
      </w:r>
      <w:r>
        <w:t xml:space="preserve"> (Ley Orgánica del Poder Judicial, art. 19)</w:t>
      </w:r>
      <w:r>
        <w:t>; y el arbitraje, también: los laudos se ejecutan ante los tribunales del Estado, por la Ley de Enjuiciamiento Civil (Juzgado de Primera Instancia), y los laudos extranjeros se reconocen por el Convenio de Nueva York de 1958, ante la Sala de lo Civil y de lo Penal del Tribunal Superior de Justicia</w:t>
      </w:r>
      <w:r>
        <w:t xml:space="preserve"> (Ley 60/2003, de Arbitraje, arts. 8.4, 8.6, 44 y 46.2)</w:t>
      </w:r>
      <w:r>
        <w:t>. Y una sociedad de millones de personas necesita leyes escritas, iguales para todos y conocidas de antemano: la codificación del siglo XIX trajo la igualdad ante la ley y acabó con la maraña de fueros y privilegios.</w:t>
      </w:r>
    </w:p>
    <w:p>
      <w:pPr>
        <w:pStyle w:val="Heading3"/>
      </w:pPr>
      <w:r>
        <w:t>Cargo 2. Nada por encima de la Constitución</w:t>
      </w:r>
    </w:p>
    <w:p>
      <w:r>
        <w:rPr>
          <w:b/>
        </w:rPr>
        <w:t>La defensa del Estado:</w:t>
      </w:r>
      <w:r>
        <w:t xml:space="preserve"> la Constitución reconoce los derechos inherentes a la persona (art. 10.1), manda interpretarlos «de conformidad con la Declaración Universal de Derechos Humanos» y los tratados</w:t>
      </w:r>
      <w:r>
        <w:t xml:space="preserve"> (Constitución, art. 10.2)</w:t>
      </w:r>
      <w:r>
        <w:t>, y se somete al control del Tribunal Constitucional y del Tribunal Europeo de Derechos Humanos. Todos, ciudadanos y poderes públicos, están sujetos a ella (art. 9.1), y la ley no ampara el abuso del derecho</w:t>
      </w:r>
      <w:r>
        <w:t xml:space="preserve"> (Código Civil, art. 7.2)</w:t>
      </w:r>
      <w:r>
        <w:t>. La aconfesionalidad protege la libertad de creencias de todos (art. 16). Ningún Estado del mundo tiene un título superior, y no le hace falta: el derecho internacional lo define por hechos (</w:t>
      </w:r>
      <w:r>
        <w:t>11.2</w:t>
      </w:r>
      <w:r>
        <w:t>, n.º 19). El aforamiento protege la función, no a la persona, y de los casi 250.000 aforados, algo más de 232.000 son policías (</w:t>
      </w:r>
      <w:r>
        <w:t>8.5</w:t>
      </w:r>
      <w:r>
        <w:t>). Y la preferencia del varón en la Corona no choca con la igualdad: el Consejo de Estado dijo que los arts. 14 y 57.1 «tienen ámbitos de aplicación distintos en el texto constitucional y no se interfieren mutuamente» (</w:t>
      </w:r>
      <w:r>
        <w:t>7.3</w:t>
      </w:r>
      <w:r>
        <w:t>).</w:t>
      </w:r>
    </w:p>
    <w:p>
      <w:pPr>
        <w:pStyle w:val="Heading3"/>
      </w:pPr>
      <w:r>
        <w:t>Cargo 3. La soberanía del pueblo</w:t>
      </w:r>
    </w:p>
    <w:p>
      <w:r>
        <w:rPr>
          <w:b/>
        </w:rPr>
        <w:t>La defensa del Estado:</w:t>
      </w:r>
      <w:r>
        <w:t xml:space="preserve"> la Constitución se ratificó en referéndum; cada elección renueva la legitimidad de los poderes, y la propia Constitución prevé su reforma</w:t>
      </w:r>
      <w:r>
        <w:t xml:space="preserve"> (Constitución, arts. 167 y 168)</w:t>
      </w:r>
      <w:r>
        <w:t>. La conquista es cosa del pasado: hoy está prohibida (</w:t>
      </w:r>
      <w:r>
        <w:t>6.2</w:t>
      </w:r>
      <w:r>
        <w:t>), y la legitimidad no viene de ella, sino de una Constitución democrática. Y cualquier ciudadano puede proponer una ley con «no menos de 500.000 firmas acreditadas»</w:t>
      </w:r>
      <w:r>
        <w:t xml:space="preserve"> (Constitución, art. 87.3)</w:t>
      </w:r>
      <w:r>
        <w:br/>
      </w:r>
      <w:r>
        <w:rPr>
          <w:b/>
        </w:rPr>
        <w:t>leída en su fuente · Constitución, art. 87.3</w:t>
      </w:r>
      <w:r>
        <w:br/>
      </w:r>
      <w:r>
        <w:rPr>
          <w:b/>
        </w:rPr>
        <w:t>Archivo leído:</w:t>
      </w:r>
      <w:r>
        <w:t xml:space="preserve"> ce.html (ant\c1\ce.html) · contraste del archivo de pasajes: ✔</w:t>
      </w:r>
      <w:r>
        <w:br/>
      </w:r>
      <w:r>
        <w:rPr>
          <w:b/>
        </w:rPr>
        <w:t>Lugar:</w:t>
      </w:r>
      <w:r>
        <w:t xml:space="preserve"> Constitución, art. 87.3</w:t>
      </w:r>
      <w:r>
        <w:br/>
      </w:r>
      <w:r>
        <w:rPr>
          <w:b/>
        </w:rPr>
        <w:t>Tal como está en la fuente:</w:t>
      </w:r>
      <w:r>
        <w:t xml:space="preserve"> no menos de 500.000 firmas acreditadas</w:t>
      </w:r>
      <w:r>
        <w:t>.</w:t>
      </w:r>
    </w:p>
    <w:p>
      <w:pPr>
        <w:pStyle w:val="Heading3"/>
      </w:pPr>
      <w:r>
        <w:t>Cargo 4. El ahorro</w:t>
      </w:r>
    </w:p>
    <w:p>
      <w:r>
        <w:rPr>
          <w:b/>
        </w:rPr>
        <w:t>La defensa del Estado:</w:t>
      </w:r>
      <w:r>
        <w:t xml:space="preserve"> el ahorro está protegido: el Fondo de Garantía de Depósitos cubre hasta 100.000 euros por depositante y entidad</w:t>
      </w:r>
      <w:r>
        <w:t xml:space="preserve"> (Real Decreto-ley 16/2011, art. 10.1; Real Decreto 2606/1996, art. 7.4)</w:t>
      </w:r>
      <w:r>
        <w:t>, y el ahorrador puede elegir productos que pagan interés. El salario mínimo ha subido más que los precios: de unos 554 euros de 2025 en 1970 a 1.184 euros al mes en 2025 (</w:t>
      </w:r>
      <w:r>
        <w:t>8.3</w:t>
      </w:r>
      <w:r>
        <w:t>). Y a los bancos centrales el Tratado les encarga «mantener la estabilidad de precios» (</w:t>
      </w:r>
      <w:r>
        <w:t>8.3</w:t>
      </w:r>
      <w:r>
        <w:t>).</w:t>
      </w:r>
    </w:p>
    <w:p>
      <w:pPr>
        <w:pStyle w:val="Heading3"/>
      </w:pPr>
      <w:r>
        <w:t>Cargo 5. El Estado no quiebra</w:t>
      </w:r>
    </w:p>
    <w:p>
      <w:r>
        <w:rPr>
          <w:b/>
        </w:rPr>
        <w:t>La defensa del Estado:</w:t>
      </w:r>
      <w:r>
        <w:t xml:space="preserve"> un Estado no se puede liquidar como una empresa: presta servicios esenciales y es soberano. Como puede recaudar, siempre puede pagar en euros, y un concurso perjudicaría a los propios ciudadanos. Y sus cuentas tienen un examinador: «El Tribunal de Cuentas es el supremo órgano fiscalizador de las cuentas y de la gestión económica de Estado»</w:t>
      </w:r>
      <w:r>
        <w:t xml:space="preserve"> (Constitución, art. 136.1)</w:t>
      </w:r>
      <w:r>
        <w:br/>
      </w:r>
      <w:r>
        <w:rPr>
          <w:b/>
        </w:rPr>
        <w:t>leída en su fuente · Constitución, art. 136.1</w:t>
      </w:r>
      <w:r>
        <w:br/>
      </w:r>
      <w:r>
        <w:rPr>
          <w:b/>
        </w:rPr>
        <w:t>Archivo leído:</w:t>
      </w:r>
      <w:r>
        <w:t xml:space="preserve"> ídem (ant\c1\ce.html) · contraste del archivo de pasajes: ✔</w:t>
      </w:r>
      <w:r>
        <w:br/>
      </w:r>
      <w:r>
        <w:rPr>
          <w:b/>
        </w:rPr>
        <w:t>Lugar:</w:t>
      </w:r>
      <w:r>
        <w:t xml:space="preserve"> Art. 136.1, pág. PDF 19 (pág. 29331); consolidado #a136</w:t>
      </w:r>
      <w:r>
        <w:br/>
      </w:r>
      <w:r>
        <w:rPr>
          <w:b/>
        </w:rPr>
        <w:t>Tal como está en la fuente:</w:t>
      </w:r>
      <w:r>
        <w:t xml:space="preserve"> 1. El Tribunal de Cuentas es el supremo órgano fiscalizador de las cuentas y de la gestión económica de Estado, así como del sector público.</w:t>
      </w:r>
      <w:r>
        <w:t>, y publica lo que encuentra.</w:t>
      </w:r>
    </w:p>
    <w:p>
      <w:pPr>
        <w:pStyle w:val="Heading3"/>
      </w:pPr>
      <w:r>
        <w:t>Cargo 6. La representación</w:t>
      </w:r>
    </w:p>
    <w:p>
      <w:r>
        <w:rPr>
          <w:b/>
        </w:rPr>
        <w:t>La defensa del Estado:</w:t>
      </w:r>
      <w:r>
        <w:t xml:space="preserve"> la prohibición del mandato imperativo protege al representante de presiones particulares y le permite representar a toda la nación; la rendición de cuentas llega en cada elección. Los partidos «expresan el pluralismo político, concurren a la formación y manifestación de la voluntad popular y son instrumento fundamental para la participación política»</w:t>
      </w:r>
      <w:r>
        <w:t xml:space="preserve"> (Constitución, art. 6)</w:t>
      </w:r>
      <w:r>
        <w:br/>
      </w:r>
      <w:r>
        <w:rPr>
          <w:b/>
        </w:rPr>
        <w:t>leída en su fuente · Constitución, art. 6</w:t>
      </w:r>
      <w:r>
        <w:br/>
      </w:r>
      <w:r>
        <w:rPr>
          <w:b/>
        </w:rPr>
        <w:t>Archivo leído:</w:t>
      </w:r>
      <w:r>
        <w:t xml:space="preserve"> ce.html (ant\c1\ce.html) · contraste del archivo de pasajes: ✔</w:t>
      </w:r>
      <w:r>
        <w:br/>
      </w:r>
      <w:r>
        <w:rPr>
          <w:b/>
        </w:rPr>
        <w:t>Lugar:</w:t>
      </w:r>
      <w:r>
        <w:t xml:space="preserve"> Constitución, art. 6</w:t>
      </w:r>
      <w:r>
        <w:br/>
      </w:r>
      <w:r>
        <w:rPr>
          <w:b/>
        </w:rPr>
        <w:t>Tal como está en la fuente:</w:t>
      </w:r>
      <w:r>
        <w:t xml:space="preserve"> expresan el pluralismo político, concurren a la formación y manifestación de la voluntad popular y son instrumento fundamental para la participación política</w:t>
      </w:r>
      <w:r>
        <w:t>. En democracia, la mayoría expresa la voluntad general. La Administración «sirve con objetividad los intereses generales»</w:t>
      </w:r>
      <w:r>
        <w:t xml:space="preserve"> (Constitución, art. 103.1)</w:t>
      </w:r>
      <w:r>
        <w:br/>
      </w:r>
      <w:r>
        <w:rPr>
          <w:b/>
        </w:rPr>
        <w:t>leída en su fuente · Constitución, art. 103.1</w:t>
      </w:r>
      <w:r>
        <w:br/>
      </w:r>
      <w:r>
        <w:rPr>
          <w:b/>
        </w:rPr>
        <w:t>Archivo leído:</w:t>
      </w:r>
      <w:r>
        <w:t xml:space="preserve"> c6 (ant\c1\ce.html) · contraste del archivo de pasajes: ✔</w:t>
      </w:r>
      <w:r>
        <w:br/>
      </w:r>
      <w:r>
        <w:rPr>
          <w:b/>
        </w:rPr>
        <w:t>Tal como está en la fuente:</w:t>
      </w:r>
      <w:r>
        <w:t xml:space="preserve"> La Administración Pública sirve con objetividad los intereses generales</w:t>
      </w:r>
      <w:r>
        <w:t>. Las asignaciones parlamentarias están sujetas al IRPF y a incompatibilidades, y se publican; y que las Cámaras las fijen lo autoriza expresamente la Constitución (art. 71.4): no hay corrupción de la forma (</w:t>
      </w:r>
      <w:r>
        <w:t>7.5</w:t>
      </w:r>
      <w:r>
        <w:t>). Y el sistema se ha corregido: suprimió el voto rogado (</w:t>
      </w:r>
      <w:r>
        <w:t>7.3</w:t>
      </w:r>
      <w:r>
        <w:t>) y cumplió cinco de las seis recomendaciones del Consejo de Europa sobre la financiación de los partidos (</w:t>
      </w:r>
      <w:r>
        <w:t>7.3</w:t>
      </w:r>
      <w:r>
        <w:t>).</w:t>
      </w:r>
    </w:p>
    <w:p>
      <w:pPr>
        <w:pStyle w:val="Heading3"/>
      </w:pPr>
      <w:r>
        <w:t>Cargo 7. Lo legal es lo justo</w:t>
      </w:r>
    </w:p>
    <w:p>
      <w:r>
        <w:rPr>
          <w:b/>
        </w:rPr>
        <w:t>La defensa del Estado:</w:t>
      </w:r>
      <w:r>
        <w:t xml:space="preserve"> el sistema no presume que toda ley sea justa: tiene controles, y el Tribunal Constitucional anula normas, como la plusvalía municipal. Que la anulación no sea retroactiva protege la seguridad jurídica y la estabilidad de las cuentas públicas, y quien recurrió a tiempo pudo recuperar lo suyo. Las leyes españolas cumplen las condiciones de Aquino: son obra de la razón, porque se debaten en las Cortes; se dirigen al interés general; las dicta un Parlamento elegido; y se promulgan en el Boletín Oficial del Estado. Los tributos los establece la ley (art. 133.1) según la capacidad de cada uno (art. 31.1). Cuando una norma falla, el sistema la corrige: la Zona de Bajas Emisiones de Madrid se anuló y se restauró (</w:t>
      </w:r>
      <w:r>
        <w:t>7.5</w:t>
      </w:r>
      <w:r>
        <w:t>). La inviolabilidad del Rey la establece la Constitución: «La persona del Rey es inviolable y no está sujeta a responsabilidad» (</w:t>
      </w:r>
      <w:r>
        <w:t>7.2</w:t>
      </w:r>
      <w:r>
        <w:t>). Y fue el propio Estado, con sus leyes, quien abolió la esclavitud: juzgar el pasado con los valores de hoy es un anacronismo.</w:t>
      </w:r>
    </w:p>
    <w:p>
      <w:pPr>
        <w:pStyle w:val="Heading3"/>
      </w:pPr>
      <w:r>
        <w:t>Cargo 8. Todos conocen todas las leyes</w:t>
      </w:r>
    </w:p>
    <w:p>
      <w:r>
        <w:rPr>
          <w:b/>
        </w:rPr>
        <w:t>La defensa del Estado:</w:t>
      </w:r>
      <w:r>
        <w:t xml:space="preserve"> sin este principio, cualquiera podría eludir cualquier ley alegando que no la conocía. Hoy no hay latín ni secreto: las normas se publican gratis en el Boletín Oficial del Estado, en español. No todo lo publicado es norma: de las 259.445 páginas del BOE de 2024, las disposiciones ocupan 128.071, en torno al 49 %; el resto son nombramientos y oposiciones, la Administración de Justicia y anuncios</w:t>
      </w:r>
      <w:r>
        <w:t xml:space="preserve"> (CEOE, ídem, pp. 5 y 6)</w:t>
      </w:r>
      <w:r>
        <w:t>. Y la ley no es ciega al error: el error de derecho produce los efectos que las leyes determinen (Código Civil, art. 6.1).</w:t>
      </w:r>
    </w:p>
    <w:p>
      <w:pPr>
        <w:pStyle w:val="Heading3"/>
      </w:pPr>
      <w:r>
        <w:t>Cargo 9. El consentimiento de los que vienen</w:t>
      </w:r>
    </w:p>
    <w:p>
      <w:r>
        <w:rPr>
          <w:b/>
        </w:rPr>
        <w:t>La defensa del Estado:</w:t>
      </w:r>
      <w:r>
        <w:t xml:space="preserve"> las generaciones futuras heredan también las carreteras, los hospitales y la educación que esa deuda financió, y el sistema de pensiones es solidaridad entre generaciones. Sin deuda habría que recortar pensiones, sanidad y educación: la deuda permite sostener los servicios públicos en los años malos. Y los 6,13 billones no son una deuda que venza hoy: el propio INE dice que es «el valor presente de una suma de cantidades futuras» (</w:t>
      </w:r>
      <w:r>
        <w:t>5.1</w:t>
      </w:r>
      <w:r>
        <w:t>, n.º 24).</w:t>
      </w:r>
    </w:p>
    <w:p>
      <w:pPr>
        <w:pStyle w:val="Heading3"/>
      </w:pPr>
      <w:r>
        <w:t>Cargo 10. El Estado social</w:t>
      </w:r>
    </w:p>
    <w:p>
      <w:r>
        <w:rPr>
          <w:b/>
        </w:rPr>
        <w:t>La defensa del Estado:</w:t>
      </w:r>
      <w:r>
        <w:t xml:space="preserve"> los derechos sociales son principios rectores, y la Constitución es clara: «Sólo podrán ser alegados ante la Jurisdicción ordinaria de acuerdo con lo que dispongan las leyes que los desarrollen»</w:t>
      </w:r>
      <w:r>
        <w:t xml:space="preserve"> (Constitución, art. 53.3)</w:t>
      </w:r>
      <w:r>
        <w:br/>
      </w:r>
      <w:r>
        <w:rPr>
          <w:b/>
        </w:rPr>
        <w:t>leída en su fuente · Constitución, art. 53.3</w:t>
      </w:r>
      <w:r>
        <w:br/>
      </w:r>
      <w:r>
        <w:rPr>
          <w:b/>
        </w:rPr>
        <w:t>Archivo leído:</w:t>
      </w:r>
      <w:r>
        <w:t xml:space="preserve"> constitucion_1978.html (c5\constitucion_1978.html) · contraste del archivo de pasajes: ✔</w:t>
      </w:r>
      <w:r>
        <w:br/>
      </w:r>
      <w:r>
        <w:rPr>
          <w:b/>
        </w:rPr>
        <w:t>Lugar:</w:t>
      </w:r>
      <w:r>
        <w:t xml:space="preserve"> Art. 53.3 (#a53)</w:t>
      </w:r>
      <w:r>
        <w:br/>
      </w:r>
      <w:r>
        <w:rPr>
          <w:b/>
        </w:rPr>
        <w:t>Dirección:</w:t>
      </w:r>
      <w:r>
        <w:t xml:space="preserve"> </w:t>
      </w:r>
      <w:r>
        <w:t>https://www.boe.es/buscar/act.php?id=BOE-A-1978-31229</w:t>
      </w:r>
      <w:r>
        <w:br/>
      </w:r>
      <w:r>
        <w:rPr>
          <w:b/>
        </w:rPr>
        <w:t>Tal como está en la fuente:</w:t>
      </w:r>
      <w:r>
        <w:t xml:space="preserve"> Sólo podrán ser alegados ante la Jurisdicción ordinaria de acuerdo con lo que dispongan</w:t>
      </w:r>
      <w:r>
        <w:t>. Son mandatos al legislador, objetivos en curso, y dependen de unos recursos que son limitados. Y se cumplen: España tiene sanidad universal, una pensión que la OCDE calcula en el 80,4 % del salario, frente al 52,0 % de su media (</w:t>
      </w:r>
      <w:r>
        <w:t>8.4</w:t>
      </w:r>
      <w:r>
        <w:t>), y una esperanza de vida de 84 años (</w:t>
      </w:r>
      <w:r>
        <w:t>capítulo 9</w:t>
      </w:r>
      <w:r>
        <w:t>). De cada 100 euros del gasto público, 64 van a protección social, sanidad y educación (</w:t>
      </w:r>
      <w:r>
        <w:t>8.6</w:t>
      </w:r>
      <w:r>
        <w:t xml:space="preserve">): es un Estado que redistribuye. Cada artículo de la Declaración Universal tiene su ancla en la Constitución, que manda interpretar los derechos conforme a ella (art. 10.2). Las libertades públicas están protegidas por el recurso de amparo, y el cuerpo, por la propia Constitución: el derecho «a la vida y a la integridad física y moral» y el </w:t>
      </w:r>
      <w:r>
        <w:rPr>
          <w:i/>
        </w:rPr>
        <w:t>habeas corpus</w:t>
      </w:r>
      <w:r>
        <w:t xml:space="preserve"> (arts. 15 y 17.4; </w:t>
      </w:r>
      <w:r>
        <w:t>2.4</w:t>
      </w:r>
      <w:r>
        <w:t>).</w:t>
      </w:r>
    </w:p>
    <w:p>
      <w:pPr>
        <w:pStyle w:val="Heading3"/>
      </w:pPr>
      <w:r>
        <w:t>Cargo 11. El contrato social</w:t>
      </w:r>
    </w:p>
    <w:p>
      <w:r>
        <w:rPr>
          <w:b/>
        </w:rPr>
        <w:t>La defensa del Estado:</w:t>
      </w:r>
      <w:r>
        <w:t xml:space="preserve"> el contrato social es una metáfora filosófica, no un contrato civil: la legitimidad no viene de una firma individual, sino de los procedimientos democráticos, y vivir en sociedad exige normas comunes. Tampoco hace falta firma: basta el consentimiento tácito. Locke lo dejó escrito: quien disfruta de cualquier parte de los dominios de un gobierno «da con ello su consentimiento tácito», aunque sea por «un alojamiento por una semana» (</w:t>
      </w:r>
      <w:r>
        <w:t>6.1</w:t>
      </w:r>
      <w:r>
        <w:t>). Y el pacto existe y está escrito: la Constitución de 1978, fruto del consenso, ratificada en referéndum y reformada cuatro veces, la última en 2026 (</w:t>
      </w:r>
      <w:r>
        <w:t>7.2</w:t>
      </w:r>
      <w:r>
        <w:t>, n.º 14). Sin una autoridad común no hay paz, sino la guerra de todos contra todos de Hobbes (</w:t>
      </w:r>
      <w:r>
        <w:t>6.1</w:t>
      </w:r>
      <w:r>
        <w:t>). Y medir la Constitución con el contrato social mezcla planos: una es una norma jurídica; el otro, una idea.</w:t>
      </w:r>
    </w:p>
    <w:p>
      <w:pPr>
        <w:pStyle w:val="Heading3"/>
      </w:pPr>
      <w:r>
        <w:t>Cargo 12. La urgencia</w:t>
      </w:r>
    </w:p>
    <w:p>
      <w:r>
        <w:rPr>
          <w:b/>
        </w:rPr>
        <w:t>La defensa del Estado:</w:t>
      </w:r>
      <w:r>
        <w:t xml:space="preserve"> gobernar hoy exige agilidad, y el decreto-ley tiene control. «Los Decretos-leyes deberán ser inmediatamente sometidos a debate y votación de totalidad al Congreso de los Diputados […] en el plazo de los treinta días siguientes a su promulgación»</w:t>
      </w:r>
      <w:r>
        <w:t xml:space="preserve"> (Constitución, art. 86.2)</w:t>
      </w:r>
      <w:r>
        <w:br/>
      </w:r>
      <w:r>
        <w:rPr>
          <w:b/>
        </w:rPr>
        <w:t>leída en su fuente · Constitución, art. 86.2</w:t>
      </w:r>
      <w:r>
        <w:br/>
      </w:r>
      <w:r>
        <w:rPr>
          <w:b/>
        </w:rPr>
        <w:t>Archivo leído:</w:t>
      </w:r>
      <w:r>
        <w:t xml:space="preserve"> constitucion_1978.html (c5\constitucion_1978.html) · contraste del archivo de pasajes: ✔</w:t>
      </w:r>
      <w:r>
        <w:br/>
      </w:r>
      <w:r>
        <w:rPr>
          <w:b/>
        </w:rPr>
        <w:t>Lugar:</w:t>
      </w:r>
      <w:r>
        <w:t xml:space="preserve"> Art. 86.2</w:t>
      </w:r>
      <w:r>
        <w:br/>
      </w:r>
      <w:r>
        <w:rPr>
          <w:b/>
        </w:rPr>
        <w:t>Dirección:</w:t>
      </w:r>
      <w:r>
        <w:t xml:space="preserve"> </w:t>
      </w:r>
      <w:r>
        <w:t>https://www.boe.es/buscar/act.php?id=BOE-A-1978-31229</w:t>
      </w:r>
      <w:r>
        <w:br/>
      </w:r>
      <w:r>
        <w:rPr>
          <w:b/>
        </w:rPr>
        <w:t>Tal como está en la fuente:</w:t>
      </w:r>
      <w:r>
        <w:t xml:space="preserve"> 2. Los Decretos-leyes deberán ser inmediatamente sometidos a debate y votación de totalidad</w:t>
      </w:r>
      <w:r>
        <w:t>, y en ese plazo las Cortes «podrán tramitarlos como proyectos de ley por el procedimiento de urgencia»</w:t>
      </w:r>
      <w:r>
        <w:t xml:space="preserve"> (art. 86.3)</w:t>
      </w:r>
      <w:r>
        <w:br/>
      </w:r>
      <w:r>
        <w:rPr>
          <w:b/>
        </w:rPr>
        <w:t>leída en su fuente · art. 86.3</w:t>
      </w:r>
      <w:r>
        <w:br/>
      </w:r>
      <w:r>
        <w:rPr>
          <w:b/>
        </w:rPr>
        <w:t>Archivo leído:</w:t>
      </w:r>
      <w:r>
        <w:t xml:space="preserve"> ce.html (ant\c1\ce.html) · contraste del archivo de pasajes: ✔</w:t>
      </w:r>
      <w:r>
        <w:br/>
      </w:r>
      <w:r>
        <w:rPr>
          <w:b/>
        </w:rPr>
        <w:t>Lugar:</w:t>
      </w:r>
      <w:r>
        <w:t xml:space="preserve"> art. 86.3</w:t>
      </w:r>
      <w:r>
        <w:br/>
      </w:r>
      <w:r>
        <w:rPr>
          <w:b/>
        </w:rPr>
        <w:t>Tal como está en la fuente:</w:t>
      </w:r>
      <w:r>
        <w:t xml:space="preserve"> podrán tramitarlos como proyectos de ley por el procedimiento de urgencia</w:t>
      </w:r>
      <w:r>
        <w:t>. El Constitucional vigila el límite y anula lo que no se justifica. Y en la pandemia, el Gobierno usó con urgencia la herramienta legal que tenía, el estado de alarma, ante una emergencia sanitaria sin precedentes.</w:t>
      </w:r>
    </w:p>
    <w:p>
      <w:pPr>
        <w:pStyle w:val="Heading3"/>
      </w:pPr>
      <w:r>
        <w:t>Cargo 13. El cobro sin juez</w:t>
      </w:r>
    </w:p>
    <w:p>
      <w:r>
        <w:rPr>
          <w:b/>
        </w:rPr>
        <w:t>La defensa del Estado:</w:t>
      </w:r>
      <w:r>
        <w:t xml:space="preserve"> la Administración defiende intereses generales, no particulares; si tuviera que acudir a un juez para cada cobro, el sistema se colapsaría. Su ejecución está sujeta a recurso y a control judicial, puede suspenderse aportando garantía, y contra la providencia de apremio caben los motivos de oposición que fija la ley (Ley General Tributaria, art. 167.3; </w:t>
      </w:r>
      <w:r>
        <w:t>7.6</w:t>
      </w:r>
      <w:r>
        <w:t>). El recargo es un incentivo para pagar en plazo, y el interés de demora es el mismo para los dos (art. 31.2). La propiedad está reconocida: «Se reconoce el derecho a la propiedad privada y a la herencia»</w:t>
      </w:r>
      <w:r>
        <w:t xml:space="preserve"> (Constitución, art. 33.1)</w:t>
      </w:r>
      <w:r>
        <w:br/>
      </w:r>
      <w:r>
        <w:rPr>
          <w:b/>
        </w:rPr>
        <w:t>leída en su fuente · Constitución, art. 33.1</w:t>
      </w:r>
      <w:r>
        <w:br/>
      </w:r>
      <w:r>
        <w:rPr>
          <w:b/>
        </w:rPr>
        <w:t>Archivo leído:</w:t>
      </w:r>
      <w:r>
        <w:t xml:space="preserve"> constitucion_1978.html (c5\constitucion_1978.html) · contraste del archivo de pasajes: ✔</w:t>
      </w:r>
      <w:r>
        <w:br/>
      </w:r>
      <w:r>
        <w:rPr>
          <w:b/>
        </w:rPr>
        <w:t>Lugar:</w:t>
      </w:r>
      <w:r>
        <w:t xml:space="preserve"> Art. 33</w:t>
      </w:r>
      <w:r>
        <w:br/>
      </w:r>
      <w:r>
        <w:rPr>
          <w:b/>
        </w:rPr>
        <w:t>Dirección:</w:t>
      </w:r>
      <w:r>
        <w:t xml:space="preserve"> </w:t>
      </w:r>
      <w:r>
        <w:t>https://www.boe.es/buscar/act.php?id=BOE-A-1978-31229</w:t>
      </w:r>
      <w:r>
        <w:br/>
      </w:r>
      <w:r>
        <w:rPr>
          <w:b/>
        </w:rPr>
        <w:t>Tal como está en la fuente:</w:t>
      </w:r>
      <w:r>
        <w:t xml:space="preserve"> 1. Se reconoce el derecho a la propiedad privada y a la herencia. 2. La función social de estos derechos delimitará su contenido, de acuerdo con las leyes.</w:t>
      </w:r>
      <w:r>
        <w:t>, y desde 1811 el poder de gobernar y la propiedad son cosas distintas (</w:t>
      </w:r>
      <w:r>
        <w:t>6.3</w:t>
      </w:r>
      <w:r>
        <w:t>). La ley de la usura de 1908 regula los préstamos, no los tributos: el impuesto no es un préstamo (</w:t>
      </w:r>
      <w:r>
        <w:t>3.3</w:t>
      </w:r>
      <w:r>
        <w:t>). Y el silencio administrativo es una garantía para el ciudadano: le permite recurrir sin esperar indefinidamente.</w:t>
      </w:r>
    </w:p>
    <w:p>
      <w:pPr>
        <w:pStyle w:val="Heading3"/>
      </w:pPr>
      <w:r>
        <w:t>Cargo 14. La deuda</w:t>
      </w:r>
    </w:p>
    <w:p>
      <w:r>
        <w:rPr>
          <w:b/>
        </w:rPr>
        <w:t>La defensa del Estado:</w:t>
      </w:r>
      <w:r>
        <w:t xml:space="preserve"> la deuda financia inversiones y permitió responder a crisis como la pandemia; la prioridad absoluta da confianza a quien presta y abarata los intereses, y las reglas europeas limitan el déficit. La reforma del art. 135 se hizo en plena crisis de la deuda, respondió a un compromiso europeo y tuvo un consenso muy amplio: 316 votos a favor y 5 en contra en el Congreso (</w:t>
      </w:r>
      <w:r>
        <w:t>8.1</w:t>
      </w:r>
      <w:r>
        <w:t>). La deuda pública se mide con la metodología europea, igual en todos los países, y las pensiones futuras son compromisos, no una deuda que venza hoy, como advierte el propio INE (</w:t>
      </w:r>
      <w:r>
        <w:t>5.1</w:t>
      </w:r>
      <w:r>
        <w:t>, n.º 24). Y el rescate bancario evitó el hundimiento del sistema financiero y protegió a los depositantes, garantizados hasta 100.000 euros (</w:t>
      </w:r>
      <w:r>
        <w:t>cargo 4</w:t>
      </w:r>
      <w:r>
        <w:t>).</w:t>
      </w:r>
    </w:p>
    <w:p>
      <w:pPr>
        <w:pStyle w:val="Heading3"/>
      </w:pPr>
      <w:r>
        <w:t>Cargo 15. La hucha</w:t>
      </w:r>
    </w:p>
    <w:p>
      <w:r>
        <w:rPr>
          <w:b/>
        </w:rPr>
        <w:t>La defensa del Estado:</w:t>
      </w:r>
      <w:r>
        <w:t xml:space="preserve"> la pensión es contributiva: su cuantía depende de lo cotizado y de los años cotizados, y el Estado la garantiza: los poderes públicos garantizarán pensiones «adecuadas y periódicamente actualizadas» (Constitución, art. 50; </w:t>
      </w:r>
      <w:r>
        <w:t>cargo 4</w:t>
      </w:r>
      <w:r>
        <w:t>). La ley exige que el Fondo sea seguro y líquido, y la deuda pública española es lo más seguro y líquido disponible; el Fondo es un colchón, no un fondo de capitalización. Se creó para usarlo en años de déficit y se usó para pagar pensiones: no fue apropiación. Y se recupera: a 31 de marzo de 2026 tenía 15.267 millones, su máximo en diez años (</w:t>
      </w:r>
      <w:r>
        <w:t>7.5</w:t>
      </w:r>
      <w:r>
        <w:t>).</w:t>
      </w:r>
    </w:p>
    <w:p>
      <w:pPr>
        <w:pStyle w:val="Heading3"/>
      </w:pPr>
      <w:r>
        <w:t>Cargo 16. La obligación heredada</w:t>
      </w:r>
    </w:p>
    <w:p>
      <w:r>
        <w:rPr>
          <w:b/>
        </w:rPr>
        <w:t>La defensa del Estado:</w:t>
      </w:r>
      <w:r>
        <w:t xml:space="preserve"> inscribir el nacimiento protege al niño: le da identidad, nacionalidad y acceso a sus derechos desde el primer día. Ni el abandonado queda fuera: las entidades públicas «deberán promover sin demora la inscripción de menores en situación de desamparo por abandono» (art. 48.1; </w:t>
      </w:r>
      <w:r>
        <w:t>5.4</w:t>
      </w:r>
      <w:r>
        <w:t xml:space="preserve">). Y la inscripción no crea a la persona: la personalidad la da el nacimiento, no el papel (Código Civil, arts. 29 y 30; </w:t>
      </w:r>
      <w:r>
        <w:t>2.1</w:t>
      </w:r>
      <w:r>
        <w:t>), y la idea de una persona jurídica oculta bajo el nombre propio no tiene respaldo (</w:t>
      </w:r>
      <w:r>
        <w:t>anexo E</w:t>
      </w:r>
      <w:r>
        <w:t>).</w:t>
      </w:r>
    </w:p>
    <w:p>
      <w:pPr>
        <w:pStyle w:val="Heading3"/>
      </w:pPr>
      <w:r>
        <w:t>Cargo 17. La moneda</w:t>
      </w:r>
    </w:p>
    <w:p>
      <w:r>
        <w:rPr>
          <w:b/>
        </w:rPr>
        <w:t>La defensa del Estado:</w:t>
      </w:r>
      <w:r>
        <w:t xml:space="preserve"> el dinero sin respaldo en oro permite responder a las crisis, y la mejor evidencia histórica lo confirma: según un gobernador de la Reserva Federal, el momento en que cada país abandonó el patrón oro fue «el factor determinante de la gravedad de su depresión» (</w:t>
      </w:r>
      <w:r>
        <w:t>8.1</w:t>
      </w:r>
      <w:r>
        <w:t>). En la zona del euro, el dinero lo gobierna un banco central independiente cuyo mandato es «mantener la estabilidad de precios»</w:t>
      </w:r>
      <w:r>
        <w:t xml:space="preserve"> (Tratado de Funcionamiento de la UE, art. 127.1)</w:t>
      </w:r>
      <w:r>
        <w:br/>
      </w:r>
      <w:r>
        <w:rPr>
          <w:b/>
        </w:rPr>
        <w:t>leída en su fuente · Tratado de Funcionamiento de la UE, art. 127.1</w:t>
      </w:r>
      <w:r>
        <w:br/>
      </w:r>
      <w:r>
        <w:rPr>
          <w:b/>
        </w:rPr>
        <w:t>Archivo leído:</w:t>
      </w:r>
      <w:r>
        <w:t xml:space="preserve"> tue_version_consolidada_2016.html (c10\tue_version_consolidada_2016.html) · contraste del archivo de pasajes: ✔</w:t>
      </w:r>
      <w:r>
        <w:br/>
      </w:r>
      <w:r>
        <w:rPr>
          <w:b/>
        </w:rPr>
        <w:t>Lugar:</w:t>
      </w:r>
      <w:r>
        <w:t xml:space="preserve"> Tratado de Funcionamiento de la UE, art. 127.1</w:t>
      </w:r>
      <w:r>
        <w:br/>
      </w:r>
      <w:r>
        <w:rPr>
          <w:b/>
        </w:rPr>
        <w:t>Tal como está en la fuente:</w:t>
      </w:r>
      <w:r>
        <w:t xml:space="preserve"> mantener la estabilidad de precios</w:t>
      </w:r>
      <w:r>
        <w:t>, y una inflación baja y estable se considera sana. Recortar la moneda o devaluarla por decreto del rey es cosa del pasado: el Tratado prohíbe al banco central «la adquisición directa» de deuda a los Estados</w:t>
      </w:r>
      <w:r>
        <w:t xml:space="preserve"> (art. 123.1)</w:t>
      </w:r>
      <w:r>
        <w:t>. Hoy ningún gobierno devalúa para financiarse.</w:t>
      </w:r>
    </w:p>
    <w:p>
      <w:pPr>
        <w:pStyle w:val="Heading3"/>
      </w:pPr>
      <w:r>
        <w:t>Cargo 18. La creación del dinero</w:t>
      </w:r>
    </w:p>
    <w:p>
      <w:r>
        <w:rPr>
          <w:b/>
        </w:rPr>
        <w:t>La defensa del Estado:</w:t>
      </w:r>
      <w:r>
        <w:t xml:space="preserve"> la creación de dinero por los bancos al conceder crédito está regulada y supervisada, la vigila un banco central independiente con el mandato de la estabilidad de precios (</w:t>
      </w:r>
      <w:r>
        <w:t>cargo 17</w:t>
      </w:r>
      <w:r>
        <w:t>), y financia la vivienda, las empresas y el empleo: sin crédito no hay inversión. El propio Banco de Inglaterra la explica como el mecanismo normal de la economía moderna.</w:t>
      </w:r>
    </w:p>
    <w:p>
      <w:pPr>
        <w:pStyle w:val="Heading3"/>
      </w:pPr>
      <w:r>
        <w:t>Cargo 19. La inflación</w:t>
      </w:r>
    </w:p>
    <w:p>
      <w:r>
        <w:rPr>
          <w:b/>
        </w:rPr>
        <w:t>La defensa del Estado:</w:t>
      </w:r>
      <w:r>
        <w:t xml:space="preserve"> los diccionarios recogen el uso, no lo deciden: hoy los economistas y las estadísticas oficiales miden la inflación por los precios, y la definición siguió ese uso. Una inflación baja y estable es deseable, porque la caída de los precios paraliza el consumo y agrava el peso de las deudas, como mostró la Gran Depresión (</w:t>
      </w:r>
      <w:r>
        <w:t>8.1</w:t>
      </w:r>
      <w:r>
        <w:t>); por eso el banco central tiene el mandato de «mantener la estabilidad de precios» (</w:t>
      </w:r>
      <w:r>
        <w:t>cargo 17</w:t>
      </w:r>
      <w:r>
        <w:t>). Y los precios suben también por causas reales: la subida de 2021 a 2023 se debió sobre todo al encarecimiento de la energía y a la guerra, no a ninguna decisión monetaria. Y los salarios no se han quedado atrás: en 2025, el coste salarial medio ganó poder adquisitivo.</w:t>
      </w:r>
    </w:p>
    <w:p>
      <w:pPr>
        <w:pStyle w:val="Heading3"/>
      </w:pPr>
      <w:r>
        <w:t>Cargo 20. Los actos del Estado son válidos</w:t>
      </w:r>
    </w:p>
    <w:p>
      <w:r>
        <w:rPr>
          <w:b/>
        </w:rPr>
        <w:t>La defensa del Estado:</w:t>
      </w:r>
      <w:r>
        <w:t xml:space="preserve"> sin la presunción de validez ninguna administración podría funcionar: tendría que acudir a un juez para cada acto. Todo acto se puede recurrir, y los que tienen vicios graves son nulos de pleno derecho, empezando por «Los que lesionen los derechos y libertades susceptibles de amparo constitucional»</w:t>
      </w:r>
      <w:r>
        <w:t xml:space="preserve"> (Ley 39/2015, art. 47.1.a)</w:t>
      </w:r>
      <w:r>
        <w:br/>
      </w:r>
      <w:r>
        <w:rPr>
          <w:b/>
        </w:rPr>
        <w:t>leída en su fuente · Ley 39/2015, art. 47.1.a</w:t>
      </w:r>
      <w:r>
        <w:br/>
      </w:r>
      <w:r>
        <w:rPr>
          <w:b/>
        </w:rPr>
        <w:t>Archivo leído:</w:t>
      </w:r>
      <w:r>
        <w:t xml:space="preserve"> l39.html (ant\c1\l39.html) · contraste del archivo de pasajes: ✔</w:t>
      </w:r>
      <w:r>
        <w:br/>
      </w:r>
      <w:r>
        <w:rPr>
          <w:b/>
        </w:rPr>
        <w:t>Lugar:</w:t>
      </w:r>
      <w:r>
        <w:t xml:space="preserve"> Ley 39/2015, art. 47.1.a</w:t>
      </w:r>
      <w:r>
        <w:br/>
      </w:r>
      <w:r>
        <w:rPr>
          <w:b/>
        </w:rPr>
        <w:t>Tal como está en la fuente:</w:t>
      </w:r>
      <w:r>
        <w:t xml:space="preserve"> Los que lesionen los derechos y libertades susceptibles de amparo constitucional</w:t>
      </w:r>
      <w:r>
        <w:t>. La liquidación de un impuesto la dicta un órgano técnico con los datos del propio contribuyente. La ley ya obliga a la Administración a actuar con «Buena fe, confianza legítima y lealtad institucional»</w:t>
      </w:r>
      <w:r>
        <w:t xml:space="preserve"> (Ley 40/2015, art. 3.1.e)</w:t>
      </w:r>
      <w:r>
        <w:br/>
      </w:r>
      <w:r>
        <w:rPr>
          <w:b/>
        </w:rPr>
        <w:t>leída en su fuente · Ley 40/2015, art. 3.1.e</w:t>
      </w:r>
      <w:r>
        <w:br/>
      </w:r>
      <w:r>
        <w:rPr>
          <w:b/>
        </w:rPr>
        <w:t>Archivo leído:</w:t>
      </w:r>
      <w:r>
        <w:t xml:space="preserve"> l40.html (ant\c1\l40.html) · contraste del archivo de pasajes: ✔</w:t>
      </w:r>
      <w:r>
        <w:br/>
      </w:r>
      <w:r>
        <w:rPr>
          <w:b/>
        </w:rPr>
        <w:t>Lugar:</w:t>
      </w:r>
      <w:r>
        <w:t xml:space="preserve"> Ley 40/2015, art. 3.1.e</w:t>
      </w:r>
      <w:r>
        <w:br/>
      </w:r>
      <w:r>
        <w:rPr>
          <w:b/>
        </w:rPr>
        <w:t>Tal como está en la fuente:</w:t>
      </w:r>
      <w:r>
        <w:t xml:space="preserve"> Buena fe, confianza legítima y lealtad institucional</w:t>
      </w:r>
      <w:r>
        <w:t>: la buena fe no es una cláusula que el ciudadano tenga que añadir a sus escritos (</w:t>
      </w:r>
      <w:r>
        <w:t>10.4</w:t>
      </w:r>
      <w:r>
        <w:t>), y declararla no exime de ninguna obligación. Y no hay ninguna persona jurídica en mayúsculas ni ningún fideicomiso secreto: el ciudadano es uno solo, con nombre y apellidos, y la ley se le aplica directamente, sin trucos (</w:t>
      </w:r>
      <w:r>
        <w:t>2.6</w:t>
      </w:r>
      <w:r>
        <w:t>).</w:t>
      </w:r>
    </w:p>
    <w:p>
      <w:pPr>
        <w:pStyle w:val="Heading3"/>
      </w:pPr>
      <w:r>
        <w:t>Cargo 21. La palabra de la autoridad hace prueba</w:t>
      </w:r>
    </w:p>
    <w:p>
      <w:r>
        <w:rPr>
          <w:b/>
        </w:rPr>
        <w:t>La defensa del Estado:</w:t>
      </w:r>
      <w:r>
        <w:t xml:space="preserve"> el agente es un servidor público que actúa con imparcialidad y responde de lo que hace, y la presunción admite prueba en contrario (art. 77.5). No es una verdad absoluta: el Constitucional recuerda que la ley no otorga a las actas «una veracidad absoluta e indiscutible, lo que no sería constitucionalmente admisible, sino que pueden ceder frente a otras pruebas que conduzcan a conclusiones distintas»</w:t>
      </w:r>
      <w:r>
        <w:t xml:space="preserve"> (STC 76/1990, FJ 8)</w:t>
      </w:r>
      <w:r>
        <w:br/>
      </w:r>
      <w:r>
        <w:rPr>
          <w:b/>
        </w:rPr>
        <w:t>leída en su fuente · STC 76/1990, FJ 8</w:t>
      </w:r>
      <w:r>
        <w:br/>
      </w:r>
      <w:r>
        <w:rPr>
          <w:b/>
        </w:rPr>
        <w:t>Archivo leído:</w:t>
      </w:r>
      <w:r>
        <w:t xml:space="preserve"> 22.00_STC_76-1990_LGT_actas_HJ.html (c7a\22.00_STC_76-1990_LGT_actas_HJ.html) · contraste del archivo de pasajes: ✔</w:t>
      </w:r>
      <w:r>
        <w:br/>
      </w:r>
      <w:r>
        <w:rPr>
          <w:b/>
        </w:rPr>
        <w:t>Lugar:</w:t>
      </w:r>
      <w:r>
        <w:t xml:space="preserve"> STC 76/1990, FJ 8</w:t>
      </w:r>
      <w:r>
        <w:br/>
      </w:r>
      <w:r>
        <w:rPr>
          <w:b/>
        </w:rPr>
        <w:t>Tal como está en la fuente:</w:t>
      </w:r>
      <w:r>
        <w:t xml:space="preserve"> una veracidad absoluta e indiscutible, lo que no sería constitucionalmente admisible, sino que pueden ceder frente a otras pruebas que conduzcan a conclusiones distintas</w:t>
      </w:r>
      <w:r>
        <w:t>. Y las multas protegen la seguridad vial y la salud pública: los ayuntamientos están obligados a hacer cumplir las normas de tráfico y de calidad del aire.</w:t>
      </w:r>
    </w:p>
    <w:p>
      <w:pPr>
        <w:pStyle w:val="Heading3"/>
      </w:pPr>
      <w:r>
        <w:t>Cargo 22. La transparencia</w:t>
      </w:r>
    </w:p>
    <w:p>
      <w:r>
        <w:rPr>
          <w:b/>
        </w:rPr>
        <w:t>La defensa del Estado:</w:t>
      </w:r>
      <w:r>
        <w:t xml:space="preserve"> la Ley 19/2013 y los portales de transparencia publican una enorme cantidad de datos, y cualquier persona puede pedir el que quiera (art. 12). La Casa del Rey también está dentro de la ley</w:t>
      </w:r>
      <w:r>
        <w:t xml:space="preserve"> (Ley 19/2013, art. 2.1.f)</w:t>
      </w:r>
      <w:r>
        <w:t>, publica su presupuesto y sus cuentas, que el Tribunal de Cuentas auditó con opinión favorable</w:t>
      </w:r>
      <w:r>
        <w:t xml:space="preserve"> (Tribunal de Cuentas, informe de auditoría de las cuentas de 2025 de la Casa de S. M. el Rey, 25-6-2026)</w:t>
      </w:r>
      <w:r>
        <w:t>, y su personal de alta dirección declara sus bienes (</w:t>
      </w:r>
      <w:r>
        <w:t>7.2</w:t>
      </w:r>
      <w:r>
        <w:t>, n.º 7). El gasto en publicidad institucional se publica cada año en un informe (</w:t>
      </w:r>
      <w:r>
        <w:t>8.5</w:t>
      </w:r>
      <w:r>
        <w:t>). Y la Administración actúa conforme a la ley: la franquicia del IVA de los pequeños empresarios es una opción de cada Estado, y España está en su derecho de no aplicarla.</w:t>
      </w:r>
    </w:p>
    <w:p>
      <w:pPr>
        <w:pStyle w:val="Heading3"/>
      </w:pPr>
      <w:r>
        <w:t>Cargo 23. La «vejez»</w:t>
      </w:r>
    </w:p>
    <w:p>
      <w:r>
        <w:rPr>
          <w:b/>
        </w:rPr>
        <w:t>La defensa del Estado:</w:t>
      </w:r>
      <w:r>
        <w:t xml:space="preserve"> la clasificación del gasto por funciones es la que usa Eurostat (</w:t>
      </w:r>
      <w:r>
        <w:t>8.6</w:t>
      </w:r>
      <w:r>
        <w:t>): agrupa el gasto por su destino, no por quién lo paga, y las pensiones de los funcionarios también son pensiones de vejez.</w:t>
      </w:r>
    </w:p>
    <w:p>
      <w:pPr>
        <w:pStyle w:val="Heading3"/>
      </w:pPr>
      <w:r>
        <w:t>Cargo 24. La separación de poderes y los controles</w:t>
      </w:r>
    </w:p>
    <w:p>
      <w:r>
        <w:rPr>
          <w:b/>
        </w:rPr>
        <w:t>La defensa del Estado:</w:t>
      </w:r>
      <w:r>
        <w:t xml:space="preserve"> el poder está repartido entre las Cortes, el Gobierno y los jueces, y los tribunales anulan leyes y decretos. El Constitucional avaló en 1986 que las Cortes eligieran el Consejo General del Poder Judicial (</w:t>
      </w:r>
      <w:r>
        <w:t>6.4</w:t>
      </w:r>
      <w:r>
        <w:t>), y el Consejo se renovó en junio de 2024 (</w:t>
      </w:r>
      <w:r>
        <w:t>7.2</w:t>
      </w:r>
      <w:r>
        <w:t>, n.º 2). Los magistrados del Constitucional se eligen por mayorías de tres quintos, y los que designa el Senado, entre los candidatos que proponen los parlamentos autonómicos (</w:t>
      </w:r>
      <w:r>
        <w:t>6.4</w:t>
      </w:r>
      <w:r>
        <w:t>). La ley permite disolver un partido por vía judicial, y se ha aplicado (</w:t>
      </w:r>
      <w:r>
        <w:t>6.4</w:t>
      </w:r>
      <w:r>
        <w:t>). Si el nombramiento de consejero del Tribunal de Cuentas recae en un diputado o un senador, «antes de tomar posesión, habrá de renunciar a su escaño» (</w:t>
      </w:r>
      <w:r>
        <w:t>6.4</w:t>
      </w:r>
      <w:r>
        <w:t>). El Defensor del Pueblo no sanciona: su fuerza es su autoridad y su informe ante las Cortes (</w:t>
      </w:r>
      <w:r>
        <w:t>7.3</w:t>
      </w:r>
      <w:r>
        <w:t>, n.º 9). El amparo es un recurso extraordinario y subsidiario: los primeros garantes de los derechos son los jueces ordinarios, y la ley solo admite los recursos que tienen «especial trascendencia constitucional»</w:t>
      </w:r>
      <w:r>
        <w:t xml:space="preserve"> (Ley Orgánica del Tribunal Constitucional, art. 50.1.b)</w:t>
      </w:r>
      <w:r>
        <w:br/>
      </w:r>
      <w:r>
        <w:rPr>
          <w:b/>
        </w:rPr>
        <w:t>leída en su fuente · Ley Orgánica del Tribunal Constitucional, art. 50.1.b</w:t>
      </w:r>
      <w:r>
        <w:br/>
      </w:r>
      <w:r>
        <w:rPr>
          <w:b/>
        </w:rPr>
        <w:t>Archivo leído:</w:t>
      </w:r>
      <w:r>
        <w:t xml:space="preserve"> tc_memoria_2025.pdf.txt) (c5\tc_memoria_2025.pdf) · contraste del archivo de pasajes: ✔</w:t>
      </w:r>
      <w:r>
        <w:br/>
      </w:r>
      <w:r>
        <w:rPr>
          <w:b/>
        </w:rPr>
        <w:t>Lugar:</w:t>
      </w:r>
      <w:r>
        <w:t xml:space="preserve"> PDF 10 (impr. 13)</w:t>
      </w:r>
      <w:r>
        <w:br/>
      </w:r>
      <w:r>
        <w:rPr>
          <w:b/>
        </w:rPr>
        <w:t>Dirección:</w:t>
      </w:r>
      <w:r>
        <w:t xml:space="preserve"> </w:t>
      </w:r>
      <w:r>
        <w:t>https://www.tribunalconstitucional.es/es/jurisprudencia/InformacionRelevante/Memoria%202025.pdf</w:t>
      </w:r>
      <w:r>
        <w:br/>
      </w:r>
      <w:r>
        <w:rPr>
          <w:b/>
        </w:rPr>
        <w:t>Tal como está en la fuente:</w:t>
      </w:r>
      <w:r>
        <w:t xml:space="preserve"> sigue ocupando el primer puesto la causa relativa a la falta de especial trascendencia constitucional (5.401, el 57,83 por 100)</w:t>
      </w:r>
      <w:r>
        <w:t>. Y el sistema se frena a sí mismo: el Constitucional declaró inconstitucional en parte la ley de amnistía de 2024 (</w:t>
      </w:r>
      <w:r>
        <w:t>7.2</w:t>
      </w:r>
      <w:r>
        <w:t>, n.º 15), y avaló la ley que amplió un derecho, el del matrimonio (</w:t>
      </w:r>
      <w:r>
        <w:t>7.3</w:t>
      </w:r>
      <w:r>
        <w:t>, n.º 4).</w:t>
      </w:r>
    </w:p>
    <w:p>
      <w:pPr>
        <w:pStyle w:val="Heading3"/>
      </w:pPr>
      <w:r>
        <w:t>Cargo 25. La carga</w:t>
      </w:r>
    </w:p>
    <w:p>
      <w:r>
        <w:rPr>
          <w:b/>
        </w:rPr>
        <w:t>La defensa del Estado:</w:t>
      </w:r>
      <w:r>
        <w:t xml:space="preserve"> la presión fiscal sobre el PIB es el indicador que usan la OCDE y Eurostat para comparar países, y España, con el 37,3 % en 2024, está por debajo de la media de la UE, el 40,3 % (</w:t>
      </w:r>
      <w:r>
        <w:t>8.4</w:t>
      </w:r>
      <w:r>
        <w:t>). Las cotizaciones de la empresa las paga legalmente el empleador, y así las registra la contabilidad nacional (</w:t>
      </w:r>
      <w:r>
        <w:t>5.1</w:t>
      </w:r>
      <w:r>
        <w:t>, n.º 3). Cada impuesto grava un hecho distinto (la renta, el consumo, la propiedad, la herencia), y la Constitución reparte el poder de crearlos: la potestad originaria es del Estado, y «Las Comunidades Autónomas y las Corporaciones locales podrán establecer y exigir tributos, de acuerdo con la Constitución y las leyes»</w:t>
      </w:r>
      <w:r>
        <w:t xml:space="preserve"> (Constitución, art. 133.2)</w:t>
      </w:r>
      <w:r>
        <w:br/>
      </w:r>
      <w:r>
        <w:rPr>
          <w:b/>
        </w:rPr>
        <w:t>leída en su fuente · Constitución, art. 133.2</w:t>
      </w:r>
      <w:r>
        <w:br/>
      </w:r>
      <w:r>
        <w:rPr>
          <w:b/>
        </w:rPr>
        <w:t>Archivo leído:</w:t>
      </w:r>
      <w:r>
        <w:t xml:space="preserve"> ce.html (ant\c1\ce.html) · contraste del archivo de pasajes: ✔</w:t>
      </w:r>
      <w:r>
        <w:br/>
      </w:r>
      <w:r>
        <w:rPr>
          <w:b/>
        </w:rPr>
        <w:t>Lugar:</w:t>
      </w:r>
      <w:r>
        <w:t xml:space="preserve"> Constitución, art. 133.2</w:t>
      </w:r>
      <w:r>
        <w:br/>
      </w:r>
      <w:r>
        <w:rPr>
          <w:b/>
        </w:rPr>
        <w:t>Tal como está en la fuente:</w:t>
      </w:r>
      <w:r>
        <w:t xml:space="preserve"> Las Comunidades Autónomas y las Corporaciones locales podrán establecer y exigir tributos, de acuerdo con la Constitución y las leyes</w:t>
      </w:r>
      <w:r>
        <w:t>. La Constitución prohíbe el alcance confiscatorio, y el Constitucional lo hace cumplir: anuló el cálculo de la plusvalía municipal (</w:t>
      </w:r>
      <w:r>
        <w:t>7.6</w:t>
      </w:r>
      <w:r>
        <w:t>). El autónomo cotiza según sus rendimientos netos, por tramos (</w:t>
      </w:r>
      <w:r>
        <w:t>8.4</w:t>
      </w:r>
      <w:r>
        <w:t>). La administración electrónica simplifica los trámites, y quien no quiera usarla puede no hacerlo: las personas físicas «podrán elegir en todo momento» (</w:t>
      </w:r>
      <w:r>
        <w:t>8.4</w:t>
      </w:r>
      <w:r>
        <w:t>). Lo que se cotiza da derecho a una pensión que la OCDE calcula en el 80,4 % del salario (</w:t>
      </w:r>
      <w:r>
        <w:t>8.4</w:t>
      </w:r>
      <w:r>
        <w:t>). Y las comparaciones entre el sueldo público y el privado son en bruto: no corrigen la cualificación ni la antigüedad, como la propia obra reconoce (</w:t>
      </w:r>
      <w:r>
        <w:t>8.6</w:t>
      </w:r>
      <w:r>
        <w:t>).</w:t>
      </w:r>
    </w:p>
    <w:p>
      <w:pPr>
        <w:pStyle w:val="Heading3"/>
      </w:pPr>
      <w:r>
        <w:t>Cargo 26. La responsabilidad</w:t>
      </w:r>
    </w:p>
    <w:p>
      <w:r>
        <w:rPr>
          <w:b/>
        </w:rPr>
        <w:t>La defensa del Estado:</w:t>
      </w:r>
      <w:r>
        <w:t xml:space="preserve"> el ciudadano ya tiene vías reales para reclamar: la Administración responde de los daños que cause su funcionamiento, y el ciudadano puede recurrir sus actos, acudir al Defensor del Pueblo y a los tribunales (</w:t>
      </w:r>
      <w:r>
        <w:t>10.4</w:t>
      </w:r>
      <w:r>
        <w:t xml:space="preserve"> y </w:t>
      </w:r>
      <w:r>
        <w:t>10.6</w:t>
      </w:r>
      <w:r>
        <w:t>). Responde de forma objetiva, sin que el ciudadano tenga que probar la culpa: un estándar más exigente que el que se aplica entre particulares, que sí tienen que probarla (</w:t>
      </w:r>
      <w:r>
        <w:t>10.6</w:t>
      </w:r>
      <w:r>
        <w:t xml:space="preserve">). Responde el Estado por el error judicial (Constitución, art. 121), responde el legislador (Ley 40/2015, art. 32.3) y responde hasta el Tribunal Constitucional por su funcionamiento anormal (art. 32.8; </w:t>
      </w:r>
      <w:r>
        <w:t>10.6</w:t>
      </w:r>
      <w:r>
        <w:t xml:space="preserve">). Una vez indemnizado el ciudadano, la Administración exige la responsabilidad a quien actuó con dolo, o culpa o negligencia graves (Ley 40/2015, art. 36.2; </w:t>
      </w:r>
      <w:r>
        <w:t>10.4</w:t>
      </w:r>
      <w:r>
        <w:t>). Y una directiva europea extiende la responsabilidad a los productos digitales defectuosos desde el 9 de diciembre de 2026 (</w:t>
      </w:r>
      <w:r>
        <w:t>10.6</w:t>
      </w:r>
      <w:r>
        <w:t>).</w:t>
      </w:r>
    </w:p>
    <w:p>
      <w:pPr>
        <w:pStyle w:val="Heading3"/>
      </w:pPr>
      <w:r>
        <w:t>Cargo 27. El diseño legal que enfrenta a la gente</w:t>
      </w:r>
    </w:p>
    <w:p>
      <w:r>
        <w:rPr>
          <w:b/>
        </w:rPr>
        <w:t>La defensa del Estado:</w:t>
      </w:r>
      <w:r>
        <w:t xml:space="preserve"> la letra protege a todas las partes. El propietario tiene una vía rápida: pueden pedir «la inmediata recuperación de la plena posesión» de una vivienda la persona física propietaria o poseedora legítima, las entidades sin ánimo de lucro y las entidades públicas de vivienda social (</w:t>
      </w:r>
      <w:r>
        <w:t>7.7</w:t>
      </w:r>
      <w:r>
        <w:t xml:space="preserve">, n.º 1; </w:t>
      </w:r>
      <w:r>
        <w:t>10.7</w:t>
      </w:r>
      <w:r>
        <w:t>); y la usurpación y el allanamiento de morada son delitos, y se cuentan: 16.426 en 2024 (</w:t>
      </w:r>
      <w:r>
        <w:t>10.7</w:t>
      </w:r>
      <w:r>
        <w:t>). La denuncia por violencia sobre la mujer no basta por sí sola: el juez decide en una audiencia urgente, y deniega con frecuencia: en el segundo trimestre de 2025 no se acordó el 32,3 % de las órdenes de protección (</w:t>
      </w:r>
      <w:r>
        <w:t>7.7</w:t>
      </w:r>
      <w:r>
        <w:t>, n.º 2). Las condenas por denuncia falsa son, de media, el 0,007 % de las denuncias de 2009 a 2025 (</w:t>
      </w:r>
      <w:r>
        <w:t>7.7</w:t>
      </w:r>
      <w:r>
        <w:t>, n.º 3). La mediación no cabe cuando hay violencia, porque la desigualdad entre las partes impide negociar en libertad, y lo pide el Convenio de Estambul, que España ratificó</w:t>
      </w:r>
      <w:r>
        <w:t xml:space="preserve"> (Instrumento de ratificación, BOE-A-2014-5947)</w:t>
      </w:r>
      <w:r>
        <w:t>. Y suspender las visitas cuando hay indicios de que el menor presenció o sufrió la violencia protege al menor; el progenitor investigado puede pedir que no se suspendan (</w:t>
      </w:r>
      <w:r>
        <w:t>7.7</w:t>
      </w:r>
      <w:r>
        <w:t>, n.º 6).</w:t>
      </w:r>
    </w:p>
    <w:p>
      <w:pPr>
        <w:pStyle w:val="Heading3"/>
      </w:pPr>
      <w:r>
        <w:t>Cargo 28. La economía real</w:t>
      </w:r>
    </w:p>
    <w:p>
      <w:r>
        <w:rPr>
          <w:b/>
        </w:rPr>
        <w:t>La defensa del Estado:</w:t>
      </w:r>
      <w:r>
        <w:t xml:space="preserve"> la industria pesada no podía sostenerse: la norma de 1981 partía de que «La situación de crisis por la que atraviesan sectores básicos de nuestra industria exige un planteamiento específico y la adopción de medidas de reconversión industrial» (Real Decreto-ley 9/1981, preámbulo), y la de 1983 se llamó de Reconversión y Reindustrialización: buscaba sustituir lo que ya no se sostenía (</w:t>
      </w:r>
      <w:r>
        <w:t>8.7</w:t>
      </w:r>
      <w:r>
        <w:t>). Las privatizaciones abrieron mercados, ingresaron 12.481 millones de euros en 1997 y 13.083 en 1998, y las hicieron Gobiernos de distinto signo (</w:t>
      </w:r>
      <w:r>
        <w:t>8.7</w:t>
      </w:r>
      <w:r>
        <w:t>). España volvió en 2025 a ser la duodécima economía del mundo por su PIB (</w:t>
      </w:r>
      <w:r>
        <w:t>8.7</w:t>
      </w:r>
      <w:r>
        <w:t>). Y las normas del campo protegen al consumidor: en 2023, los controles de toda la UE analizaron 132.793 muestras de alimentos, con un 98 % de cumplimiento (</w:t>
      </w:r>
      <w:r>
        <w:t>8.7</w:t>
      </w:r>
      <w:r>
        <w:t>).</w:t>
      </w:r>
    </w:p>
    <w:p>
      <w:pPr>
        <w:pStyle w:val="Heading3"/>
      </w:pPr>
      <w:r>
        <w:t>Lo que dicen juntos los veintiocho cargos</w:t>
      </w:r>
    </w:p>
    <w:p>
      <w:r>
        <w:rPr>
          <w:b/>
        </w:rPr>
        <w:t>Conclusión, lo que arrojan los datos:</w:t>
      </w:r>
      <w:r>
        <w:t xml:space="preserve"> los veintiocho cargos son presunciones: lo que el Estado da por cierto sin probarlo. En cada uno se ha oído su mejor defensa, con sus leyes y sus sentencias, y se ha dicho dónde aguanta; lo que la obra concede se queda en su capítulo, como límite honesto. Lo que se repite de un cargo a otro es la dirección de la presunción: a favor de quien manda. Los actos de la Administración se presumen válidos (</w:t>
      </w:r>
      <w:r>
        <w:t>cargo 20</w:t>
      </w:r>
      <w:r>
        <w:t>), la palabra de su agente hace prueba (</w:t>
      </w:r>
      <w:r>
        <w:t>cargo 21</w:t>
      </w:r>
      <w:r>
        <w:t>) y su cobro no espera al juez (</w:t>
      </w:r>
      <w:r>
        <w:t>cargo 13</w:t>
      </w:r>
      <w:r>
        <w:t>); y lo que la Constitución promete al ciudadano se incumple el doble que lo que organiza al poder (</w:t>
      </w:r>
      <w:r>
        <w:t>7.4</w:t>
      </w:r>
      <w:r>
        <w:t>). También se dice lo que no encaja: en la responsabilidad por daños, la ley pide más al Estado que a los particulares (</w:t>
      </w:r>
      <w:r>
        <w:t>cargo 26</w:t>
      </w:r>
      <w:r>
        <w:t>), y el freno entre poderes funciona en casos reales (</w:t>
      </w:r>
      <w:r>
        <w:t>cargo 24</w:t>
      </w:r>
      <w:r>
        <w:t>).</w:t>
      </w:r>
    </w:p>
    <w:p>
      <w:pPr>
        <w:pStyle w:val="Heading2"/>
      </w:pPr>
      <w:r>
        <w:t>11.4 La defensa frente al dictamen</w:t>
      </w:r>
    </w:p>
    <w:p>
      <w:pPr>
        <w:pBdr>
          <w:left w:val="single" w:sz="24" w:space="6" w:color="E2DED6"/>
        </w:pBdr>
        <w:shd w:val="clear" w:color="auto" w:fill="F1EEE8"/>
        <w:spacing w:before="80" w:after="160"/>
        <w:ind w:left="142" w:right="142"/>
      </w:pPr>
      <w:r>
        <w:rPr>
          <w:b/>
        </w:rPr>
        <w:t>La idea: frente al dictamen de la obra, «opinión desfavorable» (</w:t>
      </w:r>
      <w:r>
        <w:rPr>
          <w:b/>
        </w:rPr>
        <w:t>9.1</w:t>
      </w:r>
      <w:r>
        <w:rPr>
          <w:b/>
        </w:rPr>
        <w:t>), el Estado tiene trece objeciones. Cada una se oye en su mejor forma y se responde una vez. La obra concede lo que es cierto en cinco, y lo que queda en pie es la misma vara.</w:t>
      </w:r>
    </w:p>
    <w:p>
      <w:pPr>
        <w:pStyle w:val="Heading3"/>
      </w:pPr>
      <w:r>
        <w:t>La vara y el formato</w:t>
      </w:r>
    </w:p>
    <w:p>
      <w:pPr>
        <w:pStyle w:val="Heading3"/>
      </w:pPr>
      <w:r>
        <w:t>La auditoría de España</w:t>
      </w:r>
    </w:p>
    <w:p>
      <w:pPr>
        <w:pStyle w:val="Heading3"/>
      </w:pPr>
      <w:r>
        <w:t>La forma y la historia</w:t>
      </w:r>
    </w:p>
    <w:p>
      <w:pPr>
        <w:pStyle w:val="Heading3"/>
      </w:pPr>
      <w:r>
        <w:t>Los frutos</w:t>
      </w:r>
    </w:p>
    <w:p>
      <w:r>
        <w:rPr>
          <w:b/>
        </w:rPr>
        <w:t>Conclusión, lo que arrojan los datos:</w:t>
      </w:r>
      <w:r>
        <w:t xml:space="preserve"> de las trece objeciones, la obra concede lo que es cierto en cinco: un Estado no es una empresa y no está en quiebra legal; el dictamen no tiene valor oficial; la mayor parte de la Constitución se cumple; los frutos son reales; y que el sistema creó los problemas es lectura del autor. Ninguna de esas concesiones toca los hechos en que se apoya el dictamen: la Seguridad Social lleva ocho cierres seguidos con patrimonio neto negativo, las pensiones ya prometidas no figuran en la deuda oficial, y la ley que el sistema escribe lo excluye del concurso (</w:t>
      </w:r>
      <w:r>
        <w:t>9.1</w:t>
      </w:r>
      <w:r>
        <w:t>); el incumplimiento recae el doble en lo que se promete al pueblo, y el freno lo protege menos (</w:t>
      </w:r>
      <w:r>
        <w:t>7.4</w:t>
      </w:r>
      <w:r>
        <w:t>). Con la regla que aplica a cualquier empresa, el sistema estaría en causa de disolución (</w:t>
      </w:r>
      <w:r>
        <w:t>9.1</w:t>
      </w:r>
      <w:r>
        <w:t>).</w:t>
      </w:r>
    </w:p>
    <w:p>
      <w:pPr>
        <w:pStyle w:val="Heading2"/>
      </w:pPr>
      <w:r>
        <w:t>11.5 Las preguntas para el juicio y el relevo</w:t>
      </w:r>
    </w:p>
    <w:p>
      <w:pPr>
        <w:pBdr>
          <w:left w:val="single" w:sz="24" w:space="6" w:color="E2DED6"/>
        </w:pBdr>
        <w:shd w:val="clear" w:color="auto" w:fill="F1EEE8"/>
        <w:spacing w:before="80" w:after="160"/>
        <w:ind w:left="142" w:right="142"/>
      </w:pPr>
      <w:r>
        <w:rPr>
          <w:b/>
        </w:rPr>
        <w:t>La idea: las preguntas para el juicio van a las instituciones, y cualquiera puede enviarlas ya; las preguntas para el relevo, a quien quiera seguir investigando. El relevo es la invitación a continuar la obra con el mismo método.</w:t>
      </w:r>
    </w:p>
    <w:p>
      <w:pPr>
        <w:pStyle w:val="Heading2"/>
      </w:pPr>
      <w:r>
        <w:t>11.6 El llamamiento</w:t>
      </w:r>
    </w:p>
    <w:p>
      <w:pPr>
        <w:pBdr>
          <w:left w:val="single" w:sz="24" w:space="6" w:color="E2DED6"/>
        </w:pBdr>
        <w:shd w:val="clear" w:color="auto" w:fill="F1EEE8"/>
        <w:spacing w:before="80" w:after="160"/>
        <w:ind w:left="142" w:right="142"/>
      </w:pPr>
      <w:r>
        <w:rPr>
          <w:b/>
        </w:rPr>
        <w:t xml:space="preserve">La idea: el juicio no termina con una condena, sino con un llamamiento: a quien sabe hacer lo bueno, que actúe; a quien se reconoce en un patrón de mentira, que rectifique; a los mensajeros de la verdad, que disciernan con pruebas; y a quien lee, la pregunta que deja el experimento de las improntas, con la brújula de </w:t>
      </w:r>
      <w:r>
        <w:rPr>
          <w:b/>
        </w:rPr>
        <w:t>10.9</w:t>
      </w:r>
      <w:r>
        <w:rPr>
          <w:b/>
        </w:rPr>
        <w:t>. Lo que clama al cielo se dice aquí, una sola vez.</w:t>
      </w:r>
    </w:p>
    <w:p>
      <w:pPr>
        <w:pStyle w:val="Heading2"/>
      </w:pPr>
      <w:r>
        <w:t>Límite honesto de la prueba</w:t>
      </w:r>
    </w:p>
    <w:p>
      <w:pPr>
        <w:pStyle w:val="ListBullet"/>
      </w:pPr>
      <w:r>
        <w:rPr>
          <w:b/>
        </w:rPr>
        <w:t>El juicio no tiene fuerza legal.</w:t>
      </w:r>
      <w:r>
        <w:t xml:space="preserve"> Es un tribunal de opinión, y lo declara desde el principio (</w:t>
      </w:r>
      <w:r>
        <w:t>11.1</w:t>
      </w:r>
      <w:r>
        <w:t>). Su veredicto, cuando llegue, no obligará a nadie, y la obra no exime de ninguna obligación vigente (</w:t>
      </w:r>
      <w:r>
        <w:t>11.0</w:t>
      </w:r>
      <w:r>
        <w:t>).</w:t>
      </w:r>
    </w:p>
    <w:p>
      <w:pPr>
        <w:pStyle w:val="ListBullet"/>
      </w:pPr>
      <w:r>
        <w:rPr>
          <w:b/>
        </w:rPr>
        <w:t>La defensa del Estado la ha escrito la obra.</w:t>
      </w:r>
      <w:r>
        <w:t xml:space="preserve"> Es la mejor que ha sabido construir, en la jerga del propio Estado, pero no es la del Estado: hasta que cada institución conteste, su respuesta queda pendiente (</w:t>
      </w:r>
      <w:r>
        <w:t>11.1</w:t>
      </w:r>
      <w:r>
        <w:t>).</w:t>
      </w:r>
    </w:p>
    <w:p>
      <w:pPr>
        <w:pStyle w:val="ListBullet"/>
      </w:pPr>
      <w:r>
        <w:rPr>
          <w:b/>
        </w:rPr>
        <w:t>Una pregunta no prueba nada por sí sola.</w:t>
      </w:r>
      <w:r>
        <w:t xml:space="preserve"> Lo que diga la respuesta, o el silencio, quedará registrado; hasta entonces, la pregunta solo señala lo que falta saber (</w:t>
      </w:r>
      <w:r>
        <w:t>11.5</w:t>
      </w:r>
      <w:r>
        <w:t>).</w:t>
      </w:r>
    </w:p>
    <w:p>
      <w:pPr>
        <w:pStyle w:val="ListBullet"/>
      </w:pPr>
      <w:r>
        <w:rPr>
          <w:b/>
        </w:rPr>
        <w:t>Lo que la obra concede está en cada capítulo,</w:t>
      </w:r>
      <w:r>
        <w:t xml:space="preserve"> como límite honesto, y en cada cargo, en «Dónde aguanta». Aquí no se repite.</w:t>
      </w:r>
    </w:p>
    <w:p>
      <w:pPr>
        <w:pStyle w:val="ListBullet"/>
      </w:pPr>
      <w:r>
        <w:rPr>
          <w:b/>
        </w:rPr>
        <w:t>Un patrón no prueba una intención</w:t>
      </w:r>
      <w:r>
        <w:t xml:space="preserve"> (</w:t>
      </w:r>
      <w:r>
        <w:t>11.2</w:t>
      </w:r>
      <w:r>
        <w:t>, n.º 15): los cargos miden presunciones y sus frutos, no la voluntad de quien las escribió.</w:t>
      </w:r>
    </w:p>
    <w:p>
      <w:pPr>
        <w:pStyle w:val="ListBullet"/>
      </w:pPr>
      <w:r>
        <w:rPr>
          <w:b/>
        </w:rPr>
        <w:t>Fuentes secundarias, marcadas:</w:t>
      </w:r>
      <w:r>
        <w:t xml:space="preserve"> Hart, por un artículo de la UNAM (</w:t>
      </w:r>
      <w:r>
        <w:t>11.2</w:t>
      </w:r>
      <w:r>
        <w:t>); Stigler, por Carrigan y Coglianese (</w:t>
      </w:r>
      <w:r>
        <w:t>11.2</w:t>
      </w:r>
      <w:r>
        <w:t>); un sindicato y una organización ecologista, partes interesadas (cargos 10 y 28); y la prensa, en el caso de Torrejón (</w:t>
      </w:r>
      <w:r>
        <w:t>cargo 27</w:t>
      </w:r>
      <w:r>
        <w:t>) y en lo que no devuelve el Ayuntamiento de Madrid (</w:t>
      </w:r>
      <w:r>
        <w:t>cargo 20</w:t>
      </w:r>
      <w:r>
        <w:t>).</w:t>
      </w:r>
    </w:p>
    <w:p>
      <w:pPr>
        <w:pStyle w:val="ListBullet"/>
      </w:pPr>
      <w:r>
        <w:rPr>
          <w:b/>
        </w:rPr>
        <w:t>Cálculos de la obra:</w:t>
      </w:r>
      <w:r>
        <w:t xml:space="preserve"> los porcentajes del </w:t>
      </w:r>
      <w:r>
        <w:t>cargo 8</w:t>
      </w:r>
      <w:r>
        <w:t xml:space="preserve"> y el 6,6 % y el 10,9 % del </w:t>
      </w:r>
      <w:r>
        <w:t>cargo 23</w:t>
      </w:r>
      <w:r>
        <w:t>.</w:t>
      </w:r>
    </w:p>
    <w:p>
      <w:pPr>
        <w:pStyle w:val="ListBullet"/>
      </w:pPr>
      <w:r>
        <w:rPr>
          <w:b/>
        </w:rPr>
        <w:t>Lo que no entra,</w:t>
      </w:r>
      <w:r>
        <w:t xml:space="preserve"> porque no tiene fila en el registro o no se ha leído en su fuente: se dice en cada cargo, y queda para el relevo (</w:t>
      </w:r>
      <w:r>
        <w:t>11.5</w:t>
      </w:r>
      <w:r>
        <w:t>).</w:t>
      </w:r>
    </w:p>
    <w:p>
      <w:pPr>
        <w:pStyle w:val="Heading2"/>
      </w:pPr>
      <w:r>
        <w:t>Dónde se oye la defensa del Estado</w:t>
      </w:r>
    </w:p>
    <w:p>
      <w:r>
        <w:t>En este capítulo se han oído todas las defensas que los demás remitían aquí: las objeciones al método y al propio juicio, en las cuestiones previas (</w:t>
      </w:r>
      <w:r>
        <w:t>11.2</w:t>
      </w:r>
      <w:r>
        <w:t>); las de cada presunción, en su cargo (</w:t>
      </w:r>
      <w:r>
        <w:t>11.3</w:t>
      </w:r>
      <w:r>
        <w:t xml:space="preserve">); y las del dictamen, en </w:t>
      </w:r>
      <w:r>
        <w:t>11.4</w:t>
      </w:r>
      <w:r>
        <w:t>. Las objeciones a las propuestas de la obra y la respuesta probable de la Administración a sus escritos se oyen con su puerta (</w:t>
      </w:r>
      <w:r>
        <w:t>capítulo 10</w:t>
      </w:r>
      <w:r>
        <w:t>), y las de los anexos de consulta, en su anexo (anexos A, C y D).</w:t>
      </w:r>
    </w:p>
    <w:p>
      <w:pPr>
        <w:pStyle w:val="Heading2"/>
      </w:pPr>
      <w:r>
        <w:t>Para recordar</w:t>
      </w:r>
    </w:p>
    <w:p>
      <w:pPr>
        <w:pStyle w:val="ListBullet"/>
      </w:pPr>
      <w:r>
        <w:t>El juicio popular de la verdad es un tribunal de opinión: juzga instituciones, nunca personas, y no tiene fuerza legal. Su jurado se elige por sorteo y se mide por sus frutos: voto razonado y público, sin conflicto de interés, con recusación y sin examen de ideas.</w:t>
      </w:r>
    </w:p>
    <w:p>
      <w:pPr>
        <w:pStyle w:val="ListBullet"/>
      </w:pPr>
      <w:r>
        <w:t>Cada cargo es una presunción del Estado, medida con la ley de Dios, las tradiciones y su propia ley. Su mejor defensa se oye en su propia jerga, y se dice dónde aguanta.</w:t>
      </w:r>
    </w:p>
    <w:p>
      <w:pPr>
        <w:pStyle w:val="ListBullet"/>
      </w:pPr>
      <w:r>
        <w:t>Frente al dictamen, la obra concede lo que es cierto: un Estado no es una empresa, el dictamen no tiene valor oficial, la mayor parte de la Constitución se cumple y hay frutos reales. Lo que queda en pie es la misma vara.</w:t>
      </w:r>
    </w:p>
    <w:p>
      <w:pPr>
        <w:pStyle w:val="ListBullet"/>
      </w:pPr>
      <w:r>
        <w:t>Cada cargo se cierra con la última palabra: la institución tiene la oportunidad de defenderse en verdad, y su respuesta, o su silencio, quedará registrada.</w:t>
      </w:r>
    </w:p>
    <w:p>
      <w:pPr>
        <w:pStyle w:val="ListBullet"/>
      </w:pPr>
      <w:r>
        <w:t>Las preguntas se pueden enviar ya; las que aún necesitan investigación quedan para el relevo.</w:t>
      </w:r>
    </w:p>
    <w:p>
      <w:pPr>
        <w:pStyle w:val="ListBullet"/>
      </w:pPr>
      <w:r>
        <w:t>El llamamiento no acusa: invita a comprobar, a rectificar y a dejar constancia, y deja a cada lector su brújula (</w:t>
      </w:r>
      <w:r>
        <w:t>10.9</w:t>
      </w:r>
      <w:r>
        <w:t>). La siega no es nuestra.</w:t>
      </w:r>
    </w:p>
    <w:p>
      <w:r>
        <w:br w:type="page"/>
      </w:r>
    </w:p>
    <w:p>
      <w:pPr>
        <w:pStyle w:val="Heading1"/>
      </w:pPr>
      <w:r>
        <w:t>Anexo A. La auditoría completa de la Constitución: los 169 artículos</w:t>
      </w:r>
    </w:p>
    <w:p>
      <w:pPr>
        <w:spacing w:after="200"/>
      </w:pPr>
      <w:r>
        <w:rPr>
          <w:rFonts w:ascii="Segoe UI" w:hAnsi="Segoe UI" w:eastAsia="Segoe UI" w:cs="Segoe UI"/>
          <w:color w:val="6B665E"/>
          <w:sz w:val="17"/>
        </w:rPr>
        <w:t>Primera versión: 7 de octubre de 2026 · Última revisión: 12 de octubre de 2026 · Cambios anotados en el capítulo: 10 · Citas leídas en su fuente: 9</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7</w:t>
      </w:r>
      <w:r>
        <w:t xml:space="preserve"> mide la Constitución frente a los hechos y cuenta los casos que mejor lo muestran. Este anexo guarda la auditoría entera, artículo por artículo: la norma, el hecho con su fuente y el estado.</w:t>
      </w:r>
    </w:p>
    <w:p>
      <w:pPr>
        <w:pStyle w:val="ListBullet"/>
      </w:pPr>
      <w:r>
        <w:t>De los 169 artículos, 93 se cumplen, 69 no y 7 quedan pendientes; en 23 de los 69 incumplimientos ya hay una declaración formal externa (</w:t>
      </w:r>
      <w:r>
        <w:t>7.1</w:t>
      </w:r>
      <w:r>
        <w:t>).</w:t>
      </w:r>
    </w:p>
    <w:p>
      <w:pPr>
        <w:pStyle w:val="ListBullet"/>
      </w:pPr>
      <w:r>
        <w:t>Cada título cierra con la mejor defensa del Estado y los contrapuntos de la obra: es un anexo de consulta y lleva su propia defensa.</w:t>
      </w:r>
    </w:p>
    <w:p>
      <w:pPr>
        <w:pStyle w:val="ListBullet"/>
      </w:pPr>
      <w:r>
        <w:t>Lo que no se pudo leer en su fuente no entra, y se dice.</w:t>
      </w:r>
    </w:p>
    <w:p>
      <w:pPr>
        <w:pStyle w:val="Heading2"/>
      </w:pPr>
      <w:r>
        <w:t>A.0 Qué es este anexo y cómo se lee</w:t>
      </w:r>
    </w:p>
    <w:p>
      <w:pPr>
        <w:pBdr>
          <w:left w:val="single" w:sz="24" w:space="6" w:color="E2DED6"/>
        </w:pBdr>
        <w:shd w:val="clear" w:color="auto" w:fill="F1EEE8"/>
        <w:spacing w:before="80" w:after="160"/>
        <w:ind w:left="142" w:right="142"/>
      </w:pPr>
      <w:r>
        <w:rPr>
          <w:b/>
        </w:rPr>
        <w:t>La idea: la pregunta «¿se cumple el contrato social?» se parte en 169 preguntas comprobables, una por artículo de la Constitución; este anexo guarda las 169 respuestas, cada una con su norma, su hecho y su fuente.</w:t>
      </w:r>
    </w:p>
    <w:p>
      <w:pPr>
        <w:pStyle w:val="Heading2"/>
      </w:pPr>
      <w:r>
        <w:t>A.1 Título Preliminar</w:t>
      </w:r>
    </w:p>
    <w:p>
      <w:pPr>
        <w:pBdr>
          <w:left w:val="single" w:sz="24" w:space="6" w:color="E2DED6"/>
        </w:pBdr>
        <w:shd w:val="clear" w:color="auto" w:fill="F1EEE8"/>
        <w:spacing w:before="80" w:after="160"/>
        <w:ind w:left="142" w:right="142"/>
      </w:pPr>
      <w:r>
        <w:rPr>
          <w:b/>
        </w:rPr>
        <w:t>La idea: los pilares del Estado funcionan, pero fallan los cauces de la representación, como los partidos, que deben ser democráticos por mandato de la propia Constitución: 4 de 9 artículos incumplen, y el de los sindicatos (art. 7) queda pendiente de dato.</w:t>
      </w:r>
    </w:p>
    <w:p>
      <w:pPr>
        <w:pStyle w:val="Heading3"/>
      </w:pPr>
      <w:r>
        <w:t>Artículo 1 · CUMPLE</w:t>
      </w:r>
    </w:p>
    <w:p>
      <w:pPr>
        <w:pStyle w:val="Heading3"/>
      </w:pPr>
      <w:r>
        <w:t>Artículo 2 · CUMPLE</w:t>
      </w:r>
    </w:p>
    <w:p>
      <w:pPr>
        <w:pStyle w:val="Heading3"/>
      </w:pPr>
      <w:r>
        <w:t>Artículo 3.1 · INCUMPLE</w:t>
      </w:r>
    </w:p>
    <w:p>
      <w:pPr>
        <w:pStyle w:val="Heading3"/>
      </w:pPr>
      <w:r>
        <w:t>Artículo 4 · INCUMPLE</w:t>
      </w:r>
    </w:p>
    <w:p>
      <w:pPr>
        <w:pStyle w:val="Heading3"/>
      </w:pPr>
      <w:r>
        <w:t>Artículo 5 · CUMPLE</w:t>
      </w:r>
    </w:p>
    <w:p>
      <w:pPr>
        <w:pStyle w:val="Heading3"/>
      </w:pPr>
      <w:r>
        <w:t>Artículo 6 · INCUMPLE · con declaración formal externa</w:t>
      </w:r>
    </w:p>
    <w:p>
      <w:pPr>
        <w:pStyle w:val="Heading3"/>
      </w:pPr>
      <w:r>
        <w:t>Artículo 7 · PENDIENTE</w:t>
      </w:r>
    </w:p>
    <w:p>
      <w:pPr>
        <w:pStyle w:val="Heading3"/>
      </w:pPr>
      <w:r>
        <w:t>Artículo 8 · INCUMPLE</w:t>
      </w:r>
    </w:p>
    <w:p>
      <w:pPr>
        <w:pStyle w:val="Heading3"/>
      </w:pPr>
      <w:r>
        <w:t>Artículo 9.3 · CUMPLE</w:t>
      </w:r>
    </w:p>
    <w:p>
      <w:r>
        <w:rPr>
          <w:b/>
        </w:rPr>
        <w:t>La mejor defensa del Estado.</w:t>
      </w:r>
      <w:r>
        <w:t xml:space="preserve"> Los pilares del Estado —social y democrático de Derecho, soberanía popular, pluralismo— funcionan; lo que falla son casos concretos, como el uso de una lengua en la escuela o una bandera en un ayuntamiento, y los tribunales los corrigen.</w:t>
      </w:r>
    </w:p>
    <w:p>
      <w:pPr>
        <w:pStyle w:val="Heading2"/>
      </w:pPr>
      <w:r>
        <w:t>A.2 Título I. Derechos y deberes fundamentales</w:t>
      </w:r>
    </w:p>
    <w:p>
      <w:pPr>
        <w:pBdr>
          <w:left w:val="single" w:sz="24" w:space="6" w:color="E2DED6"/>
        </w:pBdr>
        <w:shd w:val="clear" w:color="auto" w:fill="F1EEE8"/>
        <w:spacing w:before="80" w:after="160"/>
        <w:ind w:left="142" w:right="142"/>
      </w:pPr>
      <w:r>
        <w:rPr>
          <w:b/>
        </w:rPr>
        <w:t>La idea: el título de los derechos es el que más incumple, 25 de sus 46 artículos, y es el que el ciudadano toca cada día.</w:t>
      </w:r>
    </w:p>
    <w:p>
      <w:pPr>
        <w:pStyle w:val="Heading3"/>
      </w:pPr>
      <w:r>
        <w:t>Artículo 10.1 · INCUMPLE</w:t>
      </w:r>
    </w:p>
    <w:p>
      <w:pPr>
        <w:pStyle w:val="Heading3"/>
      </w:pPr>
      <w:r>
        <w:t>Artículo 11 · CUMPLE</w:t>
      </w:r>
    </w:p>
    <w:p>
      <w:pPr>
        <w:pStyle w:val="Heading3"/>
      </w:pPr>
      <w:r>
        <w:t>Artículo 12 · CUMPLE</w:t>
      </w:r>
    </w:p>
    <w:p>
      <w:pPr>
        <w:pStyle w:val="Heading3"/>
      </w:pPr>
      <w:r>
        <w:t>Artículo 13 · INCUMPLE</w:t>
      </w:r>
    </w:p>
    <w:p>
      <w:pPr>
        <w:pStyle w:val="Heading3"/>
      </w:pPr>
      <w:r>
        <w:t>Artículo 14 · INCUMPLE · con declaración formal externa</w:t>
      </w:r>
    </w:p>
    <w:p>
      <w:pPr>
        <w:pStyle w:val="Heading3"/>
      </w:pPr>
      <w:r>
        <w:t>Artículo 15 · INCUMPLE · con declaración formal externa</w:t>
      </w:r>
    </w:p>
    <w:p>
      <w:pPr>
        <w:pStyle w:val="Heading3"/>
      </w:pPr>
      <w:r>
        <w:t>Artículo 16 · CUMPLE</w:t>
      </w:r>
    </w:p>
    <w:p>
      <w:pPr>
        <w:pStyle w:val="Heading3"/>
      </w:pPr>
      <w:r>
        <w:t>Artículo 17 · INCUMPLE · con declaración formal externa</w:t>
      </w:r>
    </w:p>
    <w:p>
      <w:pPr>
        <w:pStyle w:val="Heading3"/>
      </w:pPr>
      <w:r>
        <w:t>Artículo 18 · INCUMPLE</w:t>
      </w:r>
    </w:p>
    <w:p>
      <w:pPr>
        <w:pStyle w:val="Heading3"/>
      </w:pPr>
      <w:r>
        <w:t>Artículo 19 · INCUMPLE · con declaración formal externa</w:t>
      </w:r>
    </w:p>
    <w:p>
      <w:pPr>
        <w:pStyle w:val="Heading3"/>
      </w:pPr>
      <w:r>
        <w:t>Artículo 20 · INCUMPLE · con declaración formal externa</w:t>
      </w:r>
    </w:p>
    <w:p>
      <w:pPr>
        <w:pStyle w:val="Heading3"/>
      </w:pPr>
      <w:r>
        <w:t>Artículo 21 · CUMPLE</w:t>
      </w:r>
    </w:p>
    <w:p>
      <w:pPr>
        <w:pStyle w:val="Heading3"/>
      </w:pPr>
      <w:r>
        <w:t>Artículo 22 · CUMPLE</w:t>
      </w:r>
    </w:p>
    <w:p>
      <w:pPr>
        <w:pStyle w:val="Heading3"/>
      </w:pPr>
      <w:r>
        <w:t>Artículo 23.1 · INCUMPLE</w:t>
      </w:r>
    </w:p>
    <w:p>
      <w:pPr>
        <w:pStyle w:val="Heading3"/>
      </w:pPr>
      <w:r>
        <w:t>Artículo 24 · INCUMPLE · con declaración formal externa</w:t>
      </w:r>
    </w:p>
    <w:p>
      <w:pPr>
        <w:pStyle w:val="Heading3"/>
      </w:pPr>
      <w:r>
        <w:t>Artículo 25.2 · CUMPLE</w:t>
      </w:r>
    </w:p>
    <w:p>
      <w:pPr>
        <w:pStyle w:val="Heading3"/>
      </w:pPr>
      <w:r>
        <w:t>Artículo 26 · CUMPLE</w:t>
      </w:r>
    </w:p>
    <w:p>
      <w:pPr>
        <w:pStyle w:val="Heading3"/>
      </w:pPr>
      <w:r>
        <w:t>Artículo 27 · PENDIENTE</w:t>
      </w:r>
    </w:p>
    <w:p>
      <w:pPr>
        <w:pStyle w:val="Heading3"/>
      </w:pPr>
      <w:r>
        <w:t>Artículo 28.2 · INCUMPLE · con declaración formal externa</w:t>
      </w:r>
    </w:p>
    <w:p>
      <w:pPr>
        <w:pStyle w:val="Heading3"/>
      </w:pPr>
      <w:r>
        <w:t>Artículo 29 · CUMPLE</w:t>
      </w:r>
    </w:p>
    <w:p>
      <w:pPr>
        <w:pStyle w:val="Heading3"/>
      </w:pPr>
      <w:r>
        <w:t>Artículo 30 · CUMPLE</w:t>
      </w:r>
    </w:p>
    <w:p>
      <w:pPr>
        <w:pStyle w:val="Heading3"/>
      </w:pPr>
      <w:r>
        <w:t>Artículo 31.1 · INCUMPLE · con declaración formal externa</w:t>
      </w:r>
    </w:p>
    <w:p>
      <w:pPr>
        <w:pStyle w:val="Heading3"/>
      </w:pPr>
      <w:r>
        <w:t>Artículo 32.1 · CUMPLE</w:t>
      </w:r>
    </w:p>
    <w:p>
      <w:pPr>
        <w:pStyle w:val="Heading3"/>
      </w:pPr>
      <w:r>
        <w:t>Artículo 33 · CUMPLE</w:t>
      </w:r>
    </w:p>
    <w:p>
      <w:pPr>
        <w:pStyle w:val="Heading3"/>
      </w:pPr>
      <w:r>
        <w:t>Artículo 34 · INCUMPLE</w:t>
      </w:r>
    </w:p>
    <w:p>
      <w:pPr>
        <w:pStyle w:val="Heading3"/>
      </w:pPr>
      <w:r>
        <w:t>Artículo 35 · INCUMPLE</w:t>
      </w:r>
    </w:p>
    <w:p>
      <w:pPr>
        <w:pStyle w:val="Heading3"/>
      </w:pPr>
      <w:r>
        <w:t>Artículo 36 · INCUMPLE</w:t>
      </w:r>
    </w:p>
    <w:p>
      <w:pPr>
        <w:pStyle w:val="Heading3"/>
      </w:pPr>
      <w:r>
        <w:t>Artículo 37.1 · CUMPLE</w:t>
      </w:r>
    </w:p>
    <w:p>
      <w:pPr>
        <w:pStyle w:val="Heading3"/>
      </w:pPr>
      <w:r>
        <w:t>Artículo 38 · INCUMPLE</w:t>
      </w:r>
    </w:p>
    <w:p>
      <w:pPr>
        <w:pStyle w:val="Heading3"/>
      </w:pPr>
      <w:r>
        <w:t>Artículo 39 · INCUMPLE</w:t>
      </w:r>
    </w:p>
    <w:p>
      <w:pPr>
        <w:pStyle w:val="Heading3"/>
      </w:pPr>
      <w:r>
        <w:t>Artículo 40 · INCUMPLE</w:t>
      </w:r>
    </w:p>
    <w:p>
      <w:pPr>
        <w:pStyle w:val="Heading3"/>
      </w:pPr>
      <w:r>
        <w:t>Artículo 41 · CUMPLE</w:t>
      </w:r>
    </w:p>
    <w:p>
      <w:pPr>
        <w:pStyle w:val="Heading3"/>
      </w:pPr>
      <w:r>
        <w:t>Artículo 42 · INCUMPLE</w:t>
      </w:r>
    </w:p>
    <w:p>
      <w:pPr>
        <w:pStyle w:val="Heading3"/>
      </w:pPr>
      <w:r>
        <w:t>Artículo 43 · INCUMPLE</w:t>
      </w:r>
    </w:p>
    <w:p>
      <w:pPr>
        <w:pStyle w:val="Heading3"/>
      </w:pPr>
      <w:r>
        <w:t>Artículo 44 · CUMPLE</w:t>
      </w:r>
    </w:p>
    <w:p>
      <w:pPr>
        <w:pStyle w:val="Heading3"/>
      </w:pPr>
      <w:r>
        <w:t>Artículo 45 · INCUMPLE · con declaración formal externa</w:t>
      </w:r>
    </w:p>
    <w:p>
      <w:pPr>
        <w:pStyle w:val="Heading3"/>
      </w:pPr>
      <w:r>
        <w:t>Artículo 46 · PENDIENTE</w:t>
      </w:r>
    </w:p>
    <w:p>
      <w:pPr>
        <w:pStyle w:val="Heading3"/>
      </w:pPr>
      <w:r>
        <w:t>Artículo 47 · INCUMPLE</w:t>
      </w:r>
    </w:p>
    <w:p>
      <w:pPr>
        <w:pStyle w:val="Heading3"/>
      </w:pPr>
      <w:r>
        <w:t>Artículo 48 · INCUMPLE</w:t>
      </w:r>
    </w:p>
    <w:p>
      <w:pPr>
        <w:pStyle w:val="Heading3"/>
      </w:pPr>
      <w:r>
        <w:t>Artículo 49 · CUMPLE</w:t>
      </w:r>
    </w:p>
    <w:p>
      <w:pPr>
        <w:pStyle w:val="Heading3"/>
      </w:pPr>
      <w:r>
        <w:t>Artículo 50 · CUMPLE</w:t>
      </w:r>
    </w:p>
    <w:p>
      <w:pPr>
        <w:pStyle w:val="Heading3"/>
      </w:pPr>
      <w:r>
        <w:t>Artículo 51 · INCUMPLE</w:t>
      </w:r>
    </w:p>
    <w:p>
      <w:pPr>
        <w:pStyle w:val="Heading3"/>
      </w:pPr>
      <w:r>
        <w:t>Artículo 52 · CUMPLE</w:t>
      </w:r>
    </w:p>
    <w:p>
      <w:pPr>
        <w:pStyle w:val="Heading3"/>
      </w:pPr>
      <w:r>
        <w:t>Artículo 53.3 · CUMPLE</w:t>
      </w:r>
    </w:p>
    <w:p>
      <w:pPr>
        <w:pStyle w:val="Heading3"/>
      </w:pPr>
      <w:r>
        <w:t>Artículo 54 · CUMPLE</w:t>
      </w:r>
    </w:p>
    <w:p>
      <w:pPr>
        <w:pStyle w:val="Heading3"/>
      </w:pPr>
      <w:r>
        <w:t>Artículo 55 · INCUMPLE · con declaración formal externa</w:t>
      </w:r>
    </w:p>
    <w:p>
      <w:r>
        <w:rPr>
          <w:b/>
        </w:rPr>
        <w:t>La mejor defensa del Estado.</w:t>
      </w:r>
      <w:r>
        <w:t xml:space="preserve"> España es una democracia consolidada: los derechos fundamentales están protegidos por los jueces, por el Tribunal Constitucional y por el Tribunal Europeo de Derechos Humanos; y los principios rectores (arts. 39 a 52) son mandatos al legislador, no derechos exigibles de inmediato (art. 53.3).</w:t>
      </w:r>
    </w:p>
    <w:p>
      <w:pPr>
        <w:pStyle w:val="Heading2"/>
      </w:pPr>
      <w:r>
        <w:t>A.3 Título II. La Corona</w:t>
      </w:r>
    </w:p>
    <w:p>
      <w:pPr>
        <w:pBdr>
          <w:left w:val="single" w:sz="24" w:space="6" w:color="E2DED6"/>
        </w:pBdr>
        <w:shd w:val="clear" w:color="auto" w:fill="F1EEE8"/>
        <w:spacing w:before="80" w:after="160"/>
        <w:ind w:left="142" w:right="142"/>
      </w:pPr>
      <w:r>
        <w:rPr>
          <w:b/>
        </w:rPr>
        <w:t>La idea: la Corona incumple en 3 de sus 10 artículos; la defensa dice que cumple su función simbólica y publica sus cuentas, y los contrapuntos señalan el coste real de funcionamiento y la motivación de los indultos.</w:t>
      </w:r>
    </w:p>
    <w:p>
      <w:pPr>
        <w:pStyle w:val="Heading3"/>
      </w:pPr>
      <w:r>
        <w:t>Artículo 56 · PENDIENTE</w:t>
      </w:r>
    </w:p>
    <w:p>
      <w:pPr>
        <w:pStyle w:val="Heading3"/>
      </w:pPr>
      <w:r>
        <w:t>Artículo 57.5 · CUMPLE</w:t>
      </w:r>
    </w:p>
    <w:p>
      <w:pPr>
        <w:pStyle w:val="Heading3"/>
      </w:pPr>
      <w:r>
        <w:t>Artículo 58 · CUMPLE</w:t>
      </w:r>
    </w:p>
    <w:p>
      <w:pPr>
        <w:pStyle w:val="Heading3"/>
      </w:pPr>
      <w:r>
        <w:t>Artículo 59 · CUMPLE</w:t>
      </w:r>
    </w:p>
    <w:p>
      <w:pPr>
        <w:pStyle w:val="Heading3"/>
      </w:pPr>
      <w:r>
        <w:t>Artículo 60 · CUMPLE</w:t>
      </w:r>
    </w:p>
    <w:p>
      <w:pPr>
        <w:pStyle w:val="Heading3"/>
      </w:pPr>
      <w:r>
        <w:t>Artículo 61 · CUMPLE</w:t>
      </w:r>
    </w:p>
    <w:p>
      <w:pPr>
        <w:pStyle w:val="Heading3"/>
      </w:pPr>
      <w:r>
        <w:t>Artículo 62.i · INCUMPLE · con declaración formal externa</w:t>
      </w:r>
    </w:p>
    <w:p>
      <w:pPr>
        <w:pStyle w:val="Heading3"/>
      </w:pPr>
      <w:r>
        <w:t>Artículo 63.3 · INCUMPLE</w:t>
      </w:r>
    </w:p>
    <w:p>
      <w:pPr>
        <w:pStyle w:val="Heading3"/>
      </w:pPr>
      <w:r>
        <w:t>Artículo 64 · CUMPLE</w:t>
      </w:r>
    </w:p>
    <w:p>
      <w:pPr>
        <w:pStyle w:val="Heading3"/>
      </w:pPr>
      <w:r>
        <w:t>Artículo 65 · INCUMPLE · con declaración formal externa</w:t>
      </w:r>
    </w:p>
    <w:p>
      <w:r>
        <w:rPr>
          <w:b/>
        </w:rPr>
        <w:t>La mejor defensa del Estado.</w:t>
      </w:r>
      <w:r>
        <w:t xml:space="preserve"> La Corona cumple su función simbólica y arbitral, publica sus cuentas y tiene su presupuesto congelado desde 2021.</w:t>
      </w:r>
    </w:p>
    <w:p>
      <w:pPr>
        <w:pStyle w:val="Heading2"/>
      </w:pPr>
      <w:r>
        <w:t>A.4 Título III. Las Cortes Generales</w:t>
      </w:r>
    </w:p>
    <w:p>
      <w:pPr>
        <w:pBdr>
          <w:left w:val="single" w:sz="24" w:space="6" w:color="E2DED6"/>
        </w:pBdr>
        <w:shd w:val="clear" w:color="auto" w:fill="F1EEE8"/>
        <w:spacing w:before="80" w:after="160"/>
        <w:ind w:left="142" w:right="142"/>
      </w:pPr>
      <w:r>
        <w:rPr>
          <w:b/>
        </w:rPr>
        <w:t>La idea: el Parlamento funciona, pero sobre todo hacia dentro: 8 de 31 artículos incumplen, con un Gobierno que legisla por decreto y unas Cortes que fijan su propia asignación.</w:t>
      </w:r>
    </w:p>
    <w:p>
      <w:pPr>
        <w:pStyle w:val="Heading3"/>
      </w:pPr>
      <w:r>
        <w:t>Artículo 66 · CUMPLE</w:t>
      </w:r>
    </w:p>
    <w:p>
      <w:pPr>
        <w:pStyle w:val="Heading3"/>
      </w:pPr>
      <w:r>
        <w:t>Artículo 67.2 · CUMPLE</w:t>
      </w:r>
    </w:p>
    <w:p>
      <w:pPr>
        <w:pStyle w:val="Heading3"/>
      </w:pPr>
      <w:r>
        <w:t>Artículo 68.3 · CUMPLE</w:t>
      </w:r>
    </w:p>
    <w:p>
      <w:pPr>
        <w:pStyle w:val="Heading3"/>
      </w:pPr>
      <w:r>
        <w:t>Artículo 69.2 · CUMPLE</w:t>
      </w:r>
    </w:p>
    <w:p>
      <w:pPr>
        <w:pStyle w:val="Heading3"/>
      </w:pPr>
      <w:r>
        <w:t>Artículo 70.1 · CUMPLE</w:t>
      </w:r>
    </w:p>
    <w:p>
      <w:pPr>
        <w:pStyle w:val="Heading3"/>
      </w:pPr>
      <w:r>
        <w:t>Artículo 71.2 · CUMPLE</w:t>
      </w:r>
    </w:p>
    <w:p>
      <w:pPr>
        <w:pStyle w:val="Heading3"/>
      </w:pPr>
      <w:r>
        <w:t>Artículo 72.1 · INCUMPLE</w:t>
      </w:r>
    </w:p>
    <w:p>
      <w:pPr>
        <w:pStyle w:val="Heading3"/>
      </w:pPr>
      <w:r>
        <w:t>Artículo 73.1 · INCUMPLE</w:t>
      </w:r>
    </w:p>
    <w:p>
      <w:pPr>
        <w:pStyle w:val="Heading3"/>
      </w:pPr>
      <w:r>
        <w:t>Artículo 74 · INCUMPLE</w:t>
      </w:r>
    </w:p>
    <w:p>
      <w:pPr>
        <w:pStyle w:val="Heading3"/>
      </w:pPr>
      <w:r>
        <w:t>Artículo 75.3 · CUMPLE</w:t>
      </w:r>
    </w:p>
    <w:p>
      <w:pPr>
        <w:pStyle w:val="Heading3"/>
      </w:pPr>
      <w:r>
        <w:t>Artículo 76.2 · INCUMPLE</w:t>
      </w:r>
    </w:p>
    <w:p>
      <w:pPr>
        <w:pStyle w:val="Heading3"/>
      </w:pPr>
      <w:r>
        <w:t>Artículo 77.1 · INCUMPLE</w:t>
      </w:r>
    </w:p>
    <w:p>
      <w:pPr>
        <w:pStyle w:val="Heading3"/>
      </w:pPr>
      <w:r>
        <w:t>Artículo 78 · CUMPLE</w:t>
      </w:r>
    </w:p>
    <w:p>
      <w:pPr>
        <w:pStyle w:val="Heading3"/>
      </w:pPr>
      <w:r>
        <w:t>Artículo 79.3 · CUMPLE</w:t>
      </w:r>
    </w:p>
    <w:p>
      <w:pPr>
        <w:pStyle w:val="Heading3"/>
      </w:pPr>
      <w:r>
        <w:t>Artículo 80 · CUMPLE</w:t>
      </w:r>
    </w:p>
    <w:p>
      <w:pPr>
        <w:pStyle w:val="Heading3"/>
      </w:pPr>
      <w:r>
        <w:t>Artículo 81 · CUMPLE</w:t>
      </w:r>
    </w:p>
    <w:p>
      <w:pPr>
        <w:pStyle w:val="Heading3"/>
      </w:pPr>
      <w:r>
        <w:t>Artículo 82.6 · CUMPLE</w:t>
      </w:r>
    </w:p>
    <w:p>
      <w:pPr>
        <w:pStyle w:val="Heading3"/>
      </w:pPr>
      <w:r>
        <w:t>Artículo 83 · CUMPLE</w:t>
      </w:r>
    </w:p>
    <w:p>
      <w:pPr>
        <w:pStyle w:val="Heading3"/>
      </w:pPr>
      <w:r>
        <w:t>Artículo 84 · INCUMPLE</w:t>
      </w:r>
    </w:p>
    <w:p>
      <w:pPr>
        <w:pStyle w:val="Heading3"/>
      </w:pPr>
      <w:r>
        <w:t>Artículo 85 · CUMPLE</w:t>
      </w:r>
    </w:p>
    <w:p>
      <w:pPr>
        <w:pStyle w:val="Heading3"/>
      </w:pPr>
      <w:r>
        <w:t>Artículo 86 · INCUMPLE · con declaración formal externa</w:t>
      </w:r>
    </w:p>
    <w:p>
      <w:pPr>
        <w:pStyle w:val="Heading3"/>
      </w:pPr>
      <w:r>
        <w:t>Artículo 87.3 · CUMPLE</w:t>
      </w:r>
    </w:p>
    <w:p>
      <w:pPr>
        <w:pStyle w:val="Heading3"/>
      </w:pPr>
      <w:r>
        <w:t>Artículo 88 · CUMPLE</w:t>
      </w:r>
    </w:p>
    <w:p>
      <w:pPr>
        <w:pStyle w:val="Heading3"/>
      </w:pPr>
      <w:r>
        <w:t>Artículo 89.2 · CUMPLE</w:t>
      </w:r>
    </w:p>
    <w:p>
      <w:pPr>
        <w:pStyle w:val="Heading3"/>
      </w:pPr>
      <w:r>
        <w:t>Artículo 90 · INCUMPLE</w:t>
      </w:r>
    </w:p>
    <w:p>
      <w:pPr>
        <w:pStyle w:val="Heading3"/>
      </w:pPr>
      <w:r>
        <w:t>Artículo 91 · CUMPLE</w:t>
      </w:r>
    </w:p>
    <w:p>
      <w:pPr>
        <w:pStyle w:val="Heading3"/>
      </w:pPr>
      <w:r>
        <w:t>Artículo 92 · CUMPLE</w:t>
      </w:r>
    </w:p>
    <w:p>
      <w:pPr>
        <w:pStyle w:val="Heading3"/>
      </w:pPr>
      <w:r>
        <w:t>Artículo 93 · CUMPLE</w:t>
      </w:r>
    </w:p>
    <w:p>
      <w:pPr>
        <w:pStyle w:val="Heading3"/>
      </w:pPr>
      <w:r>
        <w:t>Artículo 94.1 · CUMPLE</w:t>
      </w:r>
    </w:p>
    <w:p>
      <w:pPr>
        <w:pStyle w:val="Heading3"/>
      </w:pPr>
      <w:r>
        <w:t>Artículo 95.2 · CUMPLE</w:t>
      </w:r>
    </w:p>
    <w:p>
      <w:pPr>
        <w:pStyle w:val="Heading3"/>
      </w:pPr>
      <w:r>
        <w:t>Artículo 96.1 · CUMPLE</w:t>
      </w:r>
    </w:p>
    <w:p>
      <w:r>
        <w:rPr>
          <w:b/>
        </w:rPr>
        <w:t>La mejor defensa del Estado.</w:t>
      </w:r>
      <w:r>
        <w:t xml:space="preserve"> El Parlamento funciona: 23 de los 31 artículos se cumplen; se celebran elecciones, se votan las leyes y se controlan los decretos-leyes.</w:t>
      </w:r>
    </w:p>
    <w:p>
      <w:pPr>
        <w:pStyle w:val="Heading2"/>
      </w:pPr>
      <w:r>
        <w:t>A.5 Título IV. El Gobierno y la Administración</w:t>
      </w:r>
    </w:p>
    <w:p>
      <w:pPr>
        <w:pBdr>
          <w:left w:val="single" w:sz="24" w:space="6" w:color="E2DED6"/>
        </w:pBdr>
        <w:shd w:val="clear" w:color="auto" w:fill="F1EEE8"/>
        <w:spacing w:before="80" w:after="160"/>
        <w:ind w:left="142" w:right="142"/>
      </w:pPr>
      <w:r>
        <w:rPr>
          <w:b/>
        </w:rPr>
        <w:t>La idea: la Administración es profesional, dice la defensa; los contrapuntos señalan que el órgano de conflictos de intereses depende del Gobierno que debe fiscalizar y que la temporalidad pública supera con mucho el objetivo legal: 5 de 11 artículos incumplen.</w:t>
      </w:r>
    </w:p>
    <w:p>
      <w:pPr>
        <w:pStyle w:val="Heading3"/>
      </w:pPr>
      <w:r>
        <w:t>Artículo 97 · CUMPLE</w:t>
      </w:r>
    </w:p>
    <w:p>
      <w:pPr>
        <w:pStyle w:val="Heading3"/>
      </w:pPr>
      <w:r>
        <w:t>Artículo 98.4 · INCUMPLE · con declaración formal externa</w:t>
      </w:r>
    </w:p>
    <w:p>
      <w:pPr>
        <w:pStyle w:val="Heading3"/>
      </w:pPr>
      <w:r>
        <w:t>Artículo 99 · CUMPLE</w:t>
      </w:r>
    </w:p>
    <w:p>
      <w:pPr>
        <w:pStyle w:val="Heading3"/>
      </w:pPr>
      <w:r>
        <w:t>Artículo 100 · CUMPLE</w:t>
      </w:r>
    </w:p>
    <w:p>
      <w:pPr>
        <w:pStyle w:val="Heading3"/>
      </w:pPr>
      <w:r>
        <w:t>Artículo 101 · CUMPLE</w:t>
      </w:r>
    </w:p>
    <w:p>
      <w:pPr>
        <w:pStyle w:val="Heading3"/>
      </w:pPr>
      <w:r>
        <w:t>Artículo 102 · CUMPLE</w:t>
      </w:r>
    </w:p>
    <w:p>
      <w:pPr>
        <w:pStyle w:val="Heading3"/>
      </w:pPr>
      <w:r>
        <w:t>Artículo 103.3 · INCUMPLE · con declaración formal externa</w:t>
      </w:r>
    </w:p>
    <w:p>
      <w:pPr>
        <w:pStyle w:val="Heading3"/>
      </w:pPr>
      <w:r>
        <w:t>Artículo 104.1 · INCUMPLE · con declaración formal externa</w:t>
      </w:r>
    </w:p>
    <w:p>
      <w:pPr>
        <w:pStyle w:val="Heading3"/>
      </w:pPr>
      <w:r>
        <w:t>Artículo 105.b · INCUMPLE</w:t>
      </w:r>
    </w:p>
    <w:p>
      <w:pPr>
        <w:pStyle w:val="Heading3"/>
      </w:pPr>
      <w:r>
        <w:t>Artículo 106.2 · INCUMPLE</w:t>
      </w:r>
    </w:p>
    <w:p>
      <w:pPr>
        <w:pStyle w:val="Heading3"/>
      </w:pPr>
      <w:r>
        <w:t>Artículo 107 · CUMPLE</w:t>
      </w:r>
    </w:p>
    <w:p>
      <w:r>
        <w:rPr>
          <w:b/>
        </w:rPr>
        <w:t>La mejor defensa del Estado.</w:t>
      </w:r>
      <w:r>
        <w:t xml:space="preserve"> La Administración es profesional, se accede por oposición y existen órganos de control de los conflictos de intereses y de la transparencia.</w:t>
      </w:r>
    </w:p>
    <w:p>
      <w:pPr>
        <w:pStyle w:val="Heading2"/>
      </w:pPr>
      <w:r>
        <w:t>A.6 Título V. Las relaciones entre el Gobierno y las Cortes Generales</w:t>
      </w:r>
    </w:p>
    <w:p>
      <w:pPr>
        <w:pBdr>
          <w:left w:val="single" w:sz="24" w:space="6" w:color="E2DED6"/>
        </w:pBdr>
        <w:shd w:val="clear" w:color="auto" w:fill="F1EEE8"/>
        <w:spacing w:before="80" w:after="160"/>
        <w:ind w:left="142" w:right="142"/>
      </w:pPr>
      <w:r>
        <w:rPr>
          <w:b/>
        </w:rPr>
        <w:t>La idea: el control parlamentario existe en el papel; 2 de 9 artículos incumplen, entre ellos el deber del Gobierno de dar la información que las Cámaras piden, y 2 quedan pendientes de dato.</w:t>
      </w:r>
    </w:p>
    <w:p>
      <w:pPr>
        <w:pStyle w:val="Heading3"/>
      </w:pPr>
      <w:r>
        <w:t>Artículo 108 · CUMPLE</w:t>
      </w:r>
    </w:p>
    <w:p>
      <w:pPr>
        <w:pStyle w:val="Heading3"/>
      </w:pPr>
      <w:r>
        <w:t>Artículo 109 · INCUMPLE</w:t>
      </w:r>
    </w:p>
    <w:p>
      <w:pPr>
        <w:pStyle w:val="Heading3"/>
      </w:pPr>
      <w:r>
        <w:t>Artículo 110 · PENDIENTE</w:t>
      </w:r>
    </w:p>
    <w:p>
      <w:pPr>
        <w:pStyle w:val="Heading3"/>
      </w:pPr>
      <w:r>
        <w:t>Artículo 111 · PENDIENTE</w:t>
      </w:r>
    </w:p>
    <w:p>
      <w:pPr>
        <w:pStyle w:val="Heading3"/>
      </w:pPr>
      <w:r>
        <w:t>Artículo 112 · CUMPLE</w:t>
      </w:r>
    </w:p>
    <w:p>
      <w:pPr>
        <w:pStyle w:val="Heading3"/>
      </w:pPr>
      <w:r>
        <w:t>Artículo 113 · CUMPLE</w:t>
      </w:r>
    </w:p>
    <w:p>
      <w:pPr>
        <w:pStyle w:val="Heading3"/>
      </w:pPr>
      <w:r>
        <w:t>Artículo 114 · CUMPLE</w:t>
      </w:r>
    </w:p>
    <w:p>
      <w:pPr>
        <w:pStyle w:val="Heading3"/>
      </w:pPr>
      <w:r>
        <w:t>Artículo 115 · CUMPLE</w:t>
      </w:r>
    </w:p>
    <w:p>
      <w:pPr>
        <w:pStyle w:val="Heading3"/>
      </w:pPr>
      <w:r>
        <w:t>Artículo 116 · INCUMPLE · con declaración formal externa</w:t>
      </w:r>
    </w:p>
    <w:p>
      <w:r>
        <w:rPr>
          <w:b/>
        </w:rPr>
        <w:t>La mejor defensa del Estado.</w:t>
      </w:r>
      <w:r>
        <w:t xml:space="preserve"> El control parlamentario existe: preguntas, interpelaciones, comparecencias y mociones de censura.</w:t>
      </w:r>
    </w:p>
    <w:p>
      <w:pPr>
        <w:pStyle w:val="Heading2"/>
      </w:pPr>
      <w:r>
        <w:t>A.7 Título VI. El Poder Judicial</w:t>
      </w:r>
    </w:p>
    <w:p>
      <w:pPr>
        <w:pBdr>
          <w:left w:val="single" w:sz="24" w:space="6" w:color="E2DED6"/>
        </w:pBdr>
        <w:shd w:val="clear" w:color="auto" w:fill="F1EEE8"/>
        <w:spacing w:before="80" w:after="160"/>
        <w:ind w:left="142" w:right="142"/>
      </w:pPr>
      <w:r>
        <w:rPr>
          <w:b/>
        </w:rPr>
        <w:t>La idea: los jueces son independientes, dice la defensa, y el sistema se corrige a sí mismo; los contrapuntos añaden que el Gobierno nombra al Fiscal General y que el órgano de gobierno de los jueces estuvo cinco años y medio con el mandato caducado: 7 de 11 artículos incumplen.</w:t>
      </w:r>
    </w:p>
    <w:p>
      <w:pPr>
        <w:pStyle w:val="Heading3"/>
      </w:pPr>
      <w:r>
        <w:t>Artículo 117 · INCUMPLE · con declaración formal externa</w:t>
      </w:r>
    </w:p>
    <w:p>
      <w:pPr>
        <w:pStyle w:val="Heading3"/>
      </w:pPr>
      <w:r>
        <w:t>Artículo 118 · INCUMPLE</w:t>
      </w:r>
    </w:p>
    <w:p>
      <w:pPr>
        <w:pStyle w:val="Heading3"/>
      </w:pPr>
      <w:r>
        <w:t>Artículo 119 · INCUMPLE</w:t>
      </w:r>
    </w:p>
    <w:p>
      <w:pPr>
        <w:pStyle w:val="Heading3"/>
      </w:pPr>
      <w:r>
        <w:t>Artículo 120.3 · INCUMPLE · con declaración formal externa</w:t>
      </w:r>
    </w:p>
    <w:p>
      <w:pPr>
        <w:pStyle w:val="Heading3"/>
      </w:pPr>
      <w:r>
        <w:t>Artículo 121 · INCUMPLE</w:t>
      </w:r>
    </w:p>
    <w:p>
      <w:pPr>
        <w:pStyle w:val="Heading3"/>
      </w:pPr>
      <w:r>
        <w:t>Artículo 122 · INCUMPLE · con declaración formal externa</w:t>
      </w:r>
    </w:p>
    <w:p>
      <w:pPr>
        <w:pStyle w:val="Heading3"/>
      </w:pPr>
      <w:r>
        <w:t>Artículo 123 · CUMPLE</w:t>
      </w:r>
    </w:p>
    <w:p>
      <w:pPr>
        <w:pStyle w:val="Heading3"/>
      </w:pPr>
      <w:r>
        <w:t>Artículo 124 · INCUMPLE · con declaración formal externa</w:t>
      </w:r>
    </w:p>
    <w:p>
      <w:pPr>
        <w:pStyle w:val="Heading3"/>
      </w:pPr>
      <w:r>
        <w:t>Artículo 125 · CUMPLE</w:t>
      </w:r>
    </w:p>
    <w:p>
      <w:pPr>
        <w:pStyle w:val="Heading3"/>
      </w:pPr>
      <w:r>
        <w:t>Artículo 126 · CUMPLE</w:t>
      </w:r>
    </w:p>
    <w:p>
      <w:pPr>
        <w:pStyle w:val="Heading3"/>
      </w:pPr>
      <w:r>
        <w:t>Artículo 127.1 · CUMPLE</w:t>
      </w:r>
    </w:p>
    <w:p>
      <w:r>
        <w:rPr>
          <w:b/>
        </w:rPr>
        <w:t>La mejor defensa del Estado.</w:t>
      </w:r>
      <w:r>
        <w:t xml:space="preserve"> Los jueces son independientes, y la prueba es que el Supremo ha llegado a condenar a un Fiscal General del Estado; el sistema se corrige a sí mismo.</w:t>
      </w:r>
    </w:p>
    <w:p>
      <w:pPr>
        <w:pStyle w:val="Heading2"/>
      </w:pPr>
      <w:r>
        <w:t>A.8 Título VII. Economía y Hacienda</w:t>
      </w:r>
    </w:p>
    <w:p>
      <w:pPr>
        <w:pBdr>
          <w:left w:val="single" w:sz="24" w:space="6" w:color="E2DED6"/>
        </w:pBdr>
        <w:shd w:val="clear" w:color="auto" w:fill="F1EEE8"/>
        <w:spacing w:before="80" w:after="160"/>
        <w:ind w:left="142" w:right="142"/>
      </w:pPr>
      <w:r>
        <w:rPr>
          <w:b/>
        </w:rPr>
        <w:t>La idea: el Estado cumple la estabilidad presupuestaria, dice la defensa; 6 de 9 artículos incumplen, con prórrogas presupuestarias y el peso de los intereses de la deuda.</w:t>
      </w:r>
    </w:p>
    <w:p>
      <w:pPr>
        <w:pStyle w:val="Heading3"/>
      </w:pPr>
      <w:r>
        <w:t>Artículo 128.2 · CUMPLE</w:t>
      </w:r>
    </w:p>
    <w:p>
      <w:pPr>
        <w:pStyle w:val="Heading3"/>
      </w:pPr>
      <w:r>
        <w:t>Artículo 129.2 · INCUMPLE</w:t>
      </w:r>
    </w:p>
    <w:p>
      <w:pPr>
        <w:pStyle w:val="Heading3"/>
      </w:pPr>
      <w:r>
        <w:t>Artículo 130.2 · INCUMPLE</w:t>
      </w:r>
    </w:p>
    <w:p>
      <w:pPr>
        <w:pStyle w:val="Heading3"/>
      </w:pPr>
      <w:r>
        <w:t>Artículo 131 · INCUMPLE</w:t>
      </w:r>
    </w:p>
    <w:p>
      <w:pPr>
        <w:pStyle w:val="Heading3"/>
      </w:pPr>
      <w:r>
        <w:t>Artículo 132 · CUMPLE</w:t>
      </w:r>
    </w:p>
    <w:p>
      <w:pPr>
        <w:pStyle w:val="Heading3"/>
      </w:pPr>
      <w:r>
        <w:t>Artículo 133.1 · CUMPLE</w:t>
      </w:r>
    </w:p>
    <w:p>
      <w:pPr>
        <w:pStyle w:val="Heading3"/>
      </w:pPr>
      <w:r>
        <w:t>Artículo 134 · INCUMPLE</w:t>
      </w:r>
    </w:p>
    <w:p>
      <w:pPr>
        <w:pStyle w:val="Heading3"/>
      </w:pPr>
      <w:r>
        <w:t>Artículo 135 · INCUMPLE</w:t>
      </w:r>
    </w:p>
    <w:p>
      <w:pPr>
        <w:pStyle w:val="Heading3"/>
      </w:pPr>
      <w:r>
        <w:t>Artículo 136 · INCUMPLE</w:t>
      </w:r>
    </w:p>
    <w:p>
      <w:r>
        <w:rPr>
          <w:b/>
        </w:rPr>
        <w:t>La mejor defensa del Estado.</w:t>
      </w:r>
      <w:r>
        <w:t xml:space="preserve"> El Estado cumple la estabilidad presupuestaria que exige Europa, sus cuentas se fiscalizan y la deuda financia los servicios públicos.</w:t>
      </w:r>
    </w:p>
    <w:p>
      <w:pPr>
        <w:pStyle w:val="Heading2"/>
      </w:pPr>
      <w:r>
        <w:t>A.9 Título VIII. La organización territorial del Estado</w:t>
      </w:r>
    </w:p>
    <w:p>
      <w:pPr>
        <w:pBdr>
          <w:left w:val="single" w:sz="24" w:space="6" w:color="E2DED6"/>
        </w:pBdr>
        <w:shd w:val="clear" w:color="auto" w:fill="F1EEE8"/>
        <w:spacing w:before="80" w:after="160"/>
        <w:ind w:left="142" w:right="142"/>
      </w:pPr>
      <w:r>
        <w:rPr>
          <w:b/>
        </w:rPr>
        <w:t>La idea: el Estado autonómico descentralizó el poder, dice la defensa; 7 de 22 artículos incumplen, con una financiación autonómica caducada y un Fondo de Compensación Interterritorial en su mínimo histórico.</w:t>
      </w:r>
    </w:p>
    <w:p>
      <w:pPr>
        <w:pStyle w:val="Heading3"/>
      </w:pPr>
      <w:r>
        <w:t>Artículo 137 · CUMPLE</w:t>
      </w:r>
    </w:p>
    <w:p>
      <w:pPr>
        <w:pStyle w:val="Heading3"/>
      </w:pPr>
      <w:r>
        <w:t>Artículo 138.2 · INCUMPLE · con declaración formal externa</w:t>
      </w:r>
    </w:p>
    <w:p>
      <w:pPr>
        <w:pStyle w:val="Heading3"/>
      </w:pPr>
      <w:r>
        <w:t>Artículo 139 · INCUMPLE</w:t>
      </w:r>
    </w:p>
    <w:p>
      <w:pPr>
        <w:pStyle w:val="Heading3"/>
      </w:pPr>
      <w:r>
        <w:t>Artículo 140 · CUMPLE</w:t>
      </w:r>
    </w:p>
    <w:p>
      <w:pPr>
        <w:pStyle w:val="Heading3"/>
      </w:pPr>
      <w:r>
        <w:t>Artículo 141 · CUMPLE</w:t>
      </w:r>
    </w:p>
    <w:p>
      <w:pPr>
        <w:pStyle w:val="Heading3"/>
      </w:pPr>
      <w:r>
        <w:t>Artículo 142 · INCUMPLE</w:t>
      </w:r>
    </w:p>
    <w:p>
      <w:pPr>
        <w:pStyle w:val="Heading3"/>
      </w:pPr>
      <w:r>
        <w:t>Artículo 143.1 · CUMPLE</w:t>
      </w:r>
    </w:p>
    <w:p>
      <w:pPr>
        <w:pStyle w:val="Heading3"/>
      </w:pPr>
      <w:r>
        <w:t>Artículo 144 · INCUMPLE</w:t>
      </w:r>
    </w:p>
    <w:p>
      <w:pPr>
        <w:pStyle w:val="Heading3"/>
      </w:pPr>
      <w:r>
        <w:t>Artículo 145.2 · CUMPLE</w:t>
      </w:r>
    </w:p>
    <w:p>
      <w:pPr>
        <w:pStyle w:val="Heading3"/>
      </w:pPr>
      <w:r>
        <w:t>Artículo 146 · INCUMPLE</w:t>
      </w:r>
    </w:p>
    <w:p>
      <w:pPr>
        <w:pStyle w:val="Heading3"/>
      </w:pPr>
      <w:r>
        <w:t>Artículo 147 · CUMPLE</w:t>
      </w:r>
    </w:p>
    <w:p>
      <w:pPr>
        <w:pStyle w:val="Heading3"/>
      </w:pPr>
      <w:r>
        <w:t>Artículo 148 · CUMPLE</w:t>
      </w:r>
    </w:p>
    <w:p>
      <w:pPr>
        <w:pStyle w:val="Heading3"/>
      </w:pPr>
      <w:r>
        <w:t>Artículo 149 · CUMPLE</w:t>
      </w:r>
    </w:p>
    <w:p>
      <w:pPr>
        <w:pStyle w:val="Heading3"/>
      </w:pPr>
      <w:r>
        <w:t>Artículo 150.2 · PENDIENTE</w:t>
      </w:r>
    </w:p>
    <w:p>
      <w:pPr>
        <w:pStyle w:val="Heading3"/>
      </w:pPr>
      <w:r>
        <w:t>Artículo 151 · CUMPLE</w:t>
      </w:r>
    </w:p>
    <w:p>
      <w:pPr>
        <w:pStyle w:val="Heading3"/>
      </w:pPr>
      <w:r>
        <w:t>Artículo 152.1 · INCUMPLE</w:t>
      </w:r>
    </w:p>
    <w:p>
      <w:pPr>
        <w:pStyle w:val="Heading3"/>
      </w:pPr>
      <w:r>
        <w:t>Artículo 153 · CUMPLE</w:t>
      </w:r>
    </w:p>
    <w:p>
      <w:pPr>
        <w:pStyle w:val="Heading3"/>
      </w:pPr>
      <w:r>
        <w:t>Artículo 154 · CUMPLE</w:t>
      </w:r>
    </w:p>
    <w:p>
      <w:pPr>
        <w:pStyle w:val="Heading3"/>
      </w:pPr>
      <w:r>
        <w:t>Artículo 155 · CUMPLE</w:t>
      </w:r>
    </w:p>
    <w:p>
      <w:pPr>
        <w:pStyle w:val="Heading3"/>
      </w:pPr>
      <w:r>
        <w:t>Artículo 156 · CUMPLE</w:t>
      </w:r>
    </w:p>
    <w:p>
      <w:pPr>
        <w:pStyle w:val="Heading3"/>
      </w:pPr>
      <w:r>
        <w:t>Artículo 157 · CUMPLE</w:t>
      </w:r>
    </w:p>
    <w:p>
      <w:pPr>
        <w:pStyle w:val="Heading3"/>
      </w:pPr>
      <w:r>
        <w:t>Artículo 158.2 · INCUMPLE</w:t>
      </w:r>
    </w:p>
    <w:p>
      <w:r>
        <w:rPr>
          <w:b/>
        </w:rPr>
        <w:t>La mejor defensa del Estado.</w:t>
      </w:r>
      <w:r>
        <w:t xml:space="preserve"> El Estado autonómico ha descentralizado el poder, 14 de sus 22 artículos se cumplen y la solidaridad territorial se garantiza con el Fondo de Compensación Interterritorial.</w:t>
      </w:r>
    </w:p>
    <w:p>
      <w:pPr>
        <w:pStyle w:val="Heading2"/>
      </w:pPr>
      <w:r>
        <w:t>A.10 Título IX. El Tribunal Constitucional</w:t>
      </w:r>
    </w:p>
    <w:p>
      <w:pPr>
        <w:pBdr>
          <w:left w:val="single" w:sz="24" w:space="6" w:color="E2DED6"/>
        </w:pBdr>
        <w:shd w:val="clear" w:color="auto" w:fill="F1EEE8"/>
        <w:spacing w:before="80" w:after="160"/>
        <w:ind w:left="142" w:right="142"/>
      </w:pPr>
      <w:r>
        <w:rPr>
          <w:b/>
        </w:rPr>
        <w:t>La idea: el Tribunal Constitucional funciona y anula leyes: es el título que menos incumple, 1 de 7 artículos, con casi todos los amparos inadmitidos (98,33 % en 2018).</w:t>
      </w:r>
    </w:p>
    <w:p>
      <w:pPr>
        <w:pStyle w:val="Heading3"/>
      </w:pPr>
      <w:r>
        <w:t>Artículo 159 · INCUMPLE</w:t>
      </w:r>
    </w:p>
    <w:p>
      <w:pPr>
        <w:pStyle w:val="Heading3"/>
      </w:pPr>
      <w:r>
        <w:t>Artículo 160 · CUMPLE</w:t>
      </w:r>
    </w:p>
    <w:p>
      <w:pPr>
        <w:pStyle w:val="Heading3"/>
      </w:pPr>
      <w:r>
        <w:t>Artículo 161.2 · CUMPLE</w:t>
      </w:r>
    </w:p>
    <w:p>
      <w:pPr>
        <w:pStyle w:val="Heading3"/>
      </w:pPr>
      <w:r>
        <w:t>Artículo 162 · CUMPLE</w:t>
      </w:r>
    </w:p>
    <w:p>
      <w:pPr>
        <w:pStyle w:val="Heading3"/>
      </w:pPr>
      <w:r>
        <w:t>Artículo 163 · CUMPLE</w:t>
      </w:r>
    </w:p>
    <w:p>
      <w:pPr>
        <w:pStyle w:val="Heading3"/>
      </w:pPr>
      <w:r>
        <w:t>Artículo 164 · CUMPLE</w:t>
      </w:r>
    </w:p>
    <w:p>
      <w:pPr>
        <w:pStyle w:val="Heading3"/>
      </w:pPr>
      <w:r>
        <w:t>Artículo 165 · CUMPLE</w:t>
      </w:r>
    </w:p>
    <w:p>
      <w:r>
        <w:rPr>
          <w:b/>
        </w:rPr>
        <w:t>La mejor defensa del Estado.</w:t>
      </w:r>
      <w:r>
        <w:t xml:space="preserve"> El Tribunal Constitucional funciona: seis de sus siete artículos se cumplen, y sus sentencias han anulado leyes y decretos.</w:t>
      </w:r>
    </w:p>
    <w:p>
      <w:pPr>
        <w:pStyle w:val="Heading2"/>
      </w:pPr>
      <w:r>
        <w:t>A.11 Título X. La reforma constitucional</w:t>
      </w:r>
    </w:p>
    <w:p>
      <w:pPr>
        <w:pBdr>
          <w:left w:val="single" w:sz="24" w:space="6" w:color="E2DED6"/>
        </w:pBdr>
        <w:shd w:val="clear" w:color="auto" w:fill="F1EEE8"/>
        <w:spacing w:before="80" w:after="160"/>
        <w:ind w:left="142" w:right="142"/>
      </w:pPr>
      <w:r>
        <w:rPr>
          <w:b/>
        </w:rPr>
        <w:t>La idea: la Constitución es reformable y se ha reformado cuatro veces por la vía del art. 167; 1 de 4 artículos incumple, y la revisión total del art. 168 es la puerta que la propia Constitución dejó abierta (</w:t>
      </w:r>
      <w:r>
        <w:rPr>
          <w:b/>
        </w:rPr>
        <w:t>5.2</w:t>
      </w:r>
      <w:r>
        <w:rPr>
          <w:b/>
        </w:rPr>
        <w:t>).</w:t>
      </w:r>
    </w:p>
    <w:p>
      <w:pPr>
        <w:pStyle w:val="Heading3"/>
      </w:pPr>
      <w:r>
        <w:t>Artículo 166 · CUMPLE</w:t>
      </w:r>
    </w:p>
    <w:p>
      <w:pPr>
        <w:pStyle w:val="Heading3"/>
      </w:pPr>
      <w:r>
        <w:t>Artículo 167 · CUMPLE</w:t>
      </w:r>
    </w:p>
    <w:p>
      <w:pPr>
        <w:pStyle w:val="Heading3"/>
      </w:pPr>
      <w:r>
        <w:t>Artículo 168 · INCUMPLE</w:t>
      </w:r>
    </w:p>
    <w:p>
      <w:pPr>
        <w:pStyle w:val="Heading3"/>
      </w:pPr>
      <w:r>
        <w:t>Artículo 169 · CUMPLE</w:t>
      </w:r>
    </w:p>
    <w:p>
      <w:r>
        <w:rPr>
          <w:b/>
        </w:rPr>
        <w:t>La mejor defensa del Estado.</w:t>
      </w:r>
      <w:r>
        <w:t xml:space="preserve"> La Constitución es reformable y se ha reformado cuatro veces —el art. 13.2 en 1992, el art. 135 en 2011, el art. 49 en 2024, de contenido social, y el art. 69.3 en 2026—: el procedimiento funciona.</w:t>
      </w:r>
    </w:p>
    <w:p>
      <w:pPr>
        <w:pStyle w:val="Heading2"/>
      </w:pPr>
      <w:r>
        <w:t>A.12 La lectura de conjunto</w:t>
      </w:r>
    </w:p>
    <w:p>
      <w:pPr>
        <w:pBdr>
          <w:left w:val="single" w:sz="24" w:space="6" w:color="E2DED6"/>
        </w:pBdr>
        <w:shd w:val="clear" w:color="auto" w:fill="F1EEE8"/>
        <w:spacing w:before="80" w:after="160"/>
        <w:ind w:left="142" w:right="142"/>
      </w:pPr>
      <w:r>
        <w:rPr>
          <w:b/>
        </w:rPr>
        <w:t>La idea: ninguno de los 169 artículos prueba por sí solo más de lo que dice; juntos, dibujan una asimetría que se declara aparte, como lectura y no como dato.</w:t>
      </w:r>
    </w:p>
    <w:p>
      <w:pPr>
        <w:pStyle w:val="Heading2"/>
      </w:pPr>
      <w:r>
        <w:t>Límite honesto de la prueba</w:t>
      </w:r>
    </w:p>
    <w:p>
      <w:pPr>
        <w:pStyle w:val="ListBullet"/>
      </w:pPr>
      <w:r>
        <w:t>Cada ficha es un hecho con su fuente y un estado. La obra no atribuye intención a ningún artículo, y el estado depende de la vara que fija 7.1: lo que no se cumple, incumple, y un recurso desestimado cuenta como cumplimiento limpio.</w:t>
      </w:r>
    </w:p>
    <w:p>
      <w:pPr>
        <w:pStyle w:val="ListBullet"/>
      </w:pPr>
      <w:r>
        <w:t>Las cifras, las citas, las fechas y las referencias de cada ficha se comprobaron contra su fuente. Lo que no se pudo leer en su fuente no entra y está en la lista de flecos, con la excepción que dice el último punto. Los hechos sin cifra ni cita no se comprobaron uno por uno: la lectura final de la obra los repasa.</w:t>
      </w:r>
    </w:p>
    <w:p>
      <w:pPr>
        <w:pStyle w:val="ListBullet"/>
      </w:pPr>
      <w:r>
        <w:t>Siete artículos quedan pendientes: el 7, porque el único hecho leído (el informe n.º 1.055 del Tribunal de Cuentas) no muestra que se incumpla; el 27 depende de una denuncia ante el Tribunal de Cuentas todavía sin resolver; el 46, de una cifra que cambia con cada alta o baja (la Lista Roja de Hispania Nostra); el 56, de una disputa doctrinal abierta sobre el alcance de la inviolabilidad del Rey; el 110, porque el conflicto de agosto de 2026 sobre las comparecencias en el Senado seguía abierto; el 111, porque no hay datos públicos de los plazos con que contesta el Gobierno que se puedan auditar en bloque (solo cifras de terceros); y el 150.2, de una proposición de ley todavía sin aprobar.</w:t>
      </w:r>
    </w:p>
    <w:p>
      <w:pPr>
        <w:pStyle w:val="ListBullet"/>
      </w:pPr>
      <w:r>
        <w:t>El número exacto de tratados de doble nacionalidad (art. 11) no se obtuvo tras varios intentos, y se dice así en lugar de forzar una cifra.</w:t>
      </w:r>
    </w:p>
    <w:p>
      <w:pPr>
        <w:pStyle w:val="ListBullet"/>
      </w:pPr>
      <w:r>
        <w:t>Algunas fichas descansan en una fuente secundaria (nivel B), marcada en la ficha. La prensa no vale como fuente y no entra.</w:t>
      </w:r>
    </w:p>
    <w:p>
      <w:pPr>
        <w:pStyle w:val="ListBullet"/>
      </w:pPr>
      <w:r>
        <w:t>La auditoría es una foto del 6 de octubre de 2026: una sentencia o una ley posteriores no están.</w:t>
      </w:r>
    </w:p>
    <w:p>
      <w:pPr>
        <w:pStyle w:val="ListBullet"/>
      </w:pPr>
      <w:r>
        <w:t>En 6 fichas (arts. 7, 27, 46, 110, 150.2 y 160), el hecho que sostiene el estado no se pudo leer en su fuente y va a la lista de flecos: la ficha lleva su norma y su estado, que es el de la auditoría original, y lo dice. Si la lectura final de los flecos lo comprueba, el hecho vuelve; si no, el estado se revisa.</w:t>
      </w:r>
    </w:p>
    <w:p>
      <w:pPr>
        <w:pStyle w:val="ListBullet"/>
      </w:pPr>
      <w:r>
        <w:t>Los arts. 111 y 136 se leyeron en su fuente el 8-oct. El 136 sigue INCUMPLE: las Cortes instaron al Tribunal de Cuentas a cumplir en su integridad el art. 136.2 (BOE de 6-I-2023), y la revisión entre pares de 2015 no halló hechos concretos de influencia política, y se dice en la ficha. El 111 pasa a PENDIENTE: los hechos leídos no muestran que el Gobierno eluda las preguntas, y faltan datos públicos que se puedan auditar en bloque.</w:t>
      </w:r>
    </w:p>
    <w:p>
      <w:pPr>
        <w:pStyle w:val="ListBullet"/>
      </w:pPr>
      <w:r>
        <w:t>De las tres fichas con declaración formal externa que conservaban su hecho «pendiente de leer en su fuente» (arts. 45, 117.1 y 159), las tres se leyeron en su fuente en la investigación final de flecos del 7-oct. Las de los arts. 45 y 117.1 conservan la declaración. La del art. 159 la pierde: ni los mandatos cumplidos ni el Auto 177/2022 son una sentencia del Tribunal Constitucional, una condena del TEDH o del TJUE ni la calificación expresa de un organismo (</w:t>
      </w:r>
      <w:r>
        <w:t>7.1</w:t>
      </w:r>
      <w:r>
        <w:t>). Sigue incumpliendo, y el recuento baja de 24 a 23.</w:t>
      </w:r>
    </w:p>
    <w:p>
      <w:pPr>
        <w:pStyle w:val="Heading2"/>
      </w:pPr>
      <w:r>
        <w:t>La defensa del Estado</w:t>
      </w:r>
    </w:p>
    <w:p>
      <w:r>
        <w:t>Este anexo es de consulta y lleva su propia defensa: cada título (</w:t>
      </w:r>
      <w:r>
        <w:t>A.1</w:t>
      </w:r>
      <w:r>
        <w:t xml:space="preserve"> a </w:t>
      </w:r>
      <w:r>
        <w:t>A.11</w:t>
      </w:r>
      <w:r>
        <w:t>) cierra con la mejor defensa que podría dar el Estado, en su propia voz, y con los contrapuntos de la obra, que conceden lo que es cierto y responden con los hechos de las fichas y de los capítulos.</w:t>
      </w:r>
    </w:p>
    <w:p>
      <w:pPr>
        <w:pStyle w:val="Heading2"/>
      </w:pPr>
      <w:r>
        <w:t>Dónde se oye la defensa del Estado</w:t>
      </w:r>
    </w:p>
    <w:p>
      <w:r>
        <w:t>En cada título, al final de su apartado. Y en el juicio (</w:t>
      </w:r>
      <w:r>
        <w:t>capítulo 11</w:t>
      </w:r>
      <w:r>
        <w:t>), cargo por cargo, con la última palabra de cada uno.</w:t>
      </w:r>
    </w:p>
    <w:p>
      <w:pPr>
        <w:pStyle w:val="Heading2"/>
      </w:pPr>
      <w:r>
        <w:t>Para recordar</w:t>
      </w:r>
    </w:p>
    <w:p>
      <w:pPr>
        <w:pStyle w:val="ListBullet"/>
      </w:pPr>
      <w:r>
        <w:t>La auditoría parte la pregunta del contrato social en 169 preguntas comprobables, una por artículo, cada una con su norma, su hecho y su fuente.</w:t>
      </w:r>
    </w:p>
    <w:p>
      <w:pPr>
        <w:pStyle w:val="ListBullet"/>
      </w:pPr>
      <w:r>
        <w:t>De los 169 artículos, 93 se cumplen, 69 no y 7 quedan pendientes; en 23 de los incumplidos ya hay una declaración formal externa.</w:t>
      </w:r>
    </w:p>
    <w:p>
      <w:pPr>
        <w:pStyle w:val="ListBullet"/>
      </w:pPr>
      <w:r>
        <w:t>El Título I, el de los derechos, incumple en 25 de sus 46 artículos; el del Tribunal Constitucional, en 1 de 7.</w:t>
      </w:r>
    </w:p>
    <w:p>
      <w:pPr>
        <w:pStyle w:val="ListBullet"/>
      </w:pPr>
      <w:r>
        <w:t>El incumplimiento recae en el 62,1 % de los artículos que afectan al ciudadano y en el 27,2 % de los que organizan el poder (</w:t>
      </w:r>
      <w:r>
        <w:t>7.4</w:t>
      </w:r>
      <w:r>
        <w:t>).</w:t>
      </w:r>
    </w:p>
    <w:p>
      <w:pPr>
        <w:pStyle w:val="ListBullet"/>
      </w:pPr>
      <w:r>
        <w:t>El sistema se corrige a sí mismo a veces, y ninguna ficha prueba por sí sola más de lo que dice.</w:t>
      </w:r>
    </w:p>
    <w:p>
      <w:pPr>
        <w:pStyle w:val="ListBullet"/>
      </w:pPr>
      <w:r>
        <w:t>Lo que no se pudo leer en su fuente no entra, y se dice.</w:t>
      </w:r>
    </w:p>
    <w:p>
      <w:r>
        <w:br w:type="page"/>
      </w:r>
    </w:p>
    <w:p>
      <w:pPr>
        <w:pStyle w:val="Heading1"/>
      </w:pPr>
      <w:r>
        <w:t>Anexo B. La carga fiscal en detalle</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w:t>
      </w:r>
      <w:r>
        <w:t>8.4</w:t>
      </w:r>
      <w:r>
        <w:t>) explica la carga: lo que se lleva el Estado del coste del trabajo de una persona, en cinco capas, para el asalariado, el autónomo y el que trabaja con una sociedad. Este anexo guarda el detalle: el peso de cada colectivo, la carga de cada perfil, qué impuestos están dentro de las capas, qué queda y el valor del tiempo de los trámites.</w:t>
      </w:r>
    </w:p>
    <w:p>
      <w:pPr>
        <w:pStyle w:val="ListBullet"/>
      </w:pPr>
      <w:r>
        <w:t>La carga de cada perfil es un cálculo de la obra con las reglas del BOE de 2026 y con supuestos que se dicen; sirve para el orden de magnitud, no para un caso individual.</w:t>
      </w:r>
    </w:p>
    <w:p>
      <w:pPr>
        <w:pStyle w:val="ListBullet"/>
      </w:pPr>
      <w:r>
        <w:t xml:space="preserve">Mide lo que se paga, no lo que se recibe; lo que se recibe está en </w:t>
      </w:r>
      <w:r>
        <w:t>8.4</w:t>
      </w:r>
      <w:r>
        <w:t>.</w:t>
      </w:r>
    </w:p>
    <w:p>
      <w:pPr>
        <w:pStyle w:val="ListBullet"/>
      </w:pPr>
      <w:r>
        <w:t>Es la parte monótona de la investigación, apartada para quien quiera contrastar las cifras.</w:t>
      </w:r>
    </w:p>
    <w:p>
      <w:pPr>
        <w:pStyle w:val="Heading2"/>
      </w:pPr>
      <w:r>
        <w:t>B.0 Qué es este anexo y cómo se lee</w:t>
      </w:r>
    </w:p>
    <w:p>
      <w:pPr>
        <w:pBdr>
          <w:left w:val="single" w:sz="24" w:space="6" w:color="E2DED6"/>
        </w:pBdr>
        <w:shd w:val="clear" w:color="auto" w:fill="F1EEE8"/>
        <w:spacing w:before="80" w:after="160"/>
        <w:ind w:left="142" w:right="142"/>
      </w:pPr>
      <w:r>
        <w:rPr>
          <w:b/>
        </w:rPr>
        <w:t>La idea: la cifra del asalariado medio no es la de todos; el mismo valor generado se reparte de otra manera según quién cobre y quién pague.</w:t>
      </w:r>
    </w:p>
    <w:p>
      <w:pPr>
        <w:pStyle w:val="Heading2"/>
      </w:pPr>
      <w:r>
        <w:t>B.1 El peso de cada colectivo</w:t>
      </w:r>
    </w:p>
    <w:p>
      <w:pPr>
        <w:pBdr>
          <w:left w:val="single" w:sz="24" w:space="6" w:color="E2DED6"/>
        </w:pBdr>
        <w:shd w:val="clear" w:color="auto" w:fill="F1EEE8"/>
        <w:spacing w:before="80" w:after="160"/>
        <w:ind w:left="142" w:right="142"/>
      </w:pPr>
      <w:r>
        <w:rPr>
          <w:b/>
        </w:rPr>
        <w:t>La idea: son datos oficiales, cada uno con su fuente y su fecha; no son de la misma fecha ni de la misma base, así que no se suman entre sí.</w:t>
      </w:r>
    </w:p>
    <w:p>
      <w:pPr>
        <w:pStyle w:val="Heading2"/>
      </w:pPr>
      <w:r>
        <w:t>B.2 ¿Suben los funcionarios el salario medio?</w:t>
      </w:r>
    </w:p>
    <w:p>
      <w:pPr>
        <w:pBdr>
          <w:left w:val="single" w:sz="24" w:space="6" w:color="E2DED6"/>
        </w:pBdr>
        <w:shd w:val="clear" w:color="auto" w:fill="F1EEE8"/>
        <w:spacing w:before="80" w:after="160"/>
        <w:ind w:left="142" w:right="142"/>
      </w:pPr>
      <w:r>
        <w:rPr>
          <w:b/>
        </w:rPr>
        <w:t>La idea: en bruto y sin ajustar, sí; pero esos datos no dicen por qué, ni si es justo.</w:t>
      </w:r>
    </w:p>
    <w:p>
      <w:pPr>
        <w:pStyle w:val="Heading2"/>
      </w:pPr>
      <w:r>
        <w:t>B.3 La carga de cada perfil</w:t>
      </w:r>
    </w:p>
    <w:p>
      <w:pPr>
        <w:pBdr>
          <w:left w:val="single" w:sz="24" w:space="6" w:color="E2DED6"/>
        </w:pBdr>
        <w:shd w:val="clear" w:color="auto" w:fill="F1EEE8"/>
        <w:spacing w:before="80" w:after="160"/>
        <w:ind w:left="142" w:right="142"/>
      </w:pPr>
      <w:r>
        <w:rPr>
          <w:b/>
        </w:rPr>
        <w:t>La idea: con el mismo valor generado, lo que se lleva el Estado va del 41 % al 54 % según el perfil; entre el asalariado y el funcionario, la diferencia está casi toda en la cotización social.</w:t>
      </w:r>
    </w:p>
    <w:p>
      <w:pPr>
        <w:pStyle w:val="Heading2"/>
      </w:pPr>
      <w:r>
        <w:t>B.4 Qué está dentro de las capas, y qué no</w:t>
      </w:r>
    </w:p>
    <w:p>
      <w:pPr>
        <w:pBdr>
          <w:left w:val="single" w:sz="24" w:space="6" w:color="E2DED6"/>
        </w:pBdr>
        <w:shd w:val="clear" w:color="auto" w:fill="F1EEE8"/>
        <w:spacing w:before="80" w:after="160"/>
        <w:ind w:left="142" w:right="142"/>
      </w:pPr>
      <w:r>
        <w:rPr>
          <w:b/>
        </w:rPr>
        <w:t>La idea: antes de sumar nada hay que saber qué impuestos están ya contados; sumar una factura entera con su impuesto sería contar dos veces lo mismo.</w:t>
      </w:r>
    </w:p>
    <w:p>
      <w:pPr>
        <w:pStyle w:val="Heading2"/>
      </w:pPr>
      <w:r>
        <w:t>B.5 Lo que queda, y lo que se pierde</w:t>
      </w:r>
    </w:p>
    <w:p>
      <w:pPr>
        <w:pBdr>
          <w:left w:val="single" w:sz="24" w:space="6" w:color="E2DED6"/>
        </w:pBdr>
        <w:shd w:val="clear" w:color="auto" w:fill="F1EEE8"/>
        <w:spacing w:before="80" w:after="160"/>
        <w:ind w:left="142" w:right="142"/>
      </w:pPr>
      <w:r>
        <w:rPr>
          <w:b/>
        </w:rPr>
        <w:t>La idea: tras las cinco capas le queda al asalariado medio el 46,4 % de lo que cuesta a su empresa; y lo que conserva se desvaloriza, y se le cobra por guardarlo.</w:t>
      </w:r>
    </w:p>
    <w:p>
      <w:pPr>
        <w:pStyle w:val="Heading2"/>
      </w:pPr>
      <w:r>
        <w:t>B.6 El valor del tiempo de los trámites</w:t>
      </w:r>
    </w:p>
    <w:p>
      <w:pPr>
        <w:pBdr>
          <w:left w:val="single" w:sz="24" w:space="6" w:color="E2DED6"/>
        </w:pBdr>
        <w:shd w:val="clear" w:color="auto" w:fill="F1EEE8"/>
        <w:spacing w:before="80" w:after="160"/>
        <w:ind w:left="142" w:right="142"/>
      </w:pPr>
      <w:r>
        <w:rPr>
          <w:b/>
        </w:rPr>
        <w:t>La idea: las horas que se dedican a la burocracia valen dinero, aunque nadie las pague como tal.</w:t>
      </w:r>
    </w:p>
    <w:p>
      <w:r>
        <w:rPr>
          <w:b/>
        </w:rPr>
        <w:t>Conclusión, lo que arrojan los datos:</w:t>
      </w:r>
      <w:r>
        <w:t xml:space="preserve"> si se valoran las 226 horas de un autónomo, solo por el tiempo de trámite, entre 2.763 y 4.778 euros al año, sin contar los impuestos que esa misma persona ya paga aparte ni la gestoría. El dato de partida, las horas, es el de una asociación del sector, y las cifras son un cálculo de la obra (cálculo de la obra con las referencias oficiales).</w:t>
      </w:r>
    </w:p>
    <w:p>
      <w:pPr>
        <w:pStyle w:val="Heading2"/>
      </w:pPr>
      <w:r>
        <w:t>Límite honesto de la prueba</w:t>
      </w:r>
    </w:p>
    <w:p>
      <w:pPr>
        <w:pStyle w:val="ListBullet"/>
      </w:pPr>
      <w:r>
        <w:t>Las capas 2 a 5 son estimaciones y una hipótesis; la cifra firme es la capa 1, que la OCDE corrobora (</w:t>
      </w:r>
      <w:r>
        <w:t>8.4</w:t>
      </w:r>
      <w:r>
        <w:t>). El asalariado medio de partida es el de un estudio privado.</w:t>
      </w:r>
    </w:p>
    <w:p>
      <w:pPr>
        <w:pStyle w:val="ListBullet"/>
      </w:pPr>
      <w:r>
        <w:t>La carga de cada perfil es un cálculo de la obra con las reglas de 2026 y con supuestos: la escala autonómica del IRPF igual a la estatal sin deducciones, los tipos de 2026 de la mutualidad y los derechos pasivos tomados de la Ley 31/2022, y, en el funcionario de carrera, que tampoco cotiza por el Fondo de Garantía Salarial ni por formación (sin verificar: queda en 05 FLECOS).</w:t>
      </w:r>
    </w:p>
    <w:p>
      <w:pPr>
        <w:pStyle w:val="ListBullet"/>
      </w:pPr>
      <w:r>
        <w:t xml:space="preserve">Mide lo que se paga, no lo que se recibe, ni la carga futura de las pensiones de cada régimen. No hay unidad común para sumar todo en un saldo en euros, y el valor de lo que se recibe depende de cada persona. Tampoco hay dato oficial en horas de espera (los datos están en días) ni de las esperas de incapacidad permanente, ingreso mínimo vital o dependencia. </w:t>
      </w:r>
    </w:p>
    <w:p>
      <w:pPr>
        <w:pStyle w:val="ListBullet"/>
      </w:pPr>
      <w:r>
        <w:t>El contraste del 56,7 al 57,9 % descansa en un supuesto de la obra (gastar del 88 al 100 % de lo que queda tras cotizaciones e IRPF).</w:t>
      </w:r>
    </w:p>
    <w:p>
      <w:pPr>
        <w:pStyle w:val="ListBullet"/>
      </w:pPr>
      <w:r>
        <w:t>Los datos no son de la misma fecha: el empleo, de 2026; el personal de las administraciones, de 2025; los pagadores, de 2024.</w:t>
      </w:r>
    </w:p>
    <w:p>
      <w:pPr>
        <w:pStyle w:val="ListBullet"/>
      </w:pPr>
      <w:r>
        <w:t>Las comisiones bancarias: el único dato de 2026 es la media de ASUFIN; los documentos del Banco Santander son de 2021 a 2025 y no prueban lo que cobra hoy.</w:t>
      </w:r>
    </w:p>
    <w:p>
      <w:pPr>
        <w:pStyle w:val="ListBullet"/>
      </w:pPr>
      <w:r>
        <w:t>La gestoría, la gasolina y los tipos de IVA de la luz y el agua no se han leído en su fuente: se nombran sin cifra o no entran todavía.</w:t>
      </w:r>
    </w:p>
    <w:p>
      <w:pPr>
        <w:pStyle w:val="Heading2"/>
      </w:pPr>
      <w:r>
        <w:t>Dónde se oye la defensa del Estado</w:t>
      </w:r>
    </w:p>
    <w:p>
      <w:r>
        <w:t xml:space="preserve">Este anexo no lleva defensa propia. La defensa de la carga, con sus contrapuntos, está en el </w:t>
      </w:r>
      <w:r>
        <w:t>cargo 25</w:t>
      </w:r>
      <w:r>
        <w:t xml:space="preserve"> del juicio (</w:t>
      </w:r>
      <w:r>
        <w:t>11.3</w:t>
      </w:r>
      <w:r>
        <w:t>); la del ahorro y la pérdida de valor de la moneda, en los cargos 4 y 19.</w:t>
      </w:r>
    </w:p>
    <w:p>
      <w:pPr>
        <w:pStyle w:val="Heading2"/>
      </w:pPr>
      <w:r>
        <w:t>Para recordar</w:t>
      </w:r>
    </w:p>
    <w:p>
      <w:pPr>
        <w:pStyle w:val="ListBullet"/>
      </w:pPr>
      <w:r>
        <w:t>Con el mismo valor generado, lo que se lleva el Estado va del 41 % al 54 % del coste laboral según el perfil; entre el asalariado y el funcionario, la diferencia está casi toda en la cotización social.</w:t>
      </w:r>
    </w:p>
    <w:p>
      <w:pPr>
        <w:pStyle w:val="ListBullet"/>
      </w:pPr>
      <w:r>
        <w:t>Al asalariado medio le quedan 18.337 euros de 39.481: el 46,4 %; por cada 100 euros de salario bruto, 60,6.</w:t>
      </w:r>
    </w:p>
    <w:p>
      <w:pPr>
        <w:pStyle w:val="ListBullet"/>
      </w:pPr>
      <w:r>
        <w:t>Antes de sumar una factura, hay que saber si su impuesto está ya en las capas. La tasa de basuras, no.</w:t>
      </w:r>
    </w:p>
    <w:p>
      <w:pPr>
        <w:pStyle w:val="ListBullet"/>
      </w:pPr>
      <w:r>
        <w:t>Quien ahorra paga tres veces: el interés escaso, la comisión por la cuenta y la inflación.</w:t>
      </w:r>
    </w:p>
    <w:p>
      <w:pPr>
        <w:pStyle w:val="ListBullet"/>
      </w:pPr>
      <w:r>
        <w:t>Las 226 horas de trámites de un autónomo valen entre 2.763 y 4.778 euros al año, sin contar la gestoría.</w:t>
      </w:r>
    </w:p>
    <w:p>
      <w:pPr>
        <w:pStyle w:val="ListBullet"/>
      </w:pPr>
      <w:r>
        <w:t>Lo que no se ha leído en su fuente no está, y queda a la espera.</w:t>
      </w:r>
    </w:p>
    <w:p>
      <w:r>
        <w:br w:type="page"/>
      </w:r>
    </w:p>
    <w:p>
      <w:pPr>
        <w:pStyle w:val="Heading1"/>
      </w:pPr>
      <w:r>
        <w:t>Anexo C. Lo que cuesta el Estado: el anexo de datos</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mide a vista de águila a dónde va cada euro y quién sostiene a quién (</w:t>
      </w:r>
      <w:r>
        <w:t>8.6</w:t>
      </w:r>
      <w:r>
        <w:t>). Este anexo guarda el detalle: cuántos son los cargos políticos y los asesores, lo que cuesta la nómina pública, el cuadro de las partidas, la jubilación y el despido de cada colectivo y las pensiones de cada régimen.</w:t>
      </w:r>
    </w:p>
    <w:p>
      <w:pPr>
        <w:pStyle w:val="ListBullet"/>
      </w:pPr>
      <w:r>
        <w:t>Cada cifra lleva su fuente y su fecha. Y cada intento que se topó con el muro de opacidad queda anotado, con la dificultad concreta.</w:t>
      </w:r>
    </w:p>
    <w:p>
      <w:pPr>
        <w:pStyle w:val="ListBullet"/>
      </w:pPr>
      <w:r>
        <w:t>La pensión que la estadística llama «de la Seguridad Social» no es solo la de quien trabajó en la empresa privada: dentro van también empleados públicos y cargos políticos, y parte de sus cotizaciones se paga con impuestos (</w:t>
      </w:r>
      <w:r>
        <w:t>C.5</w:t>
      </w:r>
      <w:r>
        <w:t>).</w:t>
      </w:r>
    </w:p>
    <w:p>
      <w:pPr>
        <w:pStyle w:val="ListBullet"/>
      </w:pPr>
      <w:r>
        <w:t>Es la parte monótona de la investigación, apartada para quien quiera contrastar los datos.</w:t>
      </w:r>
    </w:p>
    <w:p>
      <w:pPr>
        <w:pStyle w:val="Heading2"/>
      </w:pPr>
      <w:r>
        <w:t>C.0 Qué es este anexo y cómo se lee</w:t>
      </w:r>
    </w:p>
    <w:p>
      <w:pPr>
        <w:pBdr>
          <w:left w:val="single" w:sz="24" w:space="6" w:color="E2DED6"/>
        </w:pBdr>
        <w:shd w:val="clear" w:color="auto" w:fill="F1EEE8"/>
        <w:spacing w:before="80" w:after="160"/>
        <w:ind w:left="142" w:right="142"/>
      </w:pPr>
      <w:r>
        <w:rPr>
          <w:b/>
        </w:rPr>
        <w:t>La idea: cada dato lo publica alguien; lo que no existe es la suma, y este anexo enseña cuánto cuesta hacerla.</w:t>
      </w:r>
    </w:p>
    <w:p>
      <w:pPr>
        <w:pStyle w:val="Heading2"/>
      </w:pPr>
      <w:r>
        <w:t>C.1 Cuántos son</w:t>
      </w:r>
    </w:p>
    <w:p>
      <w:pPr>
        <w:pBdr>
          <w:left w:val="single" w:sz="24" w:space="6" w:color="E2DED6"/>
        </w:pBdr>
        <w:shd w:val="clear" w:color="auto" w:fill="F1EEE8"/>
        <w:spacing w:before="80" w:after="160"/>
        <w:ind w:left="142" w:right="142"/>
      </w:pPr>
      <w:r>
        <w:rPr>
          <w:b/>
        </w:rPr>
        <w:t>La idea: los altos cargos, los asesores y los cargos electos se pueden contar, pero en decenas de ficheros, con topes y huecos; ninguna cifra única los recoge.</w:t>
      </w:r>
    </w:p>
    <w:p>
      <w:pPr>
        <w:pStyle w:val="Heading2"/>
      </w:pPr>
      <w:r>
        <w:t>C.2 Lo que cuestan</w:t>
      </w:r>
    </w:p>
    <w:p>
      <w:pPr>
        <w:pBdr>
          <w:left w:val="single" w:sz="24" w:space="6" w:color="E2DED6"/>
        </w:pBdr>
        <w:shd w:val="clear" w:color="auto" w:fill="F1EEE8"/>
        <w:spacing w:before="80" w:after="160"/>
        <w:ind w:left="142" w:right="142"/>
      </w:pPr>
      <w:r>
        <w:rPr>
          <w:b/>
        </w:rPr>
        <w:t>La idea: el total de la nómina pública se conoce; el detalle de quien gobierna, no se publica sumado.</w:t>
      </w:r>
    </w:p>
    <w:p>
      <w:pPr>
        <w:pStyle w:val="Heading2"/>
      </w:pPr>
      <w:r>
        <w:t>C.3 El cuadro de las partidas</w:t>
      </w:r>
    </w:p>
    <w:p>
      <w:pPr>
        <w:pBdr>
          <w:left w:val="single" w:sz="24" w:space="6" w:color="E2DED6"/>
        </w:pBdr>
        <w:shd w:val="clear" w:color="auto" w:fill="F1EEE8"/>
        <w:spacing w:before="80" w:after="160"/>
        <w:ind w:left="142" w:right="142"/>
      </w:pPr>
      <w:r>
        <w:rPr>
          <w:b/>
        </w:rPr>
        <w:t>La idea: de cada 100 euros que gastan las administraciones, 26,5 van a las pensiones de la Seguridad Social, 23,7 a su personal, 5,3 a intereses y 3,2 a Clases Pasivas; lo que cuestan quienes gobiernan es una fracción mínima, pero es la parte con reglas propias.</w:t>
      </w:r>
    </w:p>
    <w:p>
      <w:r>
        <w:rPr>
          <w:b/>
        </w:rPr>
        <w:t>Conclusión, lo que arrojan los datos:</w:t>
      </w:r>
      <w:r>
        <w:t xml:space="preserve"> de cada 100 euros que gastan las administraciones, unos 26,5 van a las pensiones de la Seguridad Social, que no son solo las de quien trabajó en la empresa privada (</w:t>
      </w:r>
      <w:r>
        <w:t>C.5</w:t>
      </w:r>
      <w:r>
        <w:t>); unos 23,7, a pagar a los empleados públicos; unos 5,3, a intereses de la deuda; y unos 3,2, a las pensiones de Clases Pasivas. Lo que cuestan la Jefatura del Estado y los cargos políticos es una fracción mínima del total, pero es la parte con reglas propias, y la más difícil de sumar con los datos públicos.</w:t>
      </w:r>
    </w:p>
    <w:p>
      <w:pPr>
        <w:pStyle w:val="Heading2"/>
      </w:pPr>
      <w:r>
        <w:t>C.4 La jubilación y el despido de cada colectivo</w:t>
      </w:r>
    </w:p>
    <w:p>
      <w:pPr>
        <w:pBdr>
          <w:left w:val="single" w:sz="24" w:space="6" w:color="E2DED6"/>
        </w:pBdr>
        <w:shd w:val="clear" w:color="auto" w:fill="F1EEE8"/>
        <w:spacing w:before="80" w:after="160"/>
        <w:ind w:left="142" w:right="142"/>
      </w:pPr>
      <w:r>
        <w:rPr>
          <w:b/>
        </w:rPr>
        <w:t>La idea: la edad a la que cada uno puede dejar de trabajar, lo que conserva después y si se le puede despedir no son iguales para todos; quien sostiene el sistema con su trabajo tiene la regla más dura.</w:t>
      </w:r>
    </w:p>
    <w:p>
      <w:r>
        <w:rPr>
          <w:b/>
        </w:rPr>
        <w:t>Conclusión, lo que arrojan los datos:</w:t>
      </w:r>
      <w:r>
        <w:t xml:space="preserve"> quien sostiene el sistema con su trabajo en el régimen general se retira años más tarde, y con menos garantías, que quienes están en los regímenes especiales; a él se le puede despedir pagando una indemnización tasada, mientras que al funcionario de carrera solo por falta muy grave o condena, al parlamentario nadie puede quitarle el escaño durante su mandato y al gobernante solo lo aparta un voto de la Cámara o del pleno municipal.</w:t>
      </w:r>
    </w:p>
    <w:p>
      <w:pPr>
        <w:pStyle w:val="Heading2"/>
      </w:pPr>
      <w:r>
        <w:t>C.5 Las pensiones, por régimen</w:t>
      </w:r>
    </w:p>
    <w:p>
      <w:pPr>
        <w:pBdr>
          <w:left w:val="single" w:sz="24" w:space="6" w:color="E2DED6"/>
        </w:pBdr>
        <w:shd w:val="clear" w:color="auto" w:fill="F1EEE8"/>
        <w:spacing w:before="80" w:after="160"/>
        <w:ind w:left="142" w:right="142"/>
      </w:pPr>
      <w:r>
        <w:rPr>
          <w:b/>
        </w:rPr>
        <w:t>La idea: hay dos bolsas que se publican aparte, y la de la Seguridad Social lleva dentro más de lo que su nombre hace creer.</w:t>
      </w:r>
    </w:p>
    <w:p>
      <w:r>
        <w:rPr>
          <w:b/>
        </w:rPr>
        <w:t>Conclusión, lo que arrojan los datos:</w:t>
      </w:r>
      <w:r>
        <w:t xml:space="preserve"> una de cada quince pensiones, la de quienes sirvieron al Estado bajo el régimen de Clases Pasivas, se lleva uno de cada nueve euros de la nómina. Y la otra bolsa, la de la Seguridad Social, paga también a empleados públicos y a cargos políticos, con cotizaciones que en parte salen de impuestos, sin que ninguna estadística lo separe.</w:t>
      </w:r>
    </w:p>
    <w:p>
      <w:pPr>
        <w:pStyle w:val="Heading2"/>
      </w:pPr>
      <w:r>
        <w:t>Límite honesto de la prueba</w:t>
      </w:r>
    </w:p>
    <w:p>
      <w:pPr>
        <w:pStyle w:val="ListBullet"/>
      </w:pPr>
      <w:r>
        <w:t>Los años no coinciden: las pensiones son de 2026, la nómina pública de 2024 y 2025, los Presupuestos de 2023 prorrogados. Las proporciones son órdenes de magnitud.</w:t>
      </w:r>
    </w:p>
    <w:p>
      <w:pPr>
        <w:pStyle w:val="ListBullet"/>
      </w:pPr>
      <w:r>
        <w:t>Los cálculos de la obra se dicen como tales: el coste medio por empleado, el senador sin cargo, la suma de los altos cargos, las pensiones al año, las proporciones del cuadro y la deuda por habitante.</w:t>
      </w:r>
    </w:p>
    <w:p>
      <w:pPr>
        <w:pStyle w:val="ListBullet"/>
      </w:pPr>
      <w:r>
        <w:t>Las cifras del Portal de la Transparencia pueden cambiar con la fecha de descarga; las del ISPA, según la propia nota, no son definitivas.</w:t>
      </w:r>
    </w:p>
    <w:p>
      <w:pPr>
        <w:pStyle w:val="ListBullet"/>
      </w:pPr>
      <w:r>
        <w:t>Lo que la obra no ha podido leer en una fuente oficial no está: la plantilla real de la Casa del Rey, el coste total de la Jefatura del Estado, el de los exparlamentarios, los concejales elegidos en 2023 y lo que cobran los cargos de los ayuntamientos que no informaron.</w:t>
      </w:r>
    </w:p>
    <w:p>
      <w:pPr>
        <w:pStyle w:val="ListBullet"/>
      </w:pPr>
      <w:r>
        <w:t>La obra no sostiene que sobren médicos, maestros o policías: documenta quién cobra qué, quién lo decide, qué régimen tiene cada uno y lo difícil que es saberlo.</w:t>
      </w:r>
    </w:p>
    <w:p>
      <w:pPr>
        <w:pStyle w:val="Heading2"/>
      </w:pPr>
      <w:r>
        <w:t>La defensa del Estado</w:t>
      </w:r>
    </w:p>
    <w:p>
      <w:r>
        <w:t>Este anexo es de consulta: lleva su propia defensa.</w:t>
      </w:r>
    </w:p>
    <w:p>
      <w:pPr>
        <w:pStyle w:val="ListBullet"/>
      </w:pPr>
      <w:r>
        <w:rPr>
          <w:b/>
        </w:rPr>
        <w:t>Los datos son públicos: la ley obliga a publicarlos.</w:t>
      </w:r>
      <w:r>
        <w:t xml:space="preserve"> No hay opacidad: la ley obliga a publicar las retribuciones de los altos cargos y el número y las retribuciones del personal eventual, y el Portal de la Transparencia lo hace desde 2013. </w:t>
      </w:r>
      <w:r>
        <w:rPr>
          <w:i/>
        </w:rPr>
        <w:t>Los contrapuntos de la obra:</w:t>
      </w:r>
      <w:r>
        <w:t xml:space="preserve"> 1) La obra lo reconoce al empezar: cada dato lo publica alguien (</w:t>
      </w:r>
      <w:r>
        <w:t>C.0</w:t>
      </w:r>
      <w:r>
        <w:t>). 2) Pero no existe una cifra única: los altos cargos del Estado están en 23 ficheros sin un total; lo que cobran los cargos de comunidades y ayuntamientos no se suma; y la Casa del Rey no dice cuántas personas trabajan en ella (</w:t>
      </w:r>
      <w:r>
        <w:t>C.1</w:t>
      </w:r>
      <w:r>
        <w:t xml:space="preserve"> y </w:t>
      </w:r>
      <w:r>
        <w:t>C.2</w:t>
      </w:r>
      <w:r>
        <w:t>). 3) Lo que se publica sin sumarse cumple la letra de la transparencia, no su fin: el Consejo de Transparencia recibió 2.767 reclamaciones en 2025 (</w:t>
      </w:r>
      <w:r>
        <w:t>10.2</w:t>
      </w:r>
      <w:r>
        <w:t xml:space="preserve">). </w:t>
      </w:r>
    </w:p>
    <w:p>
      <w:pPr>
        <w:pStyle w:val="ListBullet"/>
      </w:pPr>
      <w:r>
        <w:rPr>
          <w:b/>
        </w:rPr>
        <w:t>La nómina pública es la que exigen los servicios.</w:t>
      </w:r>
      <w:r>
        <w:t xml:space="preserve"> La mayor parte del personal trabaja en las comunidades autónomas, que gestionan la sanidad y la educación. </w:t>
      </w:r>
      <w:r>
        <w:rPr>
          <w:i/>
        </w:rPr>
        <w:t>Los contrapuntos de la obra:</w:t>
      </w:r>
      <w:r>
        <w:t xml:space="preserve"> 1) Es cierto, y el anexo lo muestra: de 3.071.725 empleados públicos, 1.930.273 están en las comunidades, y de 172.749 millones de remuneración en 2024, 108.023 los pagan ellas (</w:t>
      </w:r>
      <w:r>
        <w:t>C.2</w:t>
      </w:r>
      <w:r>
        <w:t>). 2) La obra no sostiene que sobren médicos o maestros: documenta la estructura y la dificultad de saberla (</w:t>
      </w:r>
      <w:r>
        <w:t>C.1</w:t>
      </w:r>
      <w:r>
        <w:t xml:space="preserve"> a </w:t>
      </w:r>
      <w:r>
        <w:t>C.5</w:t>
      </w:r>
      <w:r>
        <w:t>). 3) Y separa a quien presta el servicio de quien gobierna el sistema: los cargos políticos y eventuales son los que no tienen una cifra única (</w:t>
      </w:r>
      <w:r>
        <w:t>C.1</w:t>
      </w:r>
      <w:r>
        <w:t xml:space="preserve">). </w:t>
      </w:r>
    </w:p>
    <w:p>
      <w:pPr>
        <w:pStyle w:val="ListBullet"/>
      </w:pPr>
      <w:r>
        <w:rPr>
          <w:b/>
        </w:rPr>
        <w:t>Los altos cargos cobran menos que en el sector privado.</w:t>
      </w:r>
      <w:r>
        <w:t xml:space="preserve"> Sus retribuciones son moderadas para la responsabilidad que tienen, y menores que las de puestos equivalentes en la empresa privada. </w:t>
      </w:r>
      <w:r>
        <w:rPr>
          <w:i/>
        </w:rPr>
        <w:t>Los contrapuntos de la obra:</w:t>
      </w:r>
      <w:r>
        <w:t xml:space="preserve"> 1) En 2025, la retribución media de los altos cargos del Estado es de 92.294 euros, y el 52,8 % supera los 100.000 (</w:t>
      </w:r>
      <w:r>
        <w:t>C.1</w:t>
      </w:r>
      <w:r>
        <w:t>), frente a un salario medio de 22.962 euros en el sector privado (</w:t>
      </w:r>
      <w:r>
        <w:t>8.6</w:t>
      </w:r>
      <w:r>
        <w:t>): unas cuatro veces (cálculo de la obra; la comparación es en bruto). Frente a la mediana de la ganancia bruta anual por trabajador (24.497,17 euros, INE, 2024), la media de los altos cargos es 3,77 veces, y el Presidente del Gobierno, con 96.921,84 euros, 3,96 (cálculo de la obra). 2) La empresa privada paga con su dinero; el Estado, con el de los contribuyentes, y esas retribuciones las aprueba la misma mayoría que gobierna, en los Presupuestos. 3) Y los representantes fijan su propia asignación (</w:t>
      </w:r>
      <w:r>
        <w:t>7.2</w:t>
      </w:r>
      <w:r>
        <w:t xml:space="preserve">). </w:t>
      </w:r>
    </w:p>
    <w:p>
      <w:pPr>
        <w:pStyle w:val="ListBullet"/>
      </w:pPr>
      <w:r>
        <w:rPr>
          <w:b/>
        </w:rPr>
        <w:t>Clases Pasivas es un régimen a extinguir.</w:t>
      </w:r>
      <w:r>
        <w:t xml:space="preserve"> Desde 2011, los nuevos funcionarios cotizan en el régimen general, con las mismas edades que el resto. </w:t>
      </w:r>
      <w:r>
        <w:rPr>
          <w:i/>
        </w:rPr>
        <w:t>Los contrapuntos de la obra:</w:t>
      </w:r>
      <w:r>
        <w:t xml:space="preserve"> 1) La obra lo recoge (</w:t>
      </w:r>
      <w:r>
        <w:t>C.4</w:t>
      </w:r>
      <w:r>
        <w:t>). 2) Pero el régimen cerrado sigue pagando 740.431 pensiones, con una media de unos 2.396 euros al mes, 1,7 veces la de la Seguridad Social: el 6,6 % de las pensiones, que se llevan el 10,9 % de la nómina (</w:t>
      </w:r>
      <w:r>
        <w:t>C.5</w:t>
      </w:r>
      <w:r>
        <w:t>). 3) Y conserva su regla: jubilación voluntaria a los 60 años con 30 de servicio, frente a los 66 años y 10 meses del régimen general en 2026 (</w:t>
      </w:r>
      <w:r>
        <w:t>C.4</w:t>
      </w:r>
      <w:r>
        <w:t>). 4) Y los que entraron desde 2011 no salen de la cuenta: pasan a la bolsa de la Seguridad Social, con la cuota de empresa pagada con impuestos (</w:t>
      </w:r>
      <w:r>
        <w:t>C.5</w:t>
      </w:r>
      <w:r>
        <w:t xml:space="preserve">). </w:t>
      </w:r>
    </w:p>
    <w:p>
      <w:pPr>
        <w:pStyle w:val="ListBullet"/>
      </w:pPr>
      <w:r>
        <w:rPr>
          <w:b/>
        </w:rPr>
        <w:t>Las prestaciones de los cargos políticos son irrelevantes en el gasto.</w:t>
      </w:r>
      <w:r>
        <w:t xml:space="preserve"> Las pensiones de exministros, la dotación de los expresidentes y las prestaciones de los exparlamentarios suman unos pocos millones frente a un gasto público de 764.884 millones. </w:t>
      </w:r>
      <w:r>
        <w:rPr>
          <w:i/>
        </w:rPr>
        <w:t>Los contrapuntos de la obra:</w:t>
      </w:r>
      <w:r>
        <w:t xml:space="preserve"> 1) La obra lo concede en magnitud (</w:t>
      </w:r>
      <w:r>
        <w:t>C.3</w:t>
      </w:r>
      <w:r>
        <w:t>). 2) Lo que mide no es el tamaño, sino la vara: el complemento de los exparlamentarios se suprimió en 2011, pero sin efecto retroactivo, y lo conservan quienes lo habían devengado antes (</w:t>
      </w:r>
      <w:r>
        <w:t>C.4</w:t>
      </w:r>
      <w:r>
        <w:t>). Los beneficiarios decidieron sobre lo suyo. 3) Y ni siquiera su coste se publica: solo hay cifras de prensa, y no coinciden (</w:t>
      </w:r>
      <w:r>
        <w:t>C.5</w:t>
      </w:r>
      <w:r>
        <w:t xml:space="preserve">). Si lo pequeño no se puede saber con exactitud, lo grande tampoco. </w:t>
      </w:r>
    </w:p>
    <w:p>
      <w:pPr>
        <w:pStyle w:val="ListBullet"/>
      </w:pPr>
      <w:r>
        <w:rPr>
          <w:b/>
        </w:rPr>
        <w:t>La Casa del Rey es transparente y está fiscalizada.</w:t>
      </w:r>
      <w:r>
        <w:t xml:space="preserve"> Publica su presupuesto, sus retribuciones y sus cuentas, y el Tribunal de Cuentas las auditó con opinión favorable. </w:t>
      </w:r>
      <w:r>
        <w:rPr>
          <w:i/>
        </w:rPr>
        <w:t>Los contrapuntos de la obra:</w:t>
      </w:r>
      <w:r>
        <w:t xml:space="preserve"> 1) Es cierto, y la obra lo dice (</w:t>
      </w:r>
      <w:r>
        <w:t>C.2</w:t>
      </w:r>
      <w:r>
        <w:t>). 2) Las mismas cuentas auditadas dan un resultado negativo de 719.334,93 euros en 2025. 3) Y ni el presupuesto ni las cuentas dicen cuántas personas trabajan en ella: pagan complementos a «otro personal que presta servicio en la Casa», cuyo sueldo no figura en su presupuesto (</w:t>
      </w:r>
      <w:r>
        <w:t>C.2</w:t>
      </w:r>
      <w:r>
        <w:t>); el personal civil sí consta en la relación de puestos del Ministerio de la Presidencia (161 puestos de funcionarios a 1-X-2026), y los 105 millones de la Jefatura del Estado son un cálculo académico, no una cifra oficial (</w:t>
      </w:r>
      <w:r>
        <w:t>C.2</w:t>
      </w:r>
      <w:r>
        <w:t xml:space="preserve">). </w:t>
      </w:r>
    </w:p>
    <w:p>
      <w:pPr>
        <w:pStyle w:val="Heading2"/>
      </w:pPr>
      <w:r>
        <w:t>Dónde se oye la defensa del Estado</w:t>
      </w:r>
    </w:p>
    <w:p>
      <w:r>
        <w:t xml:space="preserve">En este anexo, arriba. Y en el juicio: la transparencia y la Casa del Rey, en el </w:t>
      </w:r>
      <w:r>
        <w:t>cargo 22</w:t>
      </w:r>
      <w:r>
        <w:t xml:space="preserve">; la partida de vejez y las dos bolsas de pensiones, en el </w:t>
      </w:r>
      <w:r>
        <w:t>cargo 23</w:t>
      </w:r>
      <w:r>
        <w:t xml:space="preserve">; la representación y lo que fijan los representantes para sí, en el </w:t>
      </w:r>
      <w:r>
        <w:t>cargo 6</w:t>
      </w:r>
      <w:r>
        <w:t xml:space="preserve">; el Estado social, en el </w:t>
      </w:r>
      <w:r>
        <w:t>cargo 10</w:t>
      </w:r>
      <w:r>
        <w:t>.</w:t>
      </w:r>
    </w:p>
    <w:p>
      <w:pPr>
        <w:pStyle w:val="Heading2"/>
      </w:pPr>
      <w:r>
        <w:t>Para recordar</w:t>
      </w:r>
    </w:p>
    <w:p>
      <w:pPr>
        <w:pStyle w:val="ListBullet"/>
      </w:pPr>
      <w:r>
        <w:t>Cada dato lo publica alguien; nadie está obligado a publicar la suma.</w:t>
      </w:r>
    </w:p>
    <w:p>
      <w:pPr>
        <w:pStyle w:val="ListBullet"/>
      </w:pPr>
      <w:r>
        <w:t>De cada 100 euros del gasto: 26,5 a pensiones de la Seguridad Social, 23,7 al personal público, 5,3 a intereses y 3,2 a Clases Pasivas.</w:t>
      </w:r>
    </w:p>
    <w:p>
      <w:pPr>
        <w:pStyle w:val="ListBullet"/>
      </w:pPr>
      <w:r>
        <w:t>La bolsa de la Seguridad Social paga también a empleados públicos y a cargos políticos, y parte de lo cotizado por ellos sale de impuestos; ninguna estadística lo separa.</w:t>
      </w:r>
    </w:p>
    <w:p>
      <w:pPr>
        <w:pStyle w:val="ListBullet"/>
      </w:pPr>
      <w:r>
        <w:t>Una de cada quince pensiones, la de Clases Pasivas, se lleva uno de cada nueve euros de la nómina.</w:t>
      </w:r>
    </w:p>
    <w:p>
      <w:pPr>
        <w:pStyle w:val="ListBullet"/>
      </w:pPr>
      <w:r>
        <w:t>Quien trabaja en el régimen general se retira más tarde y se le puede despedir; al parlamentario, nadie durante su mandato.</w:t>
      </w:r>
    </w:p>
    <w:p>
      <w:pPr>
        <w:pStyle w:val="ListBullet"/>
      </w:pPr>
      <w:r>
        <w:t>Lo que no se ha podido leer en una fuente oficial no está, y se dice.</w:t>
      </w:r>
    </w:p>
    <w:p>
      <w:r>
        <w:br w:type="page"/>
      </w:r>
    </w:p>
    <w:p>
      <w:pPr>
        <w:pStyle w:val="Heading1"/>
      </w:pPr>
      <w:r>
        <w:t>Anexo D. El botiquín: los doce modelos de escrito</w:t>
      </w:r>
    </w:p>
    <w:p>
      <w:pPr>
        <w:spacing w:after="200"/>
      </w:pPr>
      <w:r>
        <w:rPr>
          <w:rFonts w:ascii="Segoe UI" w:hAnsi="Segoe UI" w:eastAsia="Segoe UI" w:cs="Segoe UI"/>
          <w:color w:val="6B665E"/>
          <w:sz w:val="17"/>
        </w:rPr>
        <w:t>Primera versión: 7 de octubre de 2026 · Última revisión: 12 de octubre de 2026 · Cambios anotados en el capítulo: 2 · Citas leídas en su fuente: 26</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10</w:t>
      </w:r>
      <w:r>
        <w:t xml:space="preserve"> explica los cauces (</w:t>
      </w:r>
      <w:r>
        <w:t>10.4</w:t>
      </w:r>
      <w:r>
        <w:t xml:space="preserve"> y </w:t>
      </w:r>
      <w:r>
        <w:t>10.5</w:t>
      </w:r>
      <w:r>
        <w:t>); este anexo pone en la mano los escritos: doce modelos listos para rellenar, cada uno con su base legal, sus plazos y la respuesta probable de la Administración.</w:t>
      </w:r>
    </w:p>
    <w:p>
      <w:pPr>
        <w:pStyle w:val="ListBullet"/>
      </w:pPr>
      <w:r>
        <w:t>Se usan en escalera: primero se pide; si no contestan o contestan con una evasiva, se exige que acrediten; y si siguen callando, se recuerda por escrito la obligación de resolver y la responsabilidad de quien tramita.</w:t>
      </w:r>
    </w:p>
    <w:p>
      <w:pPr>
        <w:pStyle w:val="ListBullet"/>
      </w:pPr>
      <w:r>
        <w:t>El último apartado, D.13, reúne las presunciones en que se sostiene la autoridad del Estado, las que la ley escribe y las que ninguna ley escribe, para pedir, una a una, el hecho demostrado en que se apoyan.</w:t>
      </w:r>
    </w:p>
    <w:p>
      <w:pPr>
        <w:pStyle w:val="ListBullet"/>
      </w:pPr>
      <w:r>
        <w:t>Son modelos, no consejo legal para un caso concreto. No eximen de ninguna obligación vigente ni invitan a desobedecer.</w:t>
      </w:r>
    </w:p>
    <w:p>
      <w:pPr>
        <w:pStyle w:val="Heading2"/>
      </w:pPr>
      <w:r>
        <w:t>D.0 Cómo se usan</w:t>
      </w:r>
    </w:p>
    <w:p>
      <w:pPr>
        <w:pBdr>
          <w:left w:val="single" w:sz="24" w:space="6" w:color="E2DED6"/>
        </w:pBdr>
        <w:shd w:val="clear" w:color="auto" w:fill="F1EEE8"/>
        <w:spacing w:before="80" w:after="160"/>
        <w:ind w:left="142" w:right="142"/>
      </w:pPr>
      <w:r>
        <w:rPr>
          <w:b/>
        </w:rPr>
        <w:t>La idea: los escritos son la constancia; se presentan en escalera, con copia sellada, en plazo y en el lenguaje de la Administración.</w:t>
      </w:r>
    </w:p>
    <w:p>
      <w:pPr>
        <w:pStyle w:val="Heading2"/>
      </w:pPr>
      <w:r>
        <w:t>D.1 El escrito de petición</w:t>
      </w:r>
    </w:p>
    <w:p>
      <w:pPr>
        <w:pBdr>
          <w:left w:val="single" w:sz="24" w:space="6" w:color="E2DED6"/>
        </w:pBdr>
        <w:shd w:val="clear" w:color="auto" w:fill="F1EEE8"/>
        <w:spacing w:before="80" w:after="160"/>
        <w:ind w:left="142" w:right="142"/>
      </w:pPr>
      <w:r>
        <w:rPr>
          <w:b/>
        </w:rPr>
        <w:t xml:space="preserve">La idea: es el escrito de la pregunta de </w:t>
      </w:r>
      <w:r>
        <w:rPr>
          <w:b/>
        </w:rPr>
        <w:t>10.4</w:t>
      </w:r>
      <w:r>
        <w:rPr>
          <w:b/>
        </w:rPr>
        <w:t>, completo: pide la norma, la resolución y la identidad de quien tramita, y deja constancia de buena fe.</w:t>
      </w:r>
    </w:p>
    <w:p>
      <w:r>
        <w:rPr>
          <w:b/>
        </w:rPr>
        <w:t>La respuesta probable de la Administración:</w:t>
      </w:r>
      <w:r>
        <w:t xml:space="preserve"> que no se admite porque lo pedido tiene otro procedimiento específico o es ajeno a sus atribuciones</w:t>
      </w:r>
      <w:r>
        <w:t xml:space="preserve"> (Ley Orgánica 4/2001, art. 8)</w:t>
      </w:r>
      <w:r>
        <w:t xml:space="preserve">, o una contestación genérica que no responde a lo pedido. Las cinco respuestas posibles, con lo que contesta la obra, están en </w:t>
      </w:r>
      <w:r>
        <w:t>10.4</w:t>
      </w:r>
      <w:r>
        <w:t>.</w:t>
      </w:r>
    </w:p>
    <w:p>
      <w:pPr>
        <w:pStyle w:val="Heading2"/>
      </w:pPr>
      <w:r>
        <w:t>D.2 La solicitud de acceso a la información pública</w:t>
      </w:r>
    </w:p>
    <w:p>
      <w:pPr>
        <w:pBdr>
          <w:left w:val="single" w:sz="24" w:space="6" w:color="E2DED6"/>
        </w:pBdr>
        <w:shd w:val="clear" w:color="auto" w:fill="F1EEE8"/>
        <w:spacing w:before="80" w:after="160"/>
        <w:ind w:left="142" w:right="142"/>
      </w:pPr>
      <w:r>
        <w:rPr>
          <w:b/>
        </w:rPr>
        <w:t>La idea: para pedir los datos que tiene la Administración, sin decir para qué se quieren.</w:t>
      </w:r>
    </w:p>
    <w:p>
      <w:r>
        <w:rPr>
          <w:b/>
        </w:rPr>
        <w:t>La respuesta probable de la Administración:</w:t>
      </w:r>
      <w:r>
        <w:t xml:space="preserve"> que la información está protegida por algún límite legal</w:t>
      </w:r>
      <w:r>
        <w:t xml:space="preserve"> (Ley 19/2013, art. 14)</w:t>
      </w:r>
      <w:r>
        <w:t>, que exige una «reelaboración»</w:t>
      </w:r>
      <w:r>
        <w:t xml:space="preserve"> (ídem, art. 18.1.c)</w:t>
      </w:r>
      <w:r>
        <w:t xml:space="preserve"> o que ya está publicada en otro sitio.</w:t>
      </w:r>
    </w:p>
    <w:p>
      <w:pPr>
        <w:pStyle w:val="Heading2"/>
      </w:pPr>
      <w:r>
        <w:t>D.3 Las alegaciones y el recurso contra una multa o una sanción</w:t>
      </w:r>
    </w:p>
    <w:p>
      <w:pPr>
        <w:pBdr>
          <w:left w:val="single" w:sz="24" w:space="6" w:color="E2DED6"/>
        </w:pBdr>
        <w:shd w:val="clear" w:color="auto" w:fill="F1EEE8"/>
        <w:spacing w:before="80" w:after="160"/>
        <w:ind w:left="142" w:right="142"/>
      </w:pPr>
      <w:r>
        <w:rPr>
          <w:b/>
        </w:rPr>
        <w:t>La idea: ante una denuncia o una sanción, alegar en plazo y pedir la prueba; la presunción, aquí, juega a favor del ciudadano.</w:t>
      </w:r>
    </w:p>
    <w:p>
      <w:r>
        <w:rPr>
          <w:b/>
        </w:rPr>
        <w:t>La respuesta probable de la Administración:</w:t>
      </w:r>
      <w:r>
        <w:t xml:space="preserve"> que la denuncia del agente tiene valor probatorio</w:t>
      </w:r>
      <w:r>
        <w:t xml:space="preserve"> (Ley de Tráfico, art. 88; Ley 39/2015, art. 77.5)</w:t>
      </w:r>
      <w:r>
        <w:t xml:space="preserve"> y que las alegaciones no lo desvirtúan.</w:t>
      </w:r>
    </w:p>
    <w:p>
      <w:pPr>
        <w:pStyle w:val="Heading2"/>
      </w:pPr>
      <w:r>
        <w:t>D.4 El recurso contra una liquidación, una providencia de apremio o un embargo de Hacienda</w:t>
      </w:r>
    </w:p>
    <w:p>
      <w:pPr>
        <w:pBdr>
          <w:left w:val="single" w:sz="24" w:space="6" w:color="E2DED6"/>
        </w:pBdr>
        <w:shd w:val="clear" w:color="auto" w:fill="F1EEE8"/>
        <w:spacing w:before="80" w:after="160"/>
        <w:ind w:left="142" w:right="142"/>
      </w:pPr>
      <w:r>
        <w:rPr>
          <w:b/>
        </w:rPr>
        <w:t>La idea: contra lo que cobra Hacienda, recurso en un mes y por los motivos que la ley admite; pedir siempre la prueba de la notificación.</w:t>
      </w:r>
    </w:p>
    <w:p>
      <w:r>
        <w:rPr>
          <w:b/>
        </w:rPr>
        <w:t>La respuesta probable de la Administración:</w:t>
      </w:r>
      <w:r>
        <w:t xml:space="preserve"> que el motivo alegado no está entre los admitidos por la ley</w:t>
      </w:r>
      <w:r>
        <w:t xml:space="preserve"> (Ley General Tributaria, arts. 167.3 y 170.3)</w:t>
      </w:r>
      <w:r>
        <w:t>, que el recurso no suspende el cobro y que el embargo sigue adelante.</w:t>
      </w:r>
    </w:p>
    <w:p>
      <w:pPr>
        <w:pStyle w:val="Heading2"/>
      </w:pPr>
      <w:r>
        <w:t>D.5 La reclamación por inactividad de la Administración</w:t>
      </w:r>
    </w:p>
    <w:p>
      <w:pPr>
        <w:pBdr>
          <w:left w:val="single" w:sz="24" w:space="6" w:color="E2DED6"/>
        </w:pBdr>
        <w:shd w:val="clear" w:color="auto" w:fill="F1EEE8"/>
        <w:spacing w:before="80" w:after="160"/>
        <w:ind w:left="142" w:right="142"/>
      </w:pPr>
      <w:r>
        <w:rPr>
          <w:b/>
        </w:rPr>
        <w:t>La idea: cuando la Administración debe algo concreto y no lo da, se le reclama; a los tres meses queda abierto el recurso.</w:t>
      </w:r>
    </w:p>
    <w:p>
      <w:r>
        <w:rPr>
          <w:b/>
        </w:rPr>
        <w:t>La respuesta probable de la Administración:</w:t>
      </w:r>
      <w:r>
        <w:t xml:space="preserve"> silencio, o que no existe una «prestación concreta» a la que la Administración esté obligada.</w:t>
      </w:r>
    </w:p>
    <w:p>
      <w:pPr>
        <w:pStyle w:val="Heading2"/>
      </w:pPr>
      <w:r>
        <w:t>D.6 La queja al Defensor del Pueblo</w:t>
      </w:r>
    </w:p>
    <w:p>
      <w:pPr>
        <w:pBdr>
          <w:left w:val="single" w:sz="24" w:space="6" w:color="E2DED6"/>
        </w:pBdr>
        <w:shd w:val="clear" w:color="auto" w:fill="F1EEE8"/>
        <w:spacing w:before="80" w:after="160"/>
        <w:ind w:left="142" w:right="142"/>
      </w:pPr>
      <w:r>
        <w:rPr>
          <w:b/>
        </w:rPr>
        <w:t>La idea: una institución independiente investiga la actuación de la Administración; es gratis y no hace falta abogado.</w:t>
      </w:r>
    </w:p>
    <w:p>
      <w:r>
        <w:rPr>
          <w:b/>
        </w:rPr>
        <w:t>La respuesta probable de la Administración:</w:t>
      </w:r>
      <w:r>
        <w:t xml:space="preserve"> que no entra en el caso porque está pendiente de resolución judicial</w:t>
      </w:r>
      <w:r>
        <w:t xml:space="preserve"> (Ley Orgánica 3/1981, art. 17.2)</w:t>
      </w:r>
      <w:r>
        <w:t>, o que lo remite a la administración afectada.</w:t>
      </w:r>
    </w:p>
    <w:p>
      <w:pPr>
        <w:pStyle w:val="Heading2"/>
      </w:pPr>
      <w:r>
        <w:t>D.7 La constancia de no consentimiento</w:t>
      </w:r>
    </w:p>
    <w:p>
      <w:pPr>
        <w:pBdr>
          <w:left w:val="single" w:sz="24" w:space="6" w:color="E2DED6"/>
        </w:pBdr>
        <w:shd w:val="clear" w:color="auto" w:fill="F1EEE8"/>
        <w:spacing w:before="80" w:after="160"/>
        <w:ind w:left="142" w:right="142"/>
      </w:pPr>
      <w:r>
        <w:rPr>
          <w:b/>
        </w:rPr>
        <w:t>La idea: dejar escrito que el consentimiento que se presume nunca se ha dado; no produce efectos legales, y lo dice él mismo.</w:t>
      </w:r>
    </w:p>
    <w:p>
      <w:r>
        <w:rPr>
          <w:b/>
        </w:rPr>
        <w:t>La respuesta probable de la Administración:</w:t>
      </w:r>
      <w:r>
        <w:t xml:space="preserve"> ninguna respuesta, o que el documento «carece de efectos jurídicos», o tratarlo como un escrito pseudolegal.</w:t>
      </w:r>
    </w:p>
    <w:p>
      <w:pPr>
        <w:pStyle w:val="Heading2"/>
      </w:pPr>
      <w:r>
        <w:t>D.8 La solicitud de acreditación de la competencia, de los hechos y de la motivación</w:t>
      </w:r>
    </w:p>
    <w:p>
      <w:pPr>
        <w:pBdr>
          <w:left w:val="single" w:sz="24" w:space="6" w:color="E2DED6"/>
        </w:pBdr>
        <w:shd w:val="clear" w:color="auto" w:fill="F1EEE8"/>
        <w:spacing w:before="80" w:after="160"/>
        <w:ind w:left="142" w:right="142"/>
      </w:pPr>
      <w:r>
        <w:rPr>
          <w:b/>
        </w:rPr>
        <w:t>La idea: dentro de un expediente abierto, antes de discutir el fondo, se pide con qué competencia, con qué hechos probados y con qué motivos se actúa, y quién responde de tramitarlo.</w:t>
      </w:r>
    </w:p>
    <w:p>
      <w:r>
        <w:rPr>
          <w:b/>
        </w:rPr>
        <w:t>La respuesta probable de la Administración:</w:t>
      </w:r>
      <w:r>
        <w:t xml:space="preserve"> que la competencia resulta de una ley que se cita de forma genérica, que el acto es válido</w:t>
      </w:r>
      <w:r>
        <w:t xml:space="preserve"> (Ley 39/2015, art. 39)</w:t>
      </w:r>
      <w:r>
        <w:t xml:space="preserve"> y que no procede dar más información.</w:t>
      </w:r>
    </w:p>
    <w:p>
      <w:pPr>
        <w:pStyle w:val="Heading2"/>
      </w:pPr>
      <w:r>
        <w:t>D.9 La petición de motivación extensa</w:t>
      </w:r>
    </w:p>
    <w:p>
      <w:pPr>
        <w:pBdr>
          <w:left w:val="single" w:sz="24" w:space="6" w:color="E2DED6"/>
        </w:pBdr>
        <w:shd w:val="clear" w:color="auto" w:fill="F1EEE8"/>
        <w:spacing w:before="80" w:after="160"/>
        <w:ind w:left="142" w:right="142"/>
      </w:pPr>
      <w:r>
        <w:rPr>
          <w:b/>
        </w:rPr>
        <w:t>La idea: la pregunta de los cimientos: en qué se apoya la presunción por la que el Estado ejerce autoridad sobre la persona, con la relación de presunciones (</w:t>
      </w:r>
      <w:r>
        <w:rPr>
          <w:b/>
        </w:rPr>
        <w:t>D.13</w:t>
      </w:r>
      <w:r>
        <w:rPr>
          <w:b/>
        </w:rPr>
        <w:t>) adjunta.</w:t>
      </w:r>
    </w:p>
    <w:p>
      <w:r>
        <w:rPr>
          <w:b/>
        </w:rPr>
        <w:t>La respuesta probable de la Administración:</w:t>
      </w:r>
      <w:r>
        <w:t xml:space="preserve"> que no se admite porque plantea cuestiones generales y no una petición concreta, o una respuesta que remite a la Constitución y a las leyes vigentes</w:t>
      </w:r>
      <w:r>
        <w:t xml:space="preserve"> (Constitución, art. 9.1; Código Civil, art. 1.2)</w:t>
      </w:r>
      <w:r>
        <w:t>.</w:t>
      </w:r>
    </w:p>
    <w:p>
      <w:pPr>
        <w:pStyle w:val="Heading2"/>
      </w:pPr>
      <w:r>
        <w:t>D.10 El recordatorio de responsabilidad por falta de respuesta</w:t>
      </w:r>
    </w:p>
    <w:p>
      <w:pPr>
        <w:pBdr>
          <w:left w:val="single" w:sz="24" w:space="6" w:color="E2DED6"/>
        </w:pBdr>
        <w:shd w:val="clear" w:color="auto" w:fill="F1EEE8"/>
        <w:spacing w:before="80" w:after="160"/>
        <w:ind w:left="142" w:right="142"/>
      </w:pPr>
      <w:r>
        <w:rPr>
          <w:b/>
        </w:rPr>
        <w:t>La idea: cuando un escrito no se ha resuelto en plazo, se recuerda por escrito la obligación de resolver y la responsabilidad de quien tramita, citando el escrito anterior sin repetirlo.</w:t>
      </w:r>
    </w:p>
    <w:p>
      <w:r>
        <w:rPr>
          <w:b/>
        </w:rPr>
        <w:t>La respuesta probable de la Administración:</w:t>
      </w:r>
      <w:r>
        <w:t xml:space="preserve"> que el retraso se debe a la carga de trabajo, o seguir en silencio.</w:t>
      </w:r>
    </w:p>
    <w:p>
      <w:pPr>
        <w:pStyle w:val="Heading2"/>
      </w:pPr>
      <w:r>
        <w:t>D.11 La reclamación de los intereses de demora que Hacienda debe al ciudadano</w:t>
      </w:r>
    </w:p>
    <w:p>
      <w:pPr>
        <w:pBdr>
          <w:left w:val="single" w:sz="24" w:space="6" w:color="E2DED6"/>
        </w:pBdr>
        <w:shd w:val="clear" w:color="auto" w:fill="F1EEE8"/>
        <w:spacing w:before="80" w:after="160"/>
        <w:ind w:left="142" w:right="142"/>
      </w:pPr>
      <w:r>
        <w:rPr>
          <w:b/>
        </w:rPr>
        <w:t>La idea: el espejo del recargo: si el ciudadano paga tarde, paga intereses; si Hacienda devuelve tarde, también los debe, sin que se le pidan.</w:t>
      </w:r>
    </w:p>
    <w:p>
      <w:r>
        <w:rPr>
          <w:b/>
        </w:rPr>
        <w:t>La respuesta probable de la Administración:</w:t>
      </w:r>
      <w:r>
        <w:t xml:space="preserve"> que no procede porque la demora no es imputable a la Administración</w:t>
      </w:r>
      <w:r>
        <w:t xml:space="preserve"> (Ley General Tributaria, art. 31.2)</w:t>
      </w:r>
      <w:r>
        <w:t>, o que los intereses ya se incluyeron.</w:t>
      </w:r>
    </w:p>
    <w:p>
      <w:pPr>
        <w:pStyle w:val="Heading2"/>
      </w:pPr>
      <w:r>
        <w:t>D.12 La reclamación de responsabilidad patrimonial</w:t>
      </w:r>
    </w:p>
    <w:p>
      <w:pPr>
        <w:pBdr>
          <w:left w:val="single" w:sz="24" w:space="6" w:color="E2DED6"/>
        </w:pBdr>
        <w:shd w:val="clear" w:color="auto" w:fill="F1EEE8"/>
        <w:spacing w:before="80" w:after="160"/>
        <w:ind w:left="142" w:right="142"/>
      </w:pPr>
      <w:r>
        <w:rPr>
          <w:b/>
        </w:rPr>
        <w:t>La idea: el espejo de la autotutela: si el ciudadano daña, paga; si el funcionamiento de la Administración daña, indemniza.</w:t>
      </w:r>
    </w:p>
    <w:p>
      <w:r>
        <w:rPr>
          <w:b/>
        </w:rPr>
        <w:t>La respuesta probable de la Administración:</w:t>
      </w:r>
      <w:r>
        <w:t xml:space="preserve"> que el daño es de los que el ciudadano «tiene el deber jurídico de soportar», que no hay relación de causalidad, que ha prescrito, o el silencio a los seis meses.</w:t>
      </w:r>
    </w:p>
    <w:p>
      <w:pPr>
        <w:pStyle w:val="Heading2"/>
      </w:pPr>
      <w:r>
        <w:t>D.13 La relación de presunciones</w:t>
      </w:r>
    </w:p>
    <w:p>
      <w:pPr>
        <w:pBdr>
          <w:left w:val="single" w:sz="24" w:space="6" w:color="E2DED6"/>
        </w:pBdr>
        <w:shd w:val="clear" w:color="auto" w:fill="F1EEE8"/>
        <w:spacing w:before="80" w:after="160"/>
        <w:ind w:left="142" w:right="142"/>
      </w:pPr>
      <w:r>
        <w:rPr>
          <w:b/>
        </w:rPr>
        <w:t xml:space="preserve">La idea: todas las presunciones en que se sostiene la autoridad del Estado sobre la persona, en una sola relación que se adjunta al </w:t>
      </w:r>
      <w:r>
        <w:rPr>
          <w:b/>
        </w:rPr>
        <w:t>D.9</w:t>
      </w:r>
      <w:r>
        <w:rPr>
          <w:b/>
        </w:rPr>
        <w:t>: primero las que la ley escribe; después, las que ninguna ley escribe y se sostienen en la creencia y el consentimiento.</w:t>
      </w:r>
    </w:p>
    <w:p>
      <w:pPr>
        <w:pStyle w:val="Heading3"/>
      </w:pPr>
      <w:r>
        <w:t>Primera parte. Lo que la ley presume</w:t>
      </w:r>
    </w:p>
    <w:p>
      <w:pPr>
        <w:pStyle w:val="Heading3"/>
      </w:pPr>
      <w:r>
        <w:t>Segunda parte. La vacuna: lo que se cree sin prueba</w:t>
      </w:r>
    </w:p>
    <w:p>
      <w:r>
        <w:rPr>
          <w:b/>
        </w:rPr>
        <w:t>Conclusión, lo que arrojan los datos:</w:t>
      </w:r>
      <w:r>
        <w:t xml:space="preserve"> las presunciones de la primera parte están escritas en la ley con sus palabras, y casi todas reparten la carga de la prueba del mismo lado: el Estado se presume válido y cierto, y es el ciudadano quien tiene que probar lo contrario. Las de la segunda parte no las escribe ninguna ley: se sostienen en que se crean. Y la propia ley dice que una presunción necesita un hecho de partida admitido o probado (Ley de Enjuiciamiento Civil, art. 385.1).</w:t>
      </w:r>
    </w:p>
    <w:p>
      <w:pPr>
        <w:pStyle w:val="Heading2"/>
      </w:pPr>
      <w:r>
        <w:t>Límite honesto de la prueba</w:t>
      </w:r>
    </w:p>
    <w:p>
      <w:pPr>
        <w:pStyle w:val="ListBullet"/>
      </w:pPr>
      <w:r>
        <w:t>Son modelos, no consejo legal para un caso concreto. Cada caso tiene sus hechos y sus plazos, y cuando hay dinero en juego conviene un abogado. No se puede correr antes de gatear (</w:t>
      </w:r>
      <w:r>
        <w:t>10.5</w:t>
      </w:r>
      <w:r>
        <w:t>).</w:t>
      </w:r>
    </w:p>
    <w:p>
      <w:pPr>
        <w:pStyle w:val="ListBullet"/>
      </w:pPr>
      <w:r>
        <w:t>Ninguno exime de una obligación vigente (Constitución, art. 9.1), y la constancia de no consentimiento (</w:t>
      </w:r>
      <w:r>
        <w:t>D.7</w:t>
      </w:r>
      <w:r>
        <w:t>) y la relación de presunciones (</w:t>
      </w:r>
      <w:r>
        <w:t>D.13</w:t>
      </w:r>
      <w:r>
        <w:t>) no producen efectos legales por sí mismas: su valor es documental.</w:t>
      </w:r>
    </w:p>
    <w:p>
      <w:pPr>
        <w:pStyle w:val="ListBullet"/>
      </w:pPr>
      <w:r>
        <w:t>La presunción de validez de los actos no nace, para el Derecho, del consentimiento de cada persona, sino de la ley que la establece; la Administración lo contestará así. Lo que el escrito consigue es que esa respuesta quede por escrito.</w:t>
      </w:r>
    </w:p>
    <w:p>
      <w:pPr>
        <w:pStyle w:val="ListBullet"/>
      </w:pPr>
      <w:r>
        <w:t>La Ley de Enjuiciamiento Civil rige los procesos civiles y solo suple a las demás leyes en lo que no regulen (art. 4); el procedimiento administrativo tiene sus propias reglas (Ley 39/2015). El D.9 la cita por su definición de la presunción, no como la norma que rige el expediente.</w:t>
      </w:r>
    </w:p>
    <w:p>
      <w:pPr>
        <w:pStyle w:val="ListBullet"/>
      </w:pPr>
      <w:r>
        <w:t xml:space="preserve">El aforismo </w:t>
      </w:r>
      <w:r>
        <w:rPr>
          <w:i/>
        </w:rPr>
        <w:t>prior tempore potior iure</w:t>
      </w:r>
      <w:r>
        <w:t xml:space="preserve"> resuelve en Derecho conflictos entre derechos, no entre una persona y la ley; y la regla de las leyes es la contraria: la posterior deroga a la anterior</w:t>
      </w:r>
      <w:r>
        <w:t xml:space="preserve"> (Código Civil, art. 2.2)</w:t>
      </w:r>
      <w:r>
        <w:t>. Va solo como pregunta.</w:t>
      </w:r>
    </w:p>
    <w:p>
      <w:pPr>
        <w:pStyle w:val="ListBullet"/>
      </w:pPr>
      <w:r>
        <w:t>La petición de motivación extensa probablemente se inadmitirá por tratar «cuestiones generales». Su fuerza no es ganar, sino dejar constancia de qué se responde y qué se calla.</w:t>
      </w:r>
    </w:p>
    <w:p>
      <w:pPr>
        <w:pStyle w:val="Heading2"/>
      </w:pPr>
      <w:r>
        <w:t>La defensa del Estado</w:t>
      </w:r>
    </w:p>
    <w:p>
      <w:pPr>
        <w:pStyle w:val="ListBullet"/>
      </w:pPr>
      <w:r>
        <w:rPr>
          <w:b/>
        </w:rPr>
        <w:t>Los cauces ya existen, y funcionan.</w:t>
      </w:r>
      <w:r>
        <w:t xml:space="preserve"> El ordenamiento da al ciudadano la petición, el acceso a la información, los recursos, el Defensor del Pueblo y la reclamación de daños: este anexo usa sus propias leyes.</w:t>
      </w:r>
    </w:p>
    <w:p>
      <w:pPr>
        <w:pStyle w:val="ListBullet"/>
      </w:pPr>
      <w:r>
        <w:rPr>
          <w:b/>
        </w:rPr>
        <w:t>Sin la presunción de validez, nada funcionaría.</w:t>
      </w:r>
      <w:r>
        <w:t xml:space="preserve"> Si cada acto tuviera que probarse antes de surtir efecto, la Administración se pararía; por eso la ley lo presume, y por eso también admite prueba en contrario y recurso.</w:t>
      </w:r>
    </w:p>
    <w:p>
      <w:pPr>
        <w:pStyle w:val="ListBullet"/>
      </w:pPr>
      <w:r>
        <w:rPr>
          <w:b/>
        </w:rPr>
        <w:t>La autoridad nace de la Constitución, votada en referéndum, y de las elecciones</w:t>
      </w:r>
      <w:r>
        <w:t>, no de un contrato privado con cada persona.</w:t>
      </w:r>
    </w:p>
    <w:p>
      <w:pPr>
        <w:pStyle w:val="ListBullet"/>
      </w:pPr>
      <w:r>
        <w:rPr>
          <w:b/>
        </w:rPr>
        <w:t>Los escritos en serie colapsan a la Administración</w:t>
      </w:r>
      <w:r>
        <w:t xml:space="preserve"> y retrasan a quien de verdad necesita una respuesta.</w:t>
      </w:r>
    </w:p>
    <w:p>
      <w:r>
        <w:rPr>
          <w:i/>
        </w:rPr>
        <w:t>Los contrapuntos de la obra:</w:t>
      </w:r>
      <w:r>
        <w:t xml:space="preserve"> la obra concede que los cauces existen, y por eso los usa y no pide desobedecer. Pero pide lo que la ley ya obliga a dar: la norma, la resolución, la motivación y el hecho de partida de cada presunción; si existen, contestar cuesta una línea. El referéndum de 1978 no lo votaron quienes no tenían edad ni los nacidos después (</w:t>
      </w:r>
      <w:r>
        <w:t>5.2</w:t>
      </w:r>
      <w:r>
        <w:t xml:space="preserve">; </w:t>
      </w:r>
      <w:r>
        <w:t>cargo 3</w:t>
      </w:r>
      <w:r>
        <w:t>). Y cada modelo exige hechos concretos del propio asunto: no es un formulario para enviar en masa (</w:t>
      </w:r>
      <w:r>
        <w:t>10.4</w:t>
      </w:r>
      <w:r>
        <w:t>, respuesta 5).</w:t>
      </w:r>
    </w:p>
    <w:p>
      <w:pPr>
        <w:pStyle w:val="Heading2"/>
      </w:pPr>
      <w:r>
        <w:t>Dónde se oye la defensa del Estado</w:t>
      </w:r>
    </w:p>
    <w:p>
      <w:r>
        <w:t xml:space="preserve">En cada modelo, con su respuesta probable; las cinco respuestas al escrito de petición, en </w:t>
      </w:r>
      <w:r>
        <w:t>10.4</w:t>
      </w:r>
      <w:r>
        <w:t xml:space="preserve">; y cada presunción del </w:t>
      </w:r>
      <w:r>
        <w:t>D.13</w:t>
      </w:r>
      <w:r>
        <w:t>, con su defensa y su réplica, en los cargos 1 a 23 del juicio (</w:t>
      </w:r>
      <w:r>
        <w:t>11.3</w:t>
      </w:r>
      <w:r>
        <w:t>).</w:t>
      </w:r>
    </w:p>
    <w:p>
      <w:pPr>
        <w:pStyle w:val="Heading2"/>
      </w:pPr>
      <w:r>
        <w:t>Para recordar</w:t>
      </w:r>
    </w:p>
    <w:p>
      <w:pPr>
        <w:pStyle w:val="ListBullet"/>
      </w:pPr>
      <w:r>
        <w:t>Primero se pide; si callan, se exige que acrediten; si siguen callando, se recuerda la obligación de resolver. Cada escrito dice cuál es el siguiente.</w:t>
      </w:r>
    </w:p>
    <w:p>
      <w:pPr>
        <w:pStyle w:val="ListBullet"/>
      </w:pPr>
      <w:r>
        <w:t>El caso concreto, a quien tramita; los cimientos, a quien puede responder por ellos.</w:t>
      </w:r>
    </w:p>
    <w:p>
      <w:pPr>
        <w:pStyle w:val="ListBullet"/>
      </w:pPr>
      <w:r>
        <w:t>Una presunción es «Aceptación de un hecho del que no se tiene prueba y que se infiere de otro hecho demostrado». El escrito pide ese hecho.</w:t>
      </w:r>
    </w:p>
    <w:p>
      <w:pPr>
        <w:pStyle w:val="ListBullet"/>
      </w:pPr>
      <w:r>
        <w:t>La ley también presume a favor de la persona: la inocencia y la buena fe.</w:t>
      </w:r>
    </w:p>
    <w:p>
      <w:pPr>
        <w:pStyle w:val="ListBullet"/>
      </w:pPr>
      <w:r>
        <w:t>Copia sellada, plazo vigilado y, si hay dinero en juego, abogado.</w:t>
      </w:r>
    </w:p>
    <w:p>
      <w:pPr>
        <w:pStyle w:val="ListBullet"/>
      </w:pPr>
      <w:r>
        <w:t>Todo lo que se afirma se puede comprobar, y todo lo que se pide se puede conceder (</w:t>
      </w:r>
      <w:r>
        <w:t>10.4</w:t>
      </w:r>
      <w:r>
        <w:t>).</w:t>
      </w:r>
    </w:p>
    <w:p>
      <w:r>
        <w:br w:type="page"/>
      </w:r>
    </w:p>
    <w:p>
      <w:pPr>
        <w:pStyle w:val="Heading1"/>
      </w:pPr>
      <w:r>
        <w:t>Anexo E. Lo que se afirma sin documento</w:t>
      </w:r>
    </w:p>
    <w:p>
      <w:pPr>
        <w:spacing w:after="200"/>
      </w:pPr>
      <w:r>
        <w:rPr>
          <w:rFonts w:ascii="Segoe UI" w:hAnsi="Segoe UI" w:eastAsia="Segoe UI" w:cs="Segoe UI"/>
          <w:color w:val="6B665E"/>
          <w:sz w:val="17"/>
        </w:rPr>
        <w:t>Primera versión: 7 de octubre de 2026 · Última revisión: 12 de octubre de 2026 · Cambios anotados en el capítulo: 4 · Citas leídas en su fuente: 22</w:t>
      </w:r>
    </w:p>
    <w:p>
      <w:pPr>
        <w:pBdr>
          <w:left w:val="single" w:sz="24" w:space="6" w:color="E2DED6"/>
        </w:pBdr>
        <w:shd w:val="clear" w:color="auto" w:fill="F1EEE8"/>
        <w:spacing w:before="80" w:after="160"/>
        <w:ind w:left="142" w:right="142"/>
      </w:pPr>
      <w:r>
        <w:rPr>
          <w:b/>
        </w:rPr>
        <w:t>En pocas palabras:</w:t>
      </w:r>
    </w:p>
    <w:p>
      <w:pPr>
        <w:pStyle w:val="ListBullet"/>
      </w:pPr>
      <w:r>
        <w:t>Este anexo da completos los casos que 2.6 resume: tres afirmaciones que circulan y la sentencia que mejor las describe.</w:t>
      </w:r>
    </w:p>
    <w:p>
      <w:pPr>
        <w:pStyle w:val="ListBullet"/>
      </w:pPr>
      <w:r>
        <w:t>Lo que aquí no lleva documento que lo avale es una presunción (</w:t>
      </w:r>
      <w:r>
        <w:t>0.4</w:t>
      </w:r>
      <w:r>
        <w:t>): no es verdadero ni falso, está sin probar. Esta obra no admite presunciones, y pide a quien las sostenga que aporte dónde nacen.</w:t>
      </w:r>
    </w:p>
    <w:p>
      <w:pPr>
        <w:pStyle w:val="ListBullet"/>
      </w:pPr>
      <w:r>
        <w:t>Un tribunal de Canadá estudió estas teorías en 2012 y las examinó una a una: la «persona doble» del nombre en mayúsculas «no tiene efecto jurídico».</w:t>
      </w:r>
    </w:p>
    <w:p>
      <w:pPr>
        <w:pStyle w:val="ListBullet"/>
      </w:pPr>
      <w:r>
        <w:t>El certificado de nacimiento no abre ninguna cuenta secreta: los tribunales lo han rechazado.</w:t>
      </w:r>
    </w:p>
    <w:p>
      <w:pPr>
        <w:pStyle w:val="ListBullet"/>
      </w:pPr>
      <w:r>
        <w:t>La fianza de algunos cargos públicos de Estados Unidos existe, pero el ciudadano particular no puede cobrarla.</w:t>
      </w:r>
    </w:p>
    <w:p>
      <w:pPr>
        <w:pStyle w:val="ListBullet"/>
      </w:pPr>
      <w:r>
        <w:t>En España, quien sufre un daño por un servicio público reclama a la Administración, no al empleado (</w:t>
      </w:r>
      <w:r>
        <w:t>10.4</w:t>
      </w:r>
      <w:r>
        <w:t>).</w:t>
      </w:r>
    </w:p>
    <w:p>
      <w:pPr>
        <w:pStyle w:val="Heading2"/>
      </w:pPr>
      <w:r>
        <w:t>E.1 Meads contra Meads: la sentencia que reunió estas teorías</w:t>
      </w:r>
    </w:p>
    <w:p>
      <w:pPr>
        <w:pBdr>
          <w:left w:val="single" w:sz="24" w:space="6" w:color="E2DED6"/>
        </w:pBdr>
        <w:shd w:val="clear" w:color="auto" w:fill="F1EEE8"/>
        <w:spacing w:before="80" w:after="160"/>
        <w:ind w:left="142" w:right="142"/>
      </w:pPr>
      <w:r>
        <w:rPr>
          <w:b/>
        </w:rPr>
        <w:t>La idea: un tribunal de Canadá reunió estas teorías en una sola sentencia y las examinó una a una.</w:t>
      </w:r>
    </w:p>
    <w:p>
      <w:pPr>
        <w:pStyle w:val="Heading2"/>
      </w:pPr>
      <w:r>
        <w:t>E.2 El nombre en mayúsculas</w:t>
      </w:r>
    </w:p>
    <w:p>
      <w:pPr>
        <w:pBdr>
          <w:left w:val="single" w:sz="24" w:space="6" w:color="E2DED6"/>
        </w:pBdr>
        <w:shd w:val="clear" w:color="auto" w:fill="F1EEE8"/>
        <w:spacing w:before="80" w:after="160"/>
        <w:ind w:left="142" w:right="142"/>
      </w:pPr>
      <w:r>
        <w:rPr>
          <w:b/>
        </w:rPr>
        <w:t>La idea: que el nombre en mayúsculas sea otra persona, a la que van las deudas, no tiene respaldo: los tribunales lo han rechazado y a cada persona le corresponde una sola identidad legal.</w:t>
      </w:r>
    </w:p>
    <w:p>
      <w:pPr>
        <w:pStyle w:val="Heading2"/>
      </w:pPr>
      <w:r>
        <w:t>E.3 El certificado de nacimiento y la cuenta secreta</w:t>
      </w:r>
    </w:p>
    <w:p>
      <w:pPr>
        <w:pBdr>
          <w:left w:val="single" w:sz="24" w:space="6" w:color="E2DED6"/>
        </w:pBdr>
        <w:shd w:val="clear" w:color="auto" w:fill="F1EEE8"/>
        <w:spacing w:before="80" w:after="160"/>
        <w:ind w:left="142" w:right="142"/>
      </w:pPr>
      <w:r>
        <w:rPr>
          <w:b/>
        </w:rPr>
        <w:t>La idea: que el certificado de nacimiento abra una cuenta secreta con el valor de cada persona no tiene respaldo: los tribunales lo han rechazado.</w:t>
      </w:r>
    </w:p>
    <w:p>
      <w:pPr>
        <w:pStyle w:val="Heading2"/>
      </w:pPr>
      <w:r>
        <w:t>E.4 Las fianzas de los cargos públicos</w:t>
      </w:r>
    </w:p>
    <w:p>
      <w:pPr>
        <w:pBdr>
          <w:left w:val="single" w:sz="24" w:space="6" w:color="E2DED6"/>
        </w:pBdr>
        <w:shd w:val="clear" w:color="auto" w:fill="F1EEE8"/>
        <w:spacing w:before="80" w:after="160"/>
        <w:ind w:left="142" w:right="142"/>
      </w:pPr>
      <w:r>
        <w:rPr>
          <w:b/>
        </w:rPr>
        <w:t>La idea: la fianza de algunos cargos públicos de Estados Unidos existe, pero no es de cualquiera que quiera cobrarla.</w:t>
      </w:r>
    </w:p>
    <w:p>
      <w:r>
        <w:rPr>
          <w:b/>
        </w:rPr>
        <w:t>Conclusión, lo que arrojan los datos:</w:t>
      </w:r>
      <w:r>
        <w:t xml:space="preserve"> si ni siquiera quienes alegaban un daño concreto causado por ese cargo pudieron cobrar de su fianza, la versión que la presenta como una cuenta a disposición de cualquiera carece de base.</w:t>
      </w:r>
    </w:p>
    <w:p>
      <w:pPr>
        <w:pStyle w:val="Heading2"/>
      </w:pPr>
      <w:r>
        <w:t>Límite honesto de la prueba</w:t>
      </w:r>
    </w:p>
    <w:p>
      <w:pPr>
        <w:pStyle w:val="ListBullet"/>
      </w:pPr>
      <w:r>
        <w:rPr>
          <w:b/>
        </w:rPr>
        <w:t>Los casos son de Canadá y de Estados Unidos.</w:t>
      </w:r>
      <w:r>
        <w:t xml:space="preserve"> En España no se ha encontrado ninguna sentencia que nombre estas teorías por su nombre; el riesgo real está en la letra del Código Penal (</w:t>
      </w:r>
      <w:r>
        <w:t>2.6</w:t>
      </w:r>
      <w:r>
        <w:t xml:space="preserve">). </w:t>
      </w:r>
    </w:p>
    <w:p>
      <w:pPr>
        <w:pStyle w:val="ListBullet"/>
      </w:pPr>
      <w:r>
        <w:rPr>
          <w:b/>
        </w:rPr>
        <w:t>La sentencia de Illinois fija la regla de la fianza, pero no trata de quienes la invocan.</w:t>
      </w:r>
      <w:r>
        <w:t xml:space="preserve"> Ese uso se ve en el apéndice de Meads, que lo recoge sin describirlo por su nombre. </w:t>
      </w:r>
    </w:p>
    <w:p>
      <w:pPr>
        <w:pStyle w:val="ListBullet"/>
      </w:pPr>
      <w:r>
        <w:rPr>
          <w:b/>
        </w:rPr>
        <w:t>Lo que no tiene documento es una presunción.</w:t>
      </w:r>
      <w:r>
        <w:t xml:space="preserve"> Lo que va con la etiqueta «presunción» (la historia de la escritura romana, el caso Rodney Class, lo que regula la ley inglesa de 1666, que Meads sea la sentencia más citada y lo de Maine) no se ha leído en su fuente en esta edición: no es verdadero ni falso, está sin probar (</w:t>
      </w:r>
      <w:r>
        <w:t>0.4</w:t>
      </w:r>
      <w:r>
        <w:t xml:space="preserve">), y está apuntado en la lista de flecos para leerlo en su fuente. Lo leído en su original (Meads y Bueker) lleva su fuente. </w:t>
      </w:r>
    </w:p>
    <w:p>
      <w:pPr>
        <w:pStyle w:val="Heading2"/>
      </w:pPr>
      <w:r>
        <w:t>Dónde se oye la defensa del Estado</w:t>
      </w:r>
    </w:p>
    <w:p>
      <w:r>
        <w:t>Aquí la obra y el Estado coinciden en lo esencial: lo que se afirma sin documento no se admite, y puede poner en riesgo a quien actúe sobre ello. La defensa del Estado frente a este anexo, y lo que la obra le responde, se oyen en el juicio (</w:t>
      </w:r>
      <w:r>
        <w:t>capítulo 11</w:t>
      </w:r>
      <w:r>
        <w:t>):</w:t>
      </w:r>
    </w:p>
    <w:p>
      <w:pPr>
        <w:pStyle w:val="ListBullet"/>
      </w:pPr>
      <w:r>
        <w:rPr>
          <w:b/>
        </w:rPr>
        <w:t>en las cuestiones previas (</w:t>
      </w:r>
      <w:r>
        <w:rPr>
          <w:b/>
        </w:rPr>
        <w:t>11.2</w:t>
      </w:r>
      <w:r>
        <w:rPr>
          <w:b/>
        </w:rPr>
        <w:t>):</w:t>
      </w:r>
      <w:r>
        <w:t xml:space="preserve"> «si esas afirmaciones no tienen documento, la desconfianza es infundada» y «las normas que esas afirmaciones invitan a desobedecer protegen a todos»;</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pPr>
        <w:pStyle w:val="Heading2"/>
      </w:pPr>
      <w:r>
        <w:t>Para recordar</w:t>
      </w:r>
    </w:p>
    <w:p>
      <w:pPr>
        <w:pStyle w:val="ListBullet"/>
      </w:pPr>
      <w:r>
        <w:t>Lo que se afirma sin documento es una presunción (</w:t>
      </w:r>
      <w:r>
        <w:t>0.4</w:t>
      </w:r>
      <w:r>
        <w:t>): esta obra no la admite y pide a quien la sostenga que aporte dónde nace. Estas afirmaciones suelen tomar un hecho real y hacerle decir lo que nunca dijo (</w:t>
      </w:r>
      <w:r>
        <w:t>2.6</w:t>
      </w:r>
      <w:r>
        <w:t>).</w:t>
      </w:r>
    </w:p>
    <w:p>
      <w:pPr>
        <w:pStyle w:val="ListBullet"/>
      </w:pPr>
      <w:r>
        <w:t>El nombre en mayúsculas no es otra persona: a cada persona le corresponde una sola identidad legal.</w:t>
      </w:r>
    </w:p>
    <w:p>
      <w:pPr>
        <w:pStyle w:val="ListBullet"/>
      </w:pPr>
      <w:r>
        <w:t>El certificado de nacimiento no abre ninguna cuenta secreta.</w:t>
      </w:r>
    </w:p>
    <w:p>
      <w:pPr>
        <w:pStyle w:val="ListBullet"/>
      </w:pPr>
      <w:r>
        <w:t>La fianza de un cargo público no es una cuenta a disposición de cualquiera.</w:t>
      </w:r>
    </w:p>
    <w:p>
      <w:pPr>
        <w:pStyle w:val="ListBullet"/>
      </w:pPr>
      <w:r>
        <w:t>En España se reclama a la Administración, por las vías que da la ley (</w:t>
      </w:r>
      <w:r>
        <w:t>10.4</w:t>
      </w:r>
      <w:r>
        <w:t>).</w:t>
      </w:r>
    </w:p>
    <w:p>
      <w:r>
        <w:br w:type="page"/>
      </w:r>
    </w:p>
    <w:p>
      <w:pPr>
        <w:pStyle w:val="Heading1"/>
      </w:pPr>
      <w:r>
        <w:t>Anexo F. El Arca: los textos de cada tradición, con su fuente</w:t>
      </w:r>
    </w:p>
    <w:p>
      <w:pPr>
        <w:spacing w:after="200"/>
      </w:pPr>
      <w:r>
        <w:rPr>
          <w:rFonts w:ascii="Segoe UI" w:hAnsi="Segoe UI" w:eastAsia="Segoe UI" w:cs="Segoe UI"/>
          <w:color w:val="6B665E"/>
          <w:sz w:val="17"/>
        </w:rPr>
        <w:t>Primera versión: 7 de octubre de 2026 · Última revisión: 12 de octubre de 2026 · Cambios anotados en el capítulo: 13 · Citas leídas en su fuente: 423</w:t>
      </w:r>
    </w:p>
    <w:p>
      <w:pPr>
        <w:pBdr>
          <w:left w:val="single" w:sz="24" w:space="6" w:color="E2DED6"/>
        </w:pBdr>
        <w:shd w:val="clear" w:color="auto" w:fill="F1EEE8"/>
        <w:spacing w:before="80" w:after="160"/>
        <w:ind w:left="142" w:right="142"/>
      </w:pPr>
      <w:r>
        <w:rPr>
          <w:b/>
        </w:rPr>
        <w:t>En pocas palabras:</w:t>
      </w:r>
    </w:p>
    <w:p>
      <w:pPr>
        <w:pStyle w:val="ListBullet"/>
      </w:pPr>
      <w:r>
        <w:t xml:space="preserve">Este anexo reúne los textos del Arca que no caben en el </w:t>
      </w:r>
      <w:r>
        <w:t>capítulo 3</w:t>
      </w:r>
      <w:r>
        <w:t xml:space="preserve">, cada uno con su fuente, ordenados por tradición y por principio. Lo que ya está en el </w:t>
      </w:r>
      <w:r>
        <w:t>capítulo 3</w:t>
      </w:r>
      <w:r>
        <w:t xml:space="preserve"> no se repite: se nombra, con su remisión.</w:t>
      </w:r>
    </w:p>
    <w:p>
      <w:pPr>
        <w:pStyle w:val="ListBullet"/>
      </w:pPr>
      <w:r>
        <w:t>Seis bloques de tradiciones (la Biblia; el islam, Persia y la tradición rabínica; China; el antiguo Oriente, Egipto, Grecia y Roma; la India; y África, América y Oceanía) repiten los nueve principios, y cada uno tiene su pata coja, dicha.</w:t>
      </w:r>
    </w:p>
    <w:p>
      <w:pPr>
        <w:pStyle w:val="ListBullet"/>
      </w:pPr>
      <w:r>
        <w:t>El pan propio, ganado con el propio trabajo, lo mandan ocho textos de seis civilizaciones a lo largo de unos tres mil quinientos años.</w:t>
      </w:r>
    </w:p>
    <w:p>
      <w:pPr>
        <w:pStyle w:val="ListBullet"/>
      </w:pPr>
      <w:r>
        <w:t>Pueblos que se dieron su orden por su cuenta coinciden en la tierra en común, la compensación del daño y la decisión en consejo.</w:t>
      </w:r>
    </w:p>
    <w:p>
      <w:pPr>
        <w:pStyle w:val="ListBullet"/>
      </w:pPr>
      <w:r>
        <w:t>Tres lenguas antiguas llaman a la falta «errar el blanco»: un error de dirección, que se puede corregir.</w:t>
      </w:r>
    </w:p>
    <w:p>
      <w:pPr>
        <w:pStyle w:val="ListBullet"/>
      </w:pPr>
      <w:r>
        <w:t>Doce tradiciones, leídas con la misma pregunta, dicen qué se dio para vivir, qué se perdió y por dónde se vuelve: sus pasajes, cada uno con su fuente, están al final.</w:t>
      </w:r>
    </w:p>
    <w:p>
      <w:pPr>
        <w:pStyle w:val="Heading2"/>
      </w:pPr>
      <w:r>
        <w:t>F.0 Propósito</w:t>
      </w:r>
    </w:p>
    <w:p>
      <w:pPr>
        <w:pBdr>
          <w:left w:val="single" w:sz="24" w:space="6" w:color="E2DED6"/>
        </w:pBdr>
        <w:shd w:val="clear" w:color="auto" w:fill="F1EEE8"/>
        <w:spacing w:before="80" w:after="160"/>
        <w:ind w:left="142" w:right="142"/>
      </w:pPr>
      <w:r>
        <w:rPr>
          <w:b/>
        </w:rPr>
        <w:t xml:space="preserve">La idea: el </w:t>
      </w:r>
      <w:r>
        <w:rPr>
          <w:b/>
        </w:rPr>
        <w:t>capítulo 3</w:t>
      </w:r>
      <w:r>
        <w:rPr>
          <w:b/>
        </w:rPr>
        <w:t xml:space="preserve"> da, de cada principio del Arca, las pruebas más fuertes; este anexo da las demás, cada una con su fuente, para que cualquiera pueda comprobarlas.</w:t>
      </w:r>
    </w:p>
    <w:p>
      <w:pPr>
        <w:pStyle w:val="Heading2"/>
      </w:pPr>
      <w:r>
        <w:t>F.1 La Biblia</w:t>
      </w:r>
    </w:p>
    <w:p>
      <w:pPr>
        <w:pBdr>
          <w:left w:val="single" w:sz="24" w:space="6" w:color="E2DED6"/>
        </w:pBdr>
        <w:shd w:val="clear" w:color="auto" w:fill="F1EEE8"/>
        <w:spacing w:before="80" w:after="160"/>
        <w:ind w:left="142" w:right="142"/>
      </w:pPr>
      <w:r>
        <w:rPr>
          <w:b/>
        </w:rPr>
        <w:t>La idea: la Biblia pone al rey bajo la ley y no por encima de sus hermanos, y acusa al pastor que se apacienta a sí mismo.</w:t>
      </w:r>
    </w:p>
    <w:p>
      <w:pPr>
        <w:pStyle w:val="Heading2"/>
      </w:pPr>
      <w:r>
        <w:t>F.2 El islam, Persia y la tradición rabínica</w:t>
      </w:r>
    </w:p>
    <w:p>
      <w:pPr>
        <w:pBdr>
          <w:left w:val="single" w:sz="24" w:space="6" w:color="E2DED6"/>
        </w:pBdr>
        <w:shd w:val="clear" w:color="auto" w:fill="F1EEE8"/>
        <w:spacing w:before="80" w:after="160"/>
        <w:ind w:left="142" w:right="142"/>
      </w:pPr>
      <w:r>
        <w:rPr>
          <w:b/>
        </w:rPr>
        <w:t>La idea: el Corán, la Mishná, el Talmud y el Avesta repiten los nueve principios, y la tradición rabínica da la regla más directa contra las cargas imposibles; las tres tienen su pata coja.</w:t>
      </w:r>
    </w:p>
    <w:p>
      <w:pPr>
        <w:pStyle w:val="Heading2"/>
      </w:pPr>
      <w:r>
        <w:t>F.3 China</w:t>
      </w:r>
    </w:p>
    <w:p>
      <w:pPr>
        <w:pBdr>
          <w:left w:val="single" w:sz="24" w:space="6" w:color="E2DED6"/>
        </w:pBdr>
        <w:shd w:val="clear" w:color="auto" w:fill="F1EEE8"/>
        <w:spacing w:before="80" w:after="160"/>
        <w:ind w:left="142" w:right="142"/>
      </w:pPr>
      <w:r>
        <w:rPr>
          <w:b/>
        </w:rPr>
        <w:t>La idea: los clásicos chinos dicen que el gobernante existe para el pueblo, que el diezmo es la medida justa y que multiplicar los reglamentos anuncia la ruina; su pata coja, el legalismo, fundó el primer imperio.</w:t>
      </w:r>
    </w:p>
    <w:p>
      <w:pPr>
        <w:pStyle w:val="Heading2"/>
      </w:pPr>
      <w:r>
        <w:t>F.4 El antiguo Oriente, Egipto, Grecia y Roma</w:t>
      </w:r>
    </w:p>
    <w:p>
      <w:pPr>
        <w:pBdr>
          <w:left w:val="single" w:sz="24" w:space="6" w:color="E2DED6"/>
        </w:pBdr>
        <w:shd w:val="clear" w:color="auto" w:fill="F1EEE8"/>
        <w:spacing w:before="80" w:after="160"/>
        <w:ind w:left="142" w:right="142"/>
      </w:pPr>
      <w:r>
        <w:rPr>
          <w:b/>
        </w:rPr>
        <w:t>La idea: desde los primeros códigos de Mesopotamia hasta Roma, el poder se justifica por proteger al débil; y de la misma época son los textos más antiguos del pan propio.</w:t>
      </w:r>
    </w:p>
    <w:p>
      <w:pPr>
        <w:pStyle w:val="Heading2"/>
      </w:pPr>
      <w:r>
        <w:t>F.5 La India</w:t>
      </w:r>
    </w:p>
    <w:p>
      <w:pPr>
        <w:pBdr>
          <w:left w:val="single" w:sz="24" w:space="6" w:color="E2DED6"/>
        </w:pBdr>
        <w:shd w:val="clear" w:color="auto" w:fill="F1EEE8"/>
        <w:spacing w:before="80" w:after="160"/>
        <w:ind w:left="142" w:right="142"/>
      </w:pPr>
      <w:r>
        <w:rPr>
          <w:b/>
        </w:rPr>
        <w:t>La idea: la épica, las leyes y el canon budista dicen que el rey que no protege es un ladrón y que el impuesto se recoge como la fruta madura; su pata coja es un manual para llenar el tesoro.</w:t>
      </w:r>
    </w:p>
    <w:p>
      <w:pPr>
        <w:pStyle w:val="Heading2"/>
      </w:pPr>
      <w:r>
        <w:t>F.6 África, América y Oceanía</w:t>
      </w:r>
    </w:p>
    <w:p>
      <w:pPr>
        <w:pBdr>
          <w:left w:val="single" w:sz="24" w:space="6" w:color="E2DED6"/>
        </w:pBdr>
        <w:shd w:val="clear" w:color="auto" w:fill="F1EEE8"/>
        <w:spacing w:before="80" w:after="160"/>
        <w:ind w:left="142" w:right="142"/>
      </w:pPr>
      <w:r>
        <w:rPr>
          <w:b/>
        </w:rPr>
        <w:t>La idea: hawaianos, basutos, yorubas, iroqueses, ashanti, mexicas, incas y etíopes contaban de sí mismos que el jefe debe sostener al pueblo, y también dejaron escrita su pata coja.</w:t>
      </w:r>
    </w:p>
    <w:p>
      <w:pPr>
        <w:pStyle w:val="Heading2"/>
      </w:pPr>
      <w:r>
        <w:t>F.7 Los órdenes de costumbre</w:t>
      </w:r>
    </w:p>
    <w:p>
      <w:pPr>
        <w:pBdr>
          <w:left w:val="single" w:sz="24" w:space="6" w:color="E2DED6"/>
        </w:pBdr>
        <w:shd w:val="clear" w:color="auto" w:fill="F1EEE8"/>
        <w:spacing w:before="80" w:after="160"/>
        <w:ind w:left="142" w:right="142"/>
      </w:pPr>
      <w:r>
        <w:rPr>
          <w:b/>
        </w:rPr>
        <w:t>La idea: pueblos que se dieron su orden por su cuenta coinciden en la tierra en común, la compensación del daño y la decisión en consejo; el parecido no prueba un mismo origen, pero muestra que el orden no nació con la ley de los Estados modernos.</w:t>
      </w:r>
    </w:p>
    <w:p>
      <w:r>
        <w:rPr>
          <w:b/>
        </w:rPr>
        <w:t>Conclusión, lo que arrojan los datos:</w:t>
      </w:r>
      <w:r>
        <w:t xml:space="preserve"> con la vara de la convergencia, que separa las patas independientes (</w:t>
      </w:r>
      <w:r>
        <w:t>1.4</w:t>
      </w:r>
      <w:r>
        <w:t xml:space="preserve"> y </w:t>
      </w:r>
      <w:r>
        <w:t>3.1</w:t>
      </w:r>
      <w:r>
        <w:t xml:space="preserve">) de las piezas de refuerzo, cuentan como patas los pueblos que se dieron su orden por su cuenta: inuit, lakota, haudenosaunee, mexicas, irlandeses, andinos, aborígenes australianos y maoríes. Coinciden, cada uno leído en su fuente, en la tierra en común, la compensación del daño y la decisión en consejo. Quedan como refuerzo, porque no son costumbre propia e independiente: el Althing, que tomó la ley noruega; el </w:t>
      </w:r>
      <w:r>
        <w:rPr>
          <w:i/>
        </w:rPr>
        <w:t>xeer</w:t>
      </w:r>
      <w:r>
        <w:t>, que integra la sharía; el Vinaya, que es un código monástico; la Yassa, que es la ley de un conquistador; el mir, de origen incierto y del que el Estado se sirvió para cobrar; y el ubuntu, que llegó a la reconciliación por una constitución moderna. El parecido no prueba un mismo origen (Boas). Lo que sí muestran es que el orden no nació con la ley de los Estados modernos.</w:t>
      </w:r>
    </w:p>
    <w:p>
      <w:pPr>
        <w:pStyle w:val="Heading2"/>
      </w:pPr>
      <w:r>
        <w:t>F.8 Errar el blanco, en una tercera lengua</w:t>
      </w:r>
    </w:p>
    <w:p>
      <w:pPr>
        <w:pBdr>
          <w:left w:val="single" w:sz="24" w:space="6" w:color="E2DED6"/>
        </w:pBdr>
        <w:shd w:val="clear" w:color="auto" w:fill="F1EEE8"/>
        <w:spacing w:before="80" w:after="160"/>
        <w:ind w:left="142" w:right="142"/>
      </w:pPr>
      <w:r>
        <w:rPr>
          <w:b/>
        </w:rPr>
        <w:t>La idea: el sánscrito, como el griego y el hebreo, nombra la falta con la imagen del tiro que yerra el blanco.</w:t>
      </w:r>
    </w:p>
    <w:p>
      <w:r>
        <w:rPr>
          <w:b/>
        </w:rPr>
        <w:t>Conclusión, lo que arrojan los datos:</w:t>
      </w:r>
      <w:r>
        <w:t xml:space="preserve"> tres lenguas antiguas, el griego, el hebreo y el sánscrito, nombran la falta con la imagen del tiro que yerra: el error moral como una falta de dirección, que se puede corregir.</w:t>
      </w:r>
    </w:p>
    <w:p>
      <w:pPr>
        <w:pStyle w:val="Heading2"/>
      </w:pPr>
      <w:r>
        <w:t>F.9 Las reglas del juego de la vida, tradición por tradición</w:t>
      </w:r>
    </w:p>
    <w:p>
      <w:pPr>
        <w:pBdr>
          <w:left w:val="single" w:sz="24" w:space="6" w:color="E2DED6"/>
        </w:pBdr>
        <w:shd w:val="clear" w:color="auto" w:fill="F1EEE8"/>
        <w:spacing w:before="80" w:after="160"/>
        <w:ind w:left="142" w:right="142"/>
      </w:pPr>
      <w:r>
        <w:rPr>
          <w:b/>
        </w:rPr>
        <w:t xml:space="preserve">La idea: aquí están los pasajes de </w:t>
      </w:r>
      <w:r>
        <w:rPr>
          <w:b/>
        </w:rPr>
        <w:t>3.7</w:t>
      </w:r>
      <w:r>
        <w:rPr>
          <w:b/>
        </w:rPr>
        <w:t>, en sus doce tradiciones, cada uno con su fuente: qué se dio, qué se perdió y por dónde se vuelve; los del cribado, que el camino lo anda cada uno, el aviso antes de la consecuencia y quién la ejecuta; los del remate, que todo se ve y, en la mayoría, todo queda escrito; los del séptimo sello, tal como lo dice el texto; los del ungido; y dónde el texto dice algo distinto de lo que se esperaba.</w:t>
      </w:r>
    </w:p>
    <w:p>
      <w:pPr>
        <w:pStyle w:val="Heading2"/>
      </w:pPr>
      <w:r>
        <w:t>Límite honesto de la prueba</w:t>
      </w:r>
    </w:p>
    <w:p>
      <w:pPr>
        <w:pStyle w:val="ListBullet"/>
      </w:pPr>
      <w:r>
        <w:rPr>
          <w:b/>
        </w:rPr>
        <w:t>La convergencia no es unanimidad.</w:t>
      </w:r>
      <w:r>
        <w:t xml:space="preserve"> Cada bloque tiene su pata coja, y se dice entera; algunos principios son débiles en algún bloque: P3 en América (tres citas de un mismo autor), P5 en África y América, y P9 en la India y en África, América y Oceanía, donde ningún texto lo dice directamente. Ninguna tradición tiene un texto expreso contra las multas como ingreso del poder.</w:t>
      </w:r>
    </w:p>
    <w:p>
      <w:pPr>
        <w:pStyle w:val="ListBullet"/>
      </w:pPr>
      <w:r>
        <w:rPr>
          <w:b/>
        </w:rPr>
        <w:t>La salida violenta no es la de la obra.</w:t>
      </w:r>
      <w:r>
        <w:t xml:space="preserve"> Algunos textos admiten acabar con el mal gobernante (Mencio 1B8, Mahabharata 13.60.20, Oyó y la Gran Ley iroquesa). La obra toma el principio, no esa salida: no invita a desobedecer, y su vía es la constancia escrita (</w:t>
      </w:r>
      <w:r>
        <w:t>capítulo 10</w:t>
      </w:r>
      <w:r>
        <w:t>).</w:t>
      </w:r>
    </w:p>
    <w:p>
      <w:pPr>
        <w:pStyle w:val="ListBullet"/>
      </w:pPr>
      <w:r>
        <w:rPr>
          <w:b/>
        </w:rPr>
        <w:t>Los hadices</w:t>
      </w:r>
      <w:r>
        <w:t xml:space="preserve"> se leyeron en una copia de datos, no en su edición impresa: van como fuente secundaria hasta cotejarlos. Y quedan sin examinar con la prueba de quién escribe la pata coja (</w:t>
      </w:r>
      <w:r>
        <w:t>3.4</w:t>
      </w:r>
      <w:r>
        <w:t>) los hadices de obediencia, los textos rabínicos de la pata coja y el Avesta.</w:t>
      </w:r>
    </w:p>
    <w:p>
      <w:pPr>
        <w:pStyle w:val="ListBullet"/>
      </w:pPr>
      <w:r>
        <w:rPr>
          <w:b/>
        </w:rPr>
        <w:t>Lo que no se leyó no entra.</w:t>
      </w:r>
      <w:r>
        <w:t xml:space="preserve"> Los agentes que buscaron los textos trajeron otros que no se leyeron en su fuente: el Popol Vuh (para los principios del Arca; se leyó después para otras cosas: </w:t>
      </w:r>
      <w:r>
        <w:t>2.3</w:t>
      </w:r>
      <w:r>
        <w:t xml:space="preserve"> y </w:t>
      </w:r>
      <w:r>
        <w:t>F.9</w:t>
      </w:r>
      <w:r>
        <w:t xml:space="preserve">), Grinnell sobre los cheyenes, la Constitución de Hawái (la ley del remo astillado), la Fetha Nagast, un estudio del </w:t>
      </w:r>
      <w:r>
        <w:rPr>
          <w:i/>
        </w:rPr>
        <w:t>xeer</w:t>
      </w:r>
      <w:r>
        <w:t xml:space="preserve"> de 2023, la Udyoga Parva 5.34, la Sabha Parva 2.5, la Brihadaranyaka 1.4.14, el edicto en roca 6 de Ashoka y los Angs 1032 y 145 del Guru Granth Sahib. Y dos que serían pata coja de P6, contra la cancelación de deudas: Cicerón, De officiis II, 78 y 84, que no apareció en la copia del latín, y Platón, Leyes V. No se encontraron el edicto de Ammisaduqa, cuyas traducciones tienen derechos de autor, ni la frase de Urukagina sobre «el recaudador de impuestos» que circula, que solo está en fuentes secundarias.</w:t>
      </w:r>
    </w:p>
    <w:p>
      <w:pPr>
        <w:pStyle w:val="ListBullet"/>
      </w:pPr>
      <w:r>
        <w:rPr>
          <w:b/>
        </w:rPr>
        <w:t>Los órdenes de costumbre</w:t>
      </w:r>
      <w:r>
        <w:t xml:space="preserve"> se leen con la cautela de Boas: el parecido no prueba un mismo origen. El juez de barrio elegido por los vecinos es de una sola fuente, del siglo XVIII (Clavijero), y Zorita, del siglo XVI, dice que los jueces de las cabeceras eran «hombres escogidos para ello» por los señores. Y que el Althing sea «uno de los parlamentos más antiguos del mundo» no entra: no se ha leído su fuente.</w:t>
      </w:r>
    </w:p>
    <w:p>
      <w:pPr>
        <w:pStyle w:val="ListBullet"/>
      </w:pPr>
      <w:r>
        <w:rPr>
          <w:b/>
        </w:rPr>
        <w:t>De la tabla de errar el blanco</w:t>
      </w:r>
      <w:r>
        <w:t xml:space="preserve"> quedan fuera dos filas que tenía la pieza, quitadas al leerlas en los diccionarios: la budista, porque </w:t>
      </w:r>
      <w:r>
        <w:rPr>
          <w:i/>
        </w:rPr>
        <w:t>akusala</w:t>
      </w:r>
      <w:r>
        <w:t>, que la pieza daba por «no maldad», es también «demérito, pecado»</w:t>
      </w:r>
      <w:r>
        <w:t xml:space="preserve"> (Monier-Williams, p. 1308)</w:t>
      </w:r>
      <w:r>
        <w:t xml:space="preserve">; y la japonesa, porque </w:t>
      </w:r>
      <w:r>
        <w:rPr>
          <w:i/>
        </w:rPr>
        <w:t>giri</w:t>
      </w:r>
      <w:r>
        <w:t xml:space="preserve"> nombra el deber, no la falta.</w:t>
      </w:r>
    </w:p>
    <w:p>
      <w:pPr>
        <w:pStyle w:val="Heading2"/>
      </w:pPr>
      <w:r>
        <w:t>Dónde se oye la defensa del Estado</w:t>
      </w:r>
    </w:p>
    <w:p>
      <w:r>
        <w:t>La defensa del Estado frente al Arca, y lo que la obra le responde, se oyen en el juicio (</w:t>
      </w:r>
      <w:r>
        <w:t>capítulo 11</w:t>
      </w:r>
      <w:r>
        <w:t>):</w:t>
      </w:r>
    </w:p>
    <w:p>
      <w:pPr>
        <w:pStyle w:val="ListBullet"/>
      </w:pPr>
      <w:r>
        <w:rPr>
          <w:b/>
        </w:rPr>
        <w:t>en las cuestiones previas (</w:t>
      </w:r>
      <w:r>
        <w:rPr>
          <w:b/>
        </w:rPr>
        <w:t>11.2</w:t>
      </w:r>
      <w:r>
        <w:rPr>
          <w:b/>
        </w:rPr>
        <w:t>):</w:t>
      </w:r>
      <w:r>
        <w:t xml:space="preserve"> «El Estado es aconfesional» (n.º 5) y «Tres pilares son pocos, y la convergencia es una selección interesada» (n.º 9);</w:t>
      </w:r>
    </w:p>
    <w:p>
      <w:pPr>
        <w:pStyle w:val="ListBullet"/>
      </w:pPr>
      <w:r>
        <w:rPr>
          <w:b/>
        </w:rPr>
        <w:t xml:space="preserve">y en el </w:t>
      </w:r>
      <w:r>
        <w:rPr>
          <w:b/>
        </w:rPr>
        <w:t>cargo 1</w:t>
      </w:r>
      <w:r>
        <w:rPr>
          <w:b/>
        </w:rPr>
        <w:t xml:space="preserve"> («La ley humana, primera fuente»).</w:t>
      </w:r>
    </w:p>
    <w:p>
      <w:r>
        <w:t xml:space="preserve">Las que miran al </w:t>
      </w:r>
      <w:r>
        <w:t>capítulo 3</w:t>
      </w:r>
      <w:r>
        <w:t>, en su lugar (3, «Dónde se oye la defensa del Estado»).</w:t>
      </w:r>
    </w:p>
    <w:p>
      <w:pPr>
        <w:pStyle w:val="Heading2"/>
      </w:pPr>
      <w:r>
        <w:t>Para recordar</w:t>
      </w:r>
    </w:p>
    <w:p>
      <w:pPr>
        <w:pStyle w:val="ListBullet"/>
      </w:pPr>
      <w:r>
        <w:t xml:space="preserve">Los nueve principios del Arca se leen en seis bloques de tradiciones, cada texto con su fuente; los más fuertes están en el </w:t>
      </w:r>
      <w:r>
        <w:t>capítulo 3</w:t>
      </w:r>
      <w:r>
        <w:t>, y aquí, todos los demás.</w:t>
      </w:r>
    </w:p>
    <w:p>
      <w:pPr>
        <w:pStyle w:val="ListBullet"/>
      </w:pPr>
      <w:r>
        <w:t>Cada bloque tiene su pata coja, y se dice.</w:t>
      </w:r>
    </w:p>
    <w:p>
      <w:pPr>
        <w:pStyle w:val="ListBullet"/>
      </w:pPr>
      <w:r>
        <w:t>El rey que no protege es un ladrón, y el tirano deja de ser rey; la obra toma el principio, no la salida violenta.</w:t>
      </w:r>
    </w:p>
    <w:p>
      <w:pPr>
        <w:pStyle w:val="ListBullet"/>
      </w:pPr>
      <w:r>
        <w:t>El pan propio lo mandan ocho textos de seis civilizaciones, desde las tablillas de Shuruppak.</w:t>
      </w:r>
    </w:p>
    <w:p>
      <w:pPr>
        <w:pStyle w:val="ListBullet"/>
      </w:pPr>
      <w:r>
        <w:t>Pueblos que se dieron su orden por su cuenta coinciden en la tierra en común, la compensación del daño y la decisión en consejo: el orden no nació con la ley de los Estados modernos.</w:t>
      </w:r>
    </w:p>
    <w:p>
      <w:pPr>
        <w:pStyle w:val="ListBullet"/>
      </w:pPr>
      <w:r>
        <w:t>Tres lenguas antiguas llaman a la falta errar el blanco: un tiro que se puede corregir.</w:t>
      </w:r>
    </w:p>
    <w:p>
      <w:pPr>
        <w:pStyle w:val="ListBullet"/>
      </w:pPr>
      <w:r>
        <w:t>Las reglas del juego de la vida, en doce tradiciones: qué se dio, qué se perdió y por dónde se vuelve, cada pasaje con su fuente (</w:t>
      </w:r>
      <w:r>
        <w:t>F.9</w:t>
      </w:r>
      <w:r>
        <w:t>).</w:t>
      </w:r>
    </w:p>
    <w:p>
      <w:r>
        <w:br w:type="page"/>
      </w:r>
    </w:p>
    <w:p>
      <w:pPr>
        <w:pStyle w:val="Heading1"/>
      </w:pPr>
      <w:r>
        <w:t>Anexo G. Cómo se hizo esta obra, para repetirla en otro país</w:t>
      </w:r>
    </w:p>
    <w:p>
      <w:pPr>
        <w:spacing w:after="200"/>
      </w:pPr>
      <w:r>
        <w:rPr>
          <w:rFonts w:ascii="Segoe UI" w:hAnsi="Segoe UI" w:eastAsia="Segoe UI" w:cs="Segoe UI"/>
          <w:color w:val="6B665E"/>
          <w:sz w:val="17"/>
        </w:rPr>
        <w:t>Primera versión: 7 de octubre de 2026 · Última revisión: 13 de octubre de 2026 · Cambios anotados en el capítulo: 14 · Citas leídas en su fuente: 6</w:t>
      </w:r>
    </w:p>
    <w:p>
      <w:pPr>
        <w:pBdr>
          <w:left w:val="single" w:sz="24" w:space="6" w:color="E2DED6"/>
        </w:pBdr>
        <w:shd w:val="clear" w:color="auto" w:fill="F1EEE8"/>
        <w:spacing w:before="80" w:after="160"/>
        <w:ind w:left="142" w:right="142"/>
      </w:pPr>
      <w:r>
        <w:rPr>
          <w:b/>
        </w:rPr>
        <w:t>En pocas palabras:</w:t>
      </w:r>
    </w:p>
    <w:p>
      <w:pPr>
        <w:pStyle w:val="ListBullet"/>
      </w:pPr>
      <w:r>
        <w:t>El método de esta obra no es de España: se puede repetir con la Constitución de cualquier país. Cambian las fuentes, no el método.</w:t>
      </w:r>
    </w:p>
    <w:p>
      <w:pPr>
        <w:pStyle w:val="ListBullet"/>
      </w:pPr>
      <w:r>
        <w:t>Tres reglas lo sostienen: bajar primero todas las fuentes y trabajar con ellas en local, no volver a comprobar lo ya comprobado y poner a cada dato su nivel de prueba (A, B o C).</w:t>
      </w:r>
    </w:p>
    <w:p>
      <w:pPr>
        <w:pStyle w:val="ListBullet"/>
      </w:pPr>
      <w:r>
        <w:t>Son siete pasos, del criterio a la fe de erratas, y cada uno se hace una sola vez para toda la obra.</w:t>
      </w:r>
    </w:p>
    <w:p>
      <w:pPr>
        <w:pStyle w:val="ListBullet"/>
      </w:pPr>
      <w:r>
        <w:t>Doce trampas ya costaron tiempo; cada una lleva su regla. Algunas fueron errores de las propias herramientas de inteligencia artificial.</w:t>
      </w:r>
    </w:p>
    <w:p>
      <w:pPr>
        <w:pStyle w:val="ListBullet"/>
      </w:pPr>
      <w:r>
        <w:t>Cuatro citas que circulaban mal quedaron corregidas con su texto original.</w:t>
      </w:r>
    </w:p>
    <w:p>
      <w:pPr>
        <w:pStyle w:val="ListBullet"/>
      </w:pPr>
      <w:r>
        <w:t>El autor cuenta cómo empezó: por una experiencia personal y por haber estudiado, una por una, las teorías del movimiento soberano. Es palabra suya, y va marcada como tal.</w:t>
      </w:r>
    </w:p>
    <w:p>
      <w:pPr>
        <w:pStyle w:val="ListBullet"/>
      </w:pPr>
      <w:r>
        <w:t>El método es anterior a la obra: el autor lo dejó escrito, con fecha, en sus conversaciones con una inteligencia artificial, entre enero y marzo de 2026 (</w:t>
      </w:r>
      <w:r>
        <w:t>G.8</w:t>
      </w:r>
      <w:r>
        <w:t>). También es palabra suya.</w:t>
      </w:r>
    </w:p>
    <w:p>
      <w:pPr>
        <w:pStyle w:val="Heading2"/>
      </w:pPr>
      <w:r>
        <w:t>G.0 Para qué sirve este anexo</w:t>
      </w:r>
    </w:p>
    <w:p>
      <w:pPr>
        <w:pBdr>
          <w:left w:val="single" w:sz="24" w:space="6" w:color="E2DED6"/>
        </w:pBdr>
        <w:shd w:val="clear" w:color="auto" w:fill="F1EEE8"/>
        <w:spacing w:before="80" w:after="160"/>
        <w:ind w:left="142" w:right="142"/>
      </w:pPr>
      <w:r>
        <w:rPr>
          <w:b/>
        </w:rPr>
        <w:t>La idea: lo que se hizo con la Constitución de España se puede hacer con la de cualquier país, y aquí está cómo.</w:t>
      </w:r>
    </w:p>
    <w:p>
      <w:pPr>
        <w:pStyle w:val="Heading2"/>
      </w:pPr>
      <w:r>
        <w:t>G.1 Las tres reglas</w:t>
      </w:r>
    </w:p>
    <w:p>
      <w:pPr>
        <w:pBdr>
          <w:left w:val="single" w:sz="24" w:space="6" w:color="E2DED6"/>
        </w:pBdr>
        <w:shd w:val="clear" w:color="auto" w:fill="F1EEE8"/>
        <w:spacing w:before="80" w:after="160"/>
        <w:ind w:left="142" w:right="142"/>
      </w:pPr>
      <w:r>
        <w:rPr>
          <w:b/>
        </w:rPr>
        <w:t>La idea: tres reglas evitan volver a hacer lo mismo y dejan a la vista cuánta prueba hay detrás de cada dato.</w:t>
      </w:r>
    </w:p>
    <w:p>
      <w:r>
        <w:rPr>
          <w:b/>
        </w:rPr>
        <w:t>Conclusión, lo que arrojan los datos:</w:t>
      </w:r>
      <w:r>
        <w:t xml:space="preserve"> de los 1.700 datos y citas con fuente, 1.646 (96,8 %) son de nivel A y 54 (3,2 %) de nivel B. Los de nivel B son enciclopedias, estudios académicos, prensa y documentos que solo se leen a través de otro; 25 de ellos están en el </w:t>
      </w:r>
      <w:r>
        <w:t>capítulo 9</w:t>
      </w:r>
      <w:r>
        <w:t>, que cuenta casos históricos de otros países. Los capítulos que se apoyan en la ley, las sentencias y la estadística oficial (7, 8 y 10) suman 420 datos y solo 9 de nivel B.</w:t>
      </w:r>
    </w:p>
    <w:p>
      <w:pPr>
        <w:pStyle w:val="Heading2"/>
      </w:pPr>
      <w:r>
        <w:t>G.2 Los siete pasos</w:t>
      </w:r>
    </w:p>
    <w:p>
      <w:pPr>
        <w:pBdr>
          <w:left w:val="single" w:sz="24" w:space="6" w:color="E2DED6"/>
        </w:pBdr>
        <w:shd w:val="clear" w:color="auto" w:fill="F1EEE8"/>
        <w:spacing w:before="80" w:after="160"/>
        <w:ind w:left="142" w:right="142"/>
      </w:pPr>
      <w:r>
        <w:rPr>
          <w:b/>
        </w:rPr>
        <w:t>La idea: siete pasos, en este orden, y cada uno una sola vez para toda la obra.</w:t>
      </w:r>
    </w:p>
    <w:p>
      <w:pPr>
        <w:pStyle w:val="Heading2"/>
      </w:pPr>
      <w:r>
        <w:t>G.3 Las trampas que ya costaron</w:t>
      </w:r>
    </w:p>
    <w:p>
      <w:pPr>
        <w:pBdr>
          <w:left w:val="single" w:sz="24" w:space="6" w:color="E2DED6"/>
        </w:pBdr>
        <w:shd w:val="clear" w:color="auto" w:fill="F1EEE8"/>
        <w:spacing w:before="80" w:after="160"/>
        <w:ind w:left="142" w:right="142"/>
      </w:pPr>
      <w:r>
        <w:rPr>
          <w:b/>
        </w:rPr>
        <w:t>La idea: estas doce trampas ya costaron tiempo, y cada una dejó una regla; todas salen de lo ocurrido en esta obra.</w:t>
      </w:r>
    </w:p>
    <w:p>
      <w:pPr>
        <w:pStyle w:val="Heading2"/>
      </w:pPr>
      <w:r>
        <w:t>G.4 Los seis pasos con una Constitución</w:t>
      </w:r>
    </w:p>
    <w:p>
      <w:pPr>
        <w:pBdr>
          <w:left w:val="single" w:sz="24" w:space="6" w:color="E2DED6"/>
        </w:pBdr>
        <w:shd w:val="clear" w:color="auto" w:fill="F1EEE8"/>
        <w:spacing w:before="80" w:after="160"/>
        <w:ind w:left="142" w:right="142"/>
      </w:pPr>
      <w:r>
        <w:rPr>
          <w:b/>
        </w:rPr>
        <w:t>La idea: auditar una Constitución es comprobar, artículo por artículo, si lo que dice se cumple, con un hecho documentado y sin opinar.</w:t>
      </w:r>
    </w:p>
    <w:p>
      <w:pPr>
        <w:pStyle w:val="Heading2"/>
      </w:pPr>
      <w:r>
        <w:t>G.5 La tabla de fuentes para cada país</w:t>
      </w:r>
    </w:p>
    <w:p>
      <w:pPr>
        <w:pBdr>
          <w:left w:val="single" w:sz="24" w:space="6" w:color="E2DED6"/>
        </w:pBdr>
        <w:shd w:val="clear" w:color="auto" w:fill="F1EEE8"/>
        <w:spacing w:before="80" w:after="160"/>
        <w:ind w:left="142" w:right="142"/>
      </w:pPr>
      <w:r>
        <w:rPr>
          <w:b/>
        </w:rPr>
        <w:t>La idea: en otro país se buscan las mismas clases de fuente, y cambia solo dónde está cada una.</w:t>
      </w:r>
    </w:p>
    <w:p>
      <w:pPr>
        <w:pStyle w:val="Heading2"/>
      </w:pPr>
      <w:r>
        <w:t>G.6 Lo que el método cazó</w:t>
      </w:r>
    </w:p>
    <w:p>
      <w:pPr>
        <w:pBdr>
          <w:left w:val="single" w:sz="24" w:space="6" w:color="E2DED6"/>
        </w:pBdr>
        <w:shd w:val="clear" w:color="auto" w:fill="F1EEE8"/>
        <w:spacing w:before="80" w:after="160"/>
        <w:ind w:left="142" w:right="142"/>
      </w:pPr>
      <w:r>
        <w:rPr>
          <w:b/>
        </w:rPr>
        <w:t>La idea: cuatro citas que circulaban mal se corrigieron comprobando el original.</w:t>
      </w:r>
    </w:p>
    <w:p>
      <w:pPr>
        <w:pStyle w:val="Heading2"/>
      </w:pPr>
      <w:r>
        <w:t>G.7 El recorrido del autor, y cuánto tardó</w:t>
      </w:r>
    </w:p>
    <w:p>
      <w:pPr>
        <w:pBdr>
          <w:left w:val="single" w:sz="24" w:space="6" w:color="E2DED6"/>
        </w:pBdr>
        <w:shd w:val="clear" w:color="auto" w:fill="F1EEE8"/>
        <w:spacing w:before="80" w:after="160"/>
        <w:ind w:left="142" w:right="142"/>
      </w:pPr>
      <w:r>
        <w:rPr>
          <w:b/>
        </w:rPr>
        <w:t>La idea: la obra empezó aplicando el método a las propias creencias del autor; esto es lo que él cuenta, y lo que consta en archivos con fecha va aparte.</w:t>
      </w:r>
    </w:p>
    <w:p>
      <w:pPr>
        <w:pStyle w:val="Heading2"/>
      </w:pPr>
      <w:r>
        <w:t>G.8 Cómo nació el método</w:t>
      </w:r>
    </w:p>
    <w:p>
      <w:pPr>
        <w:pBdr>
          <w:left w:val="single" w:sz="24" w:space="6" w:color="E2DED6"/>
        </w:pBdr>
        <w:shd w:val="clear" w:color="auto" w:fill="F1EEE8"/>
        <w:spacing w:before="80" w:after="160"/>
        <w:ind w:left="142" w:right="142"/>
      </w:pPr>
      <w:r>
        <w:rPr>
          <w:b/>
        </w:rPr>
        <w:t>La idea: el método es anterior a la obra; el autor lo dejó escrito, con fecha, entre enero y marzo de 2026, hablando con una inteligencia artificial que tendía a darle la razón.</w:t>
      </w:r>
    </w:p>
    <w:p>
      <w:pPr>
        <w:pStyle w:val="Heading2"/>
      </w:pPr>
      <w:r>
        <w:t>Límite honesto de la prueba</w:t>
      </w:r>
    </w:p>
    <w:p>
      <w:pPr>
        <w:pStyle w:val="ListBullet"/>
      </w:pPr>
      <w:r>
        <w:rPr>
          <w:b/>
        </w:rPr>
        <w:t>El método se ha aplicado una sola vez,</w:t>
      </w:r>
      <w:r>
        <w:t xml:space="preserve"> a una Constitución, por un autor con herramientas de inteligencia artificial. Nadie lo ha repetido todavía: que se pueda repetir con otro país es una afirmación que falta por probar. </w:t>
      </w:r>
    </w:p>
    <w:p>
      <w:pPr>
        <w:pStyle w:val="ListBullet"/>
      </w:pPr>
      <w:r>
        <w:rPr>
          <w:b/>
        </w:rPr>
        <w:t>Las llaves de cada sitio oficial</w:t>
      </w:r>
      <w:r>
        <w:t xml:space="preserve"> (</w:t>
      </w:r>
      <w:r>
        <w:t>G.5</w:t>
      </w:r>
      <w:r>
        <w:t xml:space="preserve">) son del 6-oct-2026 y cambian. </w:t>
      </w:r>
    </w:p>
    <w:p>
      <w:pPr>
        <w:pStyle w:val="ListBullet"/>
      </w:pPr>
      <w:r>
        <w:rPr>
          <w:b/>
        </w:rPr>
        <w:t>Las doce trampas son las de esta obra,</w:t>
      </w:r>
      <w:r>
        <w:t xml:space="preserve"> no una lista completa. Hay más en otras obras y en otros países. </w:t>
      </w:r>
    </w:p>
    <w:p>
      <w:pPr>
        <w:pStyle w:val="ListBullet"/>
      </w:pPr>
      <w:r>
        <w:rPr>
          <w:b/>
        </w:rPr>
        <w:t>El recorrido del autor (</w:t>
      </w:r>
      <w:r>
        <w:rPr>
          <w:b/>
        </w:rPr>
        <w:t>G.7</w:t>
      </w:r>
      <w:r>
        <w:rPr>
          <w:b/>
        </w:rPr>
        <w:t>) es palabra suya:</w:t>
      </w:r>
      <w:r>
        <w:t xml:space="preserve"> lo personal no se puede comprobar y la obra no lo da como dato. No nombra a nadie ni acusa a nadie. </w:t>
      </w:r>
    </w:p>
    <w:p>
      <w:pPr>
        <w:pStyle w:val="ListBullet"/>
      </w:pPr>
      <w:r>
        <w:rPr>
          <w:b/>
        </w:rPr>
        <w:t xml:space="preserve">Lo de </w:t>
      </w:r>
      <w:r>
        <w:rPr>
          <w:b/>
        </w:rPr>
        <w:t>G.8</w:t>
      </w:r>
      <w:r>
        <w:rPr>
          <w:b/>
        </w:rPr>
        <w:t xml:space="preserve"> es constancia del autor:</w:t>
      </w:r>
      <w:r>
        <w:t xml:space="preserve"> sus palabras salen de un registro privado que no se publica y que nadie de fuera puede leer, así que no prueban nada de la obra. Nacieron hablando con una herramienta que tendía a darle la razón; por eso el método pide comprobar cada dato en su original. </w:t>
      </w:r>
    </w:p>
    <w:p>
      <w:pPr>
        <w:pStyle w:val="ListBullet"/>
      </w:pPr>
      <w:r>
        <w:rPr>
          <w:b/>
        </w:rPr>
        <w:t>Dos detalles del método de la pieza de origen no se dicen todavía,</w:t>
      </w:r>
      <w:r>
        <w:t xml:space="preserve"> porque no tienen su registro: cuántos artículos tenía cada ronda de la auditoría y cuántas veces hubo que corregir la cobertura. Están en la lista de flecos, para completarlos. </w:t>
      </w:r>
    </w:p>
    <w:p>
      <w:pPr>
        <w:pStyle w:val="ListBullet"/>
      </w:pPr>
      <w:r>
        <w:rPr>
          <w:b/>
        </w:rPr>
        <w:t>De la máxima de Celso se dice lo comprobado</w:t>
      </w:r>
      <w:r>
        <w:t xml:space="preserve"> (el Digesto, el diccionario jurídico y el Código Civil), pero no que la otra, «sine causa nulla obligatio», falte en toda fuente romana: eso está a flecos. </w:t>
      </w:r>
    </w:p>
    <w:p>
      <w:pPr>
        <w:pStyle w:val="Heading2"/>
      </w:pPr>
      <w:r>
        <w:t>Dónde se oye la defensa del Estado</w:t>
      </w:r>
    </w:p>
    <w:p>
      <w:r>
        <w:t>Aquí el Estado y la obra pueden estar del mismo lado: un método abierto y repetible es una invitación a comprobar. La defensa del Estado frente a este anexo, y lo que la obra le responde, se oyen en el juicio (</w:t>
      </w:r>
      <w:r>
        <w:t>capítulo 11</w:t>
      </w:r>
      <w:r>
        <w:t>):</w:t>
      </w:r>
    </w:p>
    <w:p>
      <w:pPr>
        <w:pStyle w:val="ListBullet"/>
      </w:pPr>
      <w:r>
        <w:rPr>
          <w:b/>
        </w:rPr>
        <w:t>en las cuestiones previas (</w:t>
      </w:r>
      <w:r>
        <w:rPr>
          <w:b/>
        </w:rPr>
        <w:t>11.2</w:t>
      </w:r>
      <w:r>
        <w:rPr>
          <w:b/>
        </w:rPr>
        <w:t>, n.º 12, «El auditor no es independiente»):</w:t>
      </w:r>
      <w:r>
        <w:t xml:space="preserve"> el contrapunto concede lo que es cierto, que el autor no es un órgano independiente y tiene una tesis, y responde que por eso el método está a la vista, se puede repetir y cada artículo se comprueba con su fuente (</w:t>
      </w:r>
      <w:r>
        <w:t>anexo A</w:t>
      </w:r>
      <w:r>
        <w:t>; este anexo);</w:t>
      </w:r>
    </w:p>
    <w:p>
      <w:pPr>
        <w:pStyle w:val="ListBullet"/>
      </w:pPr>
      <w:r>
        <w:rPr>
          <w:b/>
        </w:rPr>
        <w:t>y en la defensa frente al dictamen (</w:t>
      </w:r>
      <w:r>
        <w:rPr>
          <w:b/>
        </w:rPr>
        <w:t>11.4</w:t>
      </w:r>
      <w:r>
        <w:rPr>
          <w:b/>
        </w:rPr>
        <w:t>, n.º 4, «"Opinión desfavorable" no es una auditoría oficial»):</w:t>
      </w:r>
      <w:r>
        <w:t xml:space="preserve"> el dictamen no tiene valor oficial y la obra lo suscribe; los datos no son del autor, salen de las cuentas y las estadísticas del propio Estado, y el método se puede repetir.</w:t>
      </w:r>
    </w:p>
    <w:p>
      <w:pPr>
        <w:pStyle w:val="Heading2"/>
      </w:pPr>
      <w:r>
        <w:t>Para recordar</w:t>
      </w:r>
    </w:p>
    <w:p>
      <w:pPr>
        <w:pStyle w:val="ListBullet"/>
      </w:pPr>
      <w:r>
        <w:t>El método no es de España: cambian las fuentes, no el orden ni la regla de que ningún dato entra sin su fuente.</w:t>
      </w:r>
    </w:p>
    <w:p>
      <w:pPr>
        <w:pStyle w:val="ListBullet"/>
      </w:pPr>
      <w:r>
        <w:t>Tres reglas: la biblioteca local entera primero, lo comprobado no se vuelve a comprobar, y cada dato con su nivel A, B o C.</w:t>
      </w:r>
    </w:p>
    <w:p>
      <w:pPr>
        <w:pStyle w:val="ListBullet"/>
      </w:pPr>
      <w:r>
        <w:t>Siete pasos, cada uno una sola vez para toda la obra: la pregunta, la biblioteca, el inventario, la criba, la comprobación, la redacción, las dos caras y la fe de erratas.</w:t>
      </w:r>
    </w:p>
    <w:p>
      <w:pPr>
        <w:pStyle w:val="ListBullet"/>
      </w:pPr>
      <w:r>
        <w:t>Las trampas que más cuestan: bajar lo que ya estaba, fiarse del resumen y no del pasaje, y creer que un número que aparece es una prueba.</w:t>
      </w:r>
    </w:p>
    <w:p>
      <w:pPr>
        <w:pStyle w:val="ListBullet"/>
      </w:pPr>
      <w:r>
        <w:t>«No entra» tiene dos motivos: si no viene al caso, fuera; si le falta la fuente, a la lista de flecos.</w:t>
      </w:r>
    </w:p>
    <w:p>
      <w:pPr>
        <w:pStyle w:val="ListBullet"/>
      </w:pPr>
      <w:r>
        <w:t>El autor empezó por sus propias creencias, y las sometió a la misma vara que pide para el Estado.</w:t>
      </w:r>
    </w:p>
    <w:p>
      <w:pPr>
        <w:pStyle w:val="ListBullet"/>
      </w:pPr>
      <w:r>
        <w:t>El método no se hizo a medida de la conclusión: el autor lo escribió antes de la obra, para defenderse de una herramienta que le daba la razón.</w:t>
      </w:r>
    </w:p>
    <w:p>
      <w:r>
        <w:br w:type="page"/>
      </w:r>
    </w:p>
    <w:p>
      <w:pPr>
        <w:pStyle w:val="Heading1"/>
      </w:pPr>
      <w:r>
        <w:t>Anexo H. El glosario</w:t>
      </w:r>
    </w:p>
    <w:p>
      <w:pPr>
        <w:spacing w:after="200"/>
      </w:pPr>
      <w:r>
        <w:rPr>
          <w:rFonts w:ascii="Segoe UI" w:hAnsi="Segoe UI" w:eastAsia="Segoe UI" w:cs="Segoe UI"/>
          <w:color w:val="6B665E"/>
          <w:sz w:val="17"/>
        </w:rPr>
        <w:t>Primera versión: 7 de octubre de 2026 · Última revisión: 13 de octubre de 2026 · Cambios anotados en el capítulo: 11 · Citas leídas en su fuente: 28</w:t>
      </w:r>
    </w:p>
    <w:p>
      <w:pPr>
        <w:pBdr>
          <w:left w:val="single" w:sz="24" w:space="6" w:color="E2DED6"/>
        </w:pBdr>
        <w:shd w:val="clear" w:color="auto" w:fill="F1EEE8"/>
        <w:spacing w:before="80" w:after="160"/>
        <w:ind w:left="142" w:right="142"/>
      </w:pPr>
      <w:r>
        <w:rPr>
          <w:b/>
        </w:rPr>
        <w:t>En pocas palabras:</w:t>
      </w:r>
    </w:p>
    <w:p>
      <w:pPr>
        <w:pStyle w:val="ListBullet"/>
      </w:pPr>
      <w:r>
        <w:t>Este anexo reúne las palabras que la obra usa con un sentido preciso, cada una con su definición y el apartado donde se explica: una palabra para cada cosa, y una cosa para cada palabra.</w:t>
      </w:r>
    </w:p>
    <w:p>
      <w:pPr>
        <w:pStyle w:val="ListBullet"/>
      </w:pPr>
      <w:r>
        <w:t>Va por bloques, en el orden de la obra; al final, un índice alfabético lleva a cada palabra.</w:t>
      </w:r>
    </w:p>
    <w:p>
      <w:pPr>
        <w:pStyle w:val="ListBullet"/>
      </w:pPr>
      <w:r>
        <w:t>Lo que solo va como lectura del autor está en su propio bloque, con esa etiqueta.</w:t>
      </w:r>
    </w:p>
    <w:p>
      <w:pPr>
        <w:pStyle w:val="ListBullet"/>
      </w:pPr>
      <w:r>
        <w:t>Cierra con las máximas latinas que la tradición jurídica dejó escritas, cada una con su traducción y su fuente. Ninguna anula una ley con solo citarla.</w:t>
      </w:r>
    </w:p>
    <w:p>
      <w:pPr>
        <w:pStyle w:val="Heading2"/>
      </w:pPr>
      <w:r>
        <w:t>H.0 Propósito</w:t>
      </w:r>
    </w:p>
    <w:p>
      <w:pPr>
        <w:pBdr>
          <w:left w:val="single" w:sz="24" w:space="6" w:color="E2DED6"/>
        </w:pBdr>
        <w:shd w:val="clear" w:color="auto" w:fill="F1EEE8"/>
        <w:spacing w:before="80" w:after="160"/>
        <w:ind w:left="142" w:right="142"/>
      </w:pPr>
      <w:r>
        <w:rPr>
          <w:b/>
        </w:rPr>
        <w:t>La idea: cada palabra de la obra significa siempre lo mismo, y aquí está dicha una sola vez, con el apartado donde se explica.</w:t>
      </w:r>
    </w:p>
    <w:p>
      <w:pPr>
        <w:pStyle w:val="Heading2"/>
      </w:pPr>
      <w:r>
        <w:t>H.1 La obra y sus partes</w:t>
      </w:r>
    </w:p>
    <w:p>
      <w:pPr>
        <w:pBdr>
          <w:left w:val="single" w:sz="24" w:space="6" w:color="E2DED6"/>
        </w:pBdr>
        <w:shd w:val="clear" w:color="auto" w:fill="F1EEE8"/>
        <w:spacing w:before="80" w:after="160"/>
        <w:ind w:left="142" w:right="142"/>
      </w:pPr>
      <w:r>
        <w:rPr>
          <w:b/>
        </w:rPr>
        <w:t>La idea: los nombres de la obra y de sus partes, cada uno para una sola cosa.</w:t>
      </w:r>
    </w:p>
    <w:p>
      <w:pPr>
        <w:pStyle w:val="Heading2"/>
      </w:pPr>
      <w:r>
        <w:t>H.2 La persona</w:t>
      </w:r>
    </w:p>
    <w:p>
      <w:pPr>
        <w:pBdr>
          <w:left w:val="single" w:sz="24" w:space="6" w:color="E2DED6"/>
        </w:pBdr>
        <w:shd w:val="clear" w:color="auto" w:fill="F1EEE8"/>
        <w:spacing w:before="80" w:after="160"/>
        <w:ind w:left="142" w:right="142"/>
      </w:pPr>
      <w:r>
        <w:rPr>
          <w:b/>
        </w:rPr>
        <w:t>La idea: la persona va antes que el Estado, y trae sus derechos al nacer.</w:t>
      </w:r>
    </w:p>
    <w:p>
      <w:pPr>
        <w:pStyle w:val="Heading2"/>
      </w:pPr>
      <w:r>
        <w:t>H.3 Lo que se audita</w:t>
      </w:r>
    </w:p>
    <w:p>
      <w:pPr>
        <w:pBdr>
          <w:left w:val="single" w:sz="24" w:space="6" w:color="E2DED6"/>
        </w:pBdr>
        <w:shd w:val="clear" w:color="auto" w:fill="F1EEE8"/>
        <w:spacing w:before="80" w:after="160"/>
        <w:ind w:left="142" w:right="142"/>
      </w:pPr>
      <w:r>
        <w:rPr>
          <w:b/>
        </w:rPr>
        <w:t>La idea: qué se audita, y con qué palabras se nombra lo que se da por cierto sin serlo.</w:t>
      </w:r>
    </w:p>
    <w:p>
      <w:pPr>
        <w:pStyle w:val="Heading2"/>
      </w:pPr>
      <w:r>
        <w:t>H.4 El orden de las leyes</w:t>
      </w:r>
    </w:p>
    <w:p>
      <w:pPr>
        <w:pBdr>
          <w:left w:val="single" w:sz="24" w:space="6" w:color="E2DED6"/>
        </w:pBdr>
        <w:shd w:val="clear" w:color="auto" w:fill="F1EEE8"/>
        <w:spacing w:before="80" w:after="160"/>
        <w:ind w:left="142" w:right="142"/>
      </w:pPr>
      <w:r>
        <w:rPr>
          <w:b/>
        </w:rPr>
        <w:t>La idea: hay cuatro leyes, y su orden real es el inverso del que da el Estado.</w:t>
      </w:r>
    </w:p>
    <w:p>
      <w:pPr>
        <w:pStyle w:val="Heading2"/>
      </w:pPr>
      <w:r>
        <w:t>H.5 La vara y el método</w:t>
      </w:r>
    </w:p>
    <w:p>
      <w:pPr>
        <w:pBdr>
          <w:left w:val="single" w:sz="24" w:space="6" w:color="E2DED6"/>
        </w:pBdr>
        <w:shd w:val="clear" w:color="auto" w:fill="F1EEE8"/>
        <w:spacing w:before="80" w:after="160"/>
        <w:ind w:left="142" w:right="142"/>
      </w:pPr>
      <w:r>
        <w:rPr>
          <w:b/>
        </w:rPr>
        <w:t>La idea: con qué mide la obra, cuándo da algo por sólido y cómo separa lo probado de lo que es lectura.</w:t>
      </w:r>
    </w:p>
    <w:p>
      <w:pPr>
        <w:pStyle w:val="Heading2"/>
      </w:pPr>
      <w:r>
        <w:t>H.6 El dinero, el tiempo y la carga</w:t>
      </w:r>
    </w:p>
    <w:p>
      <w:pPr>
        <w:pBdr>
          <w:left w:val="single" w:sz="24" w:space="6" w:color="E2DED6"/>
        </w:pBdr>
        <w:shd w:val="clear" w:color="auto" w:fill="F1EEE8"/>
        <w:spacing w:before="80" w:after="160"/>
        <w:ind w:left="142" w:right="142"/>
      </w:pPr>
      <w:r>
        <w:rPr>
          <w:b/>
        </w:rPr>
        <w:t>La idea: el dinero, el tiempo de vida que cuesta y lo que el Estado se lleva de él.</w:t>
      </w:r>
    </w:p>
    <w:p>
      <w:pPr>
        <w:pStyle w:val="Heading2"/>
      </w:pPr>
      <w:r>
        <w:t>H.7 El dictamen</w:t>
      </w:r>
    </w:p>
    <w:p>
      <w:pPr>
        <w:pBdr>
          <w:left w:val="single" w:sz="24" w:space="6" w:color="E2DED6"/>
        </w:pBdr>
        <w:shd w:val="clear" w:color="auto" w:fill="F1EEE8"/>
        <w:spacing w:before="80" w:after="160"/>
        <w:ind w:left="142" w:right="142"/>
      </w:pPr>
      <w:r>
        <w:rPr>
          <w:b/>
        </w:rPr>
        <w:t>La idea: la conclusión de la obra es un dictamen; el veredicto, si llega, es del jurado.</w:t>
      </w:r>
    </w:p>
    <w:p>
      <w:pPr>
        <w:pStyle w:val="Heading2"/>
      </w:pPr>
      <w:r>
        <w:t>H.8 La salida</w:t>
      </w:r>
    </w:p>
    <w:p>
      <w:pPr>
        <w:pBdr>
          <w:left w:val="single" w:sz="24" w:space="6" w:color="E2DED6"/>
        </w:pBdr>
        <w:shd w:val="clear" w:color="auto" w:fill="F1EEE8"/>
        <w:spacing w:before="80" w:after="160"/>
        <w:ind w:left="142" w:right="142"/>
      </w:pPr>
      <w:r>
        <w:rPr>
          <w:b/>
        </w:rPr>
        <w:t>La idea: la salida que propone la obra es la metamorfosis del Estado, por escrito y sin violencia, y el juicio popular de la verdad.</w:t>
      </w:r>
    </w:p>
    <w:p>
      <w:pPr>
        <w:pStyle w:val="Heading2"/>
      </w:pPr>
      <w:r>
        <w:t>H.9 Lo que solo va como lectura del autor</w:t>
      </w:r>
    </w:p>
    <w:p>
      <w:pPr>
        <w:pBdr>
          <w:left w:val="single" w:sz="24" w:space="6" w:color="E2DED6"/>
        </w:pBdr>
        <w:shd w:val="clear" w:color="auto" w:fill="F1EEE8"/>
        <w:spacing w:before="80" w:after="160"/>
        <w:ind w:left="142" w:right="142"/>
      </w:pPr>
      <w:r>
        <w:rPr>
          <w:b/>
        </w:rPr>
        <w:t>La idea: estas palabras no son datos: van siempre bajo «Lectura del autor».</w:t>
      </w:r>
    </w:p>
    <w:p>
      <w:pPr>
        <w:pStyle w:val="Heading2"/>
      </w:pPr>
      <w:r>
        <w:t>H.10 Las máximas latinas</w:t>
      </w:r>
    </w:p>
    <w:p>
      <w:pPr>
        <w:pBdr>
          <w:left w:val="single" w:sz="24" w:space="6" w:color="E2DED6"/>
        </w:pBdr>
        <w:shd w:val="clear" w:color="auto" w:fill="F1EEE8"/>
        <w:spacing w:before="80" w:after="160"/>
        <w:ind w:left="142" w:right="142"/>
      </w:pPr>
      <w:r>
        <w:rPr>
          <w:b/>
        </w:rPr>
        <w:t>La idea: las máximas que la tradición jurídica dejó escritas, cada una con su traducción y su fuente; ninguna anula una ley con solo citarla.</w:t>
      </w:r>
    </w:p>
    <w:p>
      <w:pPr>
        <w:pStyle w:val="Heading2"/>
      </w:pPr>
      <w:r>
        <w:t>Límite honesto de la prueba</w:t>
      </w:r>
    </w:p>
    <w:p>
      <w:pPr>
        <w:pStyle w:val="ListBullet"/>
      </w:pPr>
      <w:r>
        <w:rPr>
          <w:b/>
        </w:rPr>
        <w:t>Un glosario no prueba nada: define.</w:t>
      </w:r>
      <w:r>
        <w:t xml:space="preserve"> La prueba de cada palabra está en el apartado al que remite; aquí solo se dice qué significa, para que signifique siempre lo mismo.</w:t>
      </w:r>
    </w:p>
    <w:p>
      <w:pPr>
        <w:pStyle w:val="ListBullet"/>
      </w:pPr>
      <w:r>
        <w:rPr>
          <w:b/>
        </w:rPr>
        <w:t>Las máximas no son derecho aplicable por sí solas.</w:t>
      </w:r>
      <w:r>
        <w:t xml:space="preserve"> Ninguna anula una ley con solo citarla; su fuerza depende de que el derecho vigente la haya recogido, como el derecho a ser oído vive hoy en la Constitución porque ella lo recoge, no porque lo diga el latín (</w:t>
      </w:r>
      <w:r>
        <w:t>capítulo 1</w:t>
      </w:r>
      <w:r>
        <w:t>, «Límite honesto de la prueba»).</w:t>
      </w:r>
    </w:p>
    <w:p>
      <w:pPr>
        <w:pStyle w:val="ListBullet"/>
      </w:pPr>
      <w:r>
        <w:rPr>
          <w:b/>
        </w:rPr>
        <w:t>Varias máximas, con las palabras con que se citan, no están en la fuente antigua que se les atribuía:</w:t>
      </w:r>
      <w:r>
        <w:t xml:space="preserve"> </w:t>
      </w:r>
      <w:r>
        <w:rPr>
          <w:i/>
        </w:rPr>
        <w:t>in dubio pro reo</w:t>
      </w:r>
      <w:r>
        <w:t xml:space="preserve">, </w:t>
      </w:r>
      <w:r>
        <w:rPr>
          <w:i/>
        </w:rPr>
        <w:t>ad impossibilia nemo tenetur</w:t>
      </w:r>
      <w:r>
        <w:t xml:space="preserve">, </w:t>
      </w:r>
      <w:r>
        <w:rPr>
          <w:i/>
        </w:rPr>
        <w:t>onus probandi</w:t>
      </w:r>
      <w:r>
        <w:t xml:space="preserve">, </w:t>
      </w:r>
      <w:r>
        <w:rPr>
          <w:i/>
        </w:rPr>
        <w:t>damnum non facit qui iure suo utitur</w:t>
      </w:r>
      <w:r>
        <w:t xml:space="preserve">, </w:t>
      </w:r>
      <w:r>
        <w:rPr>
          <w:i/>
        </w:rPr>
        <w:t>solvitur ambulando</w:t>
      </w:r>
      <w:r>
        <w:t xml:space="preserve"> y </w:t>
      </w:r>
      <w:r>
        <w:rPr>
          <w:i/>
        </w:rPr>
        <w:t>cedant leges inter arma</w:t>
      </w:r>
      <w:r>
        <w:t xml:space="preserve">, que en Cicerón es </w:t>
      </w:r>
      <w:r>
        <w:rPr>
          <w:i/>
        </w:rPr>
        <w:t>silent leges</w:t>
      </w:r>
      <w:r>
        <w:t>. Aquí van con las palabras de la fuente leída.</w:t>
      </w:r>
    </w:p>
    <w:p>
      <w:pPr>
        <w:pStyle w:val="ListBullet"/>
      </w:pPr>
      <w:r>
        <w:rPr>
          <w:b/>
        </w:rPr>
        <w:t>Tres van por fuente secundaria:</w:t>
      </w:r>
      <w:r>
        <w:t xml:space="preserve"> </w:t>
      </w:r>
      <w:r>
        <w:rPr>
          <w:i/>
        </w:rPr>
        <w:t>fictio legis</w:t>
      </w:r>
      <w:r>
        <w:t xml:space="preserve"> y </w:t>
      </w:r>
      <w:r>
        <w:rPr>
          <w:i/>
        </w:rPr>
        <w:t>rebus sic stantibus</w:t>
      </w:r>
      <w:r>
        <w:t>, con una sola fuente, el Black's de 1910; y la casa como refugio, de Coke, tal como la cita una sentencia del Tribunal Supremo de los Estados Unidos. Pueden subir a nivel A leyendo el original.</w:t>
      </w:r>
    </w:p>
    <w:p>
      <w:pPr>
        <w:pStyle w:val="ListBullet"/>
      </w:pPr>
      <w:r>
        <w:rPr>
          <w:b/>
        </w:rPr>
        <w:t>Cuatro no entran</w:t>
      </w:r>
      <w:r>
        <w:t xml:space="preserve">, porque no se han leído en su fuente: </w:t>
      </w:r>
      <w:r>
        <w:rPr>
          <w:i/>
        </w:rPr>
        <w:t>fraus omnia corrumpit</w:t>
      </w:r>
      <w:r>
        <w:t xml:space="preserve"> («el fraude lo corrompe todo»), </w:t>
      </w:r>
      <w:r>
        <w:rPr>
          <w:i/>
        </w:rPr>
        <w:t>excusatio non petita, accusatio manifesta</w:t>
      </w:r>
      <w:r>
        <w:t xml:space="preserve"> («excusa no pedida, acusación manifiesta»), </w:t>
      </w:r>
      <w:r>
        <w:rPr>
          <w:i/>
        </w:rPr>
        <w:t>error iuris non inducit malam fidem</w:t>
      </w:r>
      <w:r>
        <w:t xml:space="preserve"> («el error de derecho no supone mala fe») y </w:t>
      </w:r>
      <w:r>
        <w:rPr>
          <w:i/>
        </w:rPr>
        <w:t>nunc pro tunc</w:t>
      </w:r>
      <w:r>
        <w:t xml:space="preserve"> («ahora por entonces»). Tampoco entran las atribuciones que no se han leído, como la de </w:t>
      </w:r>
      <w:r>
        <w:rPr>
          <w:i/>
        </w:rPr>
        <w:t>sublata causa</w:t>
      </w:r>
      <w:r>
        <w:t xml:space="preserve"> a Tomás de Aquino.</w:t>
      </w:r>
    </w:p>
    <w:p>
      <w:pPr>
        <w:pStyle w:val="Heading2"/>
      </w:pPr>
      <w:r>
        <w:t>Dónde se oye la defensa del Estado</w:t>
      </w:r>
    </w:p>
    <w:p>
      <w:r>
        <w:t>La defensa del Estado frente a las palabras de la obra, y lo que la obra le responde, se oyen en el juicio, en las cuestiones previas (</w:t>
      </w:r>
      <w:r>
        <w:t>11.2</w:t>
      </w:r>
      <w:r>
        <w:t>):</w:t>
      </w:r>
    </w:p>
    <w:p>
      <w:pPr>
        <w:pStyle w:val="ListBullet"/>
      </w:pPr>
      <w:r>
        <w:t>«La obra no es neutral: la vara la pone el autor» (n.º 1);</w:t>
      </w:r>
    </w:p>
    <w:p>
      <w:pPr>
        <w:pStyle w:val="ListBullet"/>
      </w:pPr>
      <w:r>
        <w:t>«El derecho natural y las máximas latinas no son derecho aplicable» (n.º 3);</w:t>
      </w:r>
    </w:p>
    <w:p>
      <w:pPr>
        <w:pStyle w:val="ListBullet"/>
      </w:pPr>
      <w:r>
        <w:t>«Usar la imagen del diablo para el Estado, y hablar de bien y mal, es demonizar al adversario» (n.º 16);</w:t>
      </w:r>
    </w:p>
    <w:p>
      <w:pPr>
        <w:pStyle w:val="ListBullet"/>
      </w:pPr>
      <w:r>
        <w:t>«El Estado no es un ente sin cuerpo: sus cargos responden» (n.º 17);</w:t>
      </w:r>
    </w:p>
    <w:p>
      <w:pPr>
        <w:pStyle w:val="ListBullet"/>
      </w:pPr>
      <w:r>
        <w:t>«La persona jurídica es una ficción necesaria» (n.º 18);</w:t>
      </w:r>
    </w:p>
    <w:p>
      <w:pPr>
        <w:pStyle w:val="ListBullet"/>
      </w:pPr>
      <w:r>
        <w:t>y «El Estado como construcción mental es una tesis ideológica» (n.º 19).</w:t>
      </w:r>
    </w:p>
    <w:p>
      <w:pPr>
        <w:pStyle w:val="Heading2"/>
      </w:pPr>
      <w:r>
        <w:t>Para recordar</w:t>
      </w:r>
    </w:p>
    <w:p>
      <w:pPr>
        <w:pStyle w:val="ListBullet"/>
      </w:pPr>
      <w:r>
        <w:t>Cada palabra de la obra significa siempre lo mismo, y aquí está dicha una sola vez, con el apartado donde se explica.</w:t>
      </w:r>
    </w:p>
    <w:p>
      <w:pPr>
        <w:pStyle w:val="ListBullet"/>
      </w:pPr>
      <w:r>
        <w:t>La obra es «</w:t>
      </w:r>
      <w:r>
        <w:t>Apocalipsis del Sistema</w:t>
      </w:r>
      <w:r>
        <w:t>»; el Registro es el archivo de los frutos.</w:t>
      </w:r>
    </w:p>
    <w:p>
      <w:pPr>
        <w:pStyle w:val="ListBullet"/>
      </w:pPr>
      <w:r>
        <w:t>El orden de las leyes es la ley de Dios, la ley natural, la costumbre y la ley escrita; el orden oficial es el inverso.</w:t>
      </w:r>
    </w:p>
    <w:p>
      <w:pPr>
        <w:pStyle w:val="ListBullet"/>
      </w:pPr>
      <w:r>
        <w:t>La vara mide en dos pasos, la verdad de los hechos y sus frutos; la convergencia es una mesa con sus patas, y la pata coja se dice.</w:t>
      </w:r>
    </w:p>
    <w:p>
      <w:pPr>
        <w:pStyle w:val="ListBullet"/>
      </w:pPr>
      <w:r>
        <w:t>Lo que no es dato va como lectura del autor, con su etiqueta.</w:t>
      </w:r>
    </w:p>
    <w:p>
      <w:pPr>
        <w:pStyle w:val="ListBullet"/>
      </w:pPr>
      <w:r>
        <w:t>Las máximas latinas son costumbre jurídica escrita: cada una va con su fuente, y ninguna anula una ley con solo citarla.</w:t>
      </w:r>
    </w:p>
    <w:p>
      <w:r>
        <w:br w:type="page"/>
      </w:r>
    </w:p>
    <w:p>
      <w:pPr>
        <w:pStyle w:val="Heading1"/>
      </w:pPr>
      <w:r>
        <w:t>Anexo I. Las fuentes</w:t>
      </w:r>
    </w:p>
    <w:p>
      <w:pPr>
        <w:spacing w:after="200"/>
      </w:pPr>
      <w:r>
        <w:rPr>
          <w:rFonts w:ascii="Segoe UI" w:hAnsi="Segoe UI" w:eastAsia="Segoe UI" w:cs="Segoe UI"/>
          <w:color w:val="6B665E"/>
          <w:sz w:val="17"/>
        </w:rPr>
        <w:t>Primera versión: 7 de octubre de 2026 · Última revisión: 12 de octubre de 2026 · Cambios anotados en el capítulo: 3 · Citas leídas en su fuente: 38</w:t>
      </w:r>
    </w:p>
    <w:p>
      <w:pPr>
        <w:pBdr>
          <w:left w:val="single" w:sz="24" w:space="6" w:color="E2DED6"/>
        </w:pBdr>
        <w:shd w:val="clear" w:color="auto" w:fill="F1EEE8"/>
        <w:spacing w:before="80" w:after="160"/>
        <w:ind w:left="142" w:right="142"/>
      </w:pPr>
      <w:r>
        <w:rPr>
          <w:b/>
        </w:rPr>
        <w:t>En pocas palabras:</w:t>
      </w:r>
    </w:p>
    <w:p>
      <w:pPr>
        <w:pStyle w:val="ListBullet"/>
      </w:pPr>
      <w:r>
        <w:t>Este anexo reúne las citas de las tradiciones y de los textos clásicos que la obra usa, cada una con su fuente, para que cualquiera pueda comprobarlas.</w:t>
      </w:r>
    </w:p>
    <w:p>
      <w:pPr>
        <w:pStyle w:val="ListBullet"/>
      </w:pPr>
      <w:r>
        <w:t>Va por bloques: la Biblia y los autores cristianos; el judaísmo y el islam; China; la India; Grecia y Roma; la historia del poder; los textos modernos; y las leyes y sentencias.</w:t>
      </w:r>
    </w:p>
    <w:p>
      <w:pPr>
        <w:pStyle w:val="ListBullet"/>
      </w:pPr>
      <w:r>
        <w:t>Lo que ya se explica en un capítulo no se repite: se nombra, con su apartado. Lo demás va con su texto, en las palabras de su fuente.</w:t>
      </w:r>
    </w:p>
    <w:p>
      <w:pPr>
        <w:pStyle w:val="ListBullet"/>
      </w:pPr>
      <w:r>
        <w:t>Lo que no se pudo leer en su fuente no entra, y se dice.</w:t>
      </w:r>
    </w:p>
    <w:p>
      <w:pPr>
        <w:pStyle w:val="ListBullet"/>
      </w:pPr>
      <w:r>
        <w:t xml:space="preserve">Al final, </w:t>
      </w:r>
      <w:r>
        <w:t>I.9</w:t>
      </w:r>
      <w:r>
        <w:t xml:space="preserve"> trae todas las fuentes de la obra en una sola lista, por tipo, con los apartados donde se usa cada una.</w:t>
      </w:r>
    </w:p>
    <w:p>
      <w:pPr>
        <w:pStyle w:val="Heading2"/>
      </w:pPr>
      <w:r>
        <w:t>I.0 Propósito</w:t>
      </w:r>
    </w:p>
    <w:p>
      <w:pPr>
        <w:pBdr>
          <w:left w:val="single" w:sz="24" w:space="6" w:color="E2DED6"/>
        </w:pBdr>
        <w:shd w:val="clear" w:color="auto" w:fill="F1EEE8"/>
        <w:spacing w:before="80" w:after="160"/>
        <w:ind w:left="142" w:right="142"/>
      </w:pPr>
      <w:r>
        <w:rPr>
          <w:b/>
        </w:rPr>
        <w:t>La idea: cada cita de la obra tiene su fuente; este anexo reúne las de las tradiciones y los textos clásicos, con el apartado donde se usan.</w:t>
      </w:r>
    </w:p>
    <w:p>
      <w:pPr>
        <w:pStyle w:val="Heading2"/>
      </w:pPr>
      <w:r>
        <w:t>I.1 La Biblia y los autores cristianos</w:t>
      </w:r>
    </w:p>
    <w:p>
      <w:pPr>
        <w:pBdr>
          <w:left w:val="single" w:sz="24" w:space="6" w:color="E2DED6"/>
        </w:pBdr>
        <w:shd w:val="clear" w:color="auto" w:fill="F1EEE8"/>
        <w:spacing w:before="80" w:after="160"/>
        <w:ind w:left="142" w:right="142"/>
      </w:pPr>
      <w:r>
        <w:rPr>
          <w:b/>
        </w:rPr>
        <w:t>La idea: las citas de la Biblia y de los autores cristianos que la obra usa, cada una con su lugar; las que ya se explican en un capítulo, solo nombradas.</w:t>
      </w:r>
    </w:p>
    <w:p>
      <w:pPr>
        <w:pStyle w:val="Heading2"/>
      </w:pPr>
      <w:r>
        <w:t>I.2 El judaísmo y el islam</w:t>
      </w:r>
    </w:p>
    <w:p>
      <w:pPr>
        <w:pBdr>
          <w:left w:val="single" w:sz="24" w:space="6" w:color="E2DED6"/>
        </w:pBdr>
        <w:shd w:val="clear" w:color="auto" w:fill="F1EEE8"/>
        <w:spacing w:before="80" w:after="160"/>
        <w:ind w:left="142" w:right="142"/>
      </w:pPr>
      <w:r>
        <w:rPr>
          <w:b/>
        </w:rPr>
        <w:t>La idea: las citas de la tradición judía y del Corán que la obra usa; el Corán, en la traducción de Julio Cortés, y el árabe al lado donde dice más.</w:t>
      </w:r>
    </w:p>
    <w:p>
      <w:pPr>
        <w:pStyle w:val="Heading2"/>
      </w:pPr>
      <w:r>
        <w:t>I.3 China</w:t>
      </w:r>
    </w:p>
    <w:p>
      <w:pPr>
        <w:pBdr>
          <w:left w:val="single" w:sz="24" w:space="6" w:color="E2DED6"/>
        </w:pBdr>
        <w:shd w:val="clear" w:color="auto" w:fill="F1EEE8"/>
        <w:spacing w:before="80" w:after="160"/>
        <w:ind w:left="142" w:right="142"/>
      </w:pPr>
      <w:r>
        <w:rPr>
          <w:b/>
        </w:rPr>
        <w:t>La idea: Confucio juzga por los actos, no solo por las palabras, y da una sola palabra por regla de toda la vida: la reciprocidad.</w:t>
      </w:r>
    </w:p>
    <w:p>
      <w:pPr>
        <w:pStyle w:val="Heading2"/>
      </w:pPr>
      <w:r>
        <w:t>I.4 La India</w:t>
      </w:r>
    </w:p>
    <w:p>
      <w:pPr>
        <w:pBdr>
          <w:left w:val="single" w:sz="24" w:space="6" w:color="E2DED6"/>
        </w:pBdr>
        <w:shd w:val="clear" w:color="auto" w:fill="F1EEE8"/>
        <w:spacing w:before="80" w:after="160"/>
        <w:ind w:left="142" w:right="142"/>
      </w:pPr>
      <w:r>
        <w:rPr>
          <w:b/>
        </w:rPr>
        <w:t>La idea: la Gita describe al que vive sin «mío» y sin «yo», y el Dhammapada pide distinguir lo esencial de lo que no lo es.</w:t>
      </w:r>
    </w:p>
    <w:p>
      <w:pPr>
        <w:pStyle w:val="Heading2"/>
      </w:pPr>
      <w:r>
        <w:t>I.5 Grecia y Roma</w:t>
      </w:r>
    </w:p>
    <w:p>
      <w:pPr>
        <w:pBdr>
          <w:left w:val="single" w:sz="24" w:space="6" w:color="E2DED6"/>
        </w:pBdr>
        <w:shd w:val="clear" w:color="auto" w:fill="F1EEE8"/>
        <w:spacing w:before="80" w:after="160"/>
        <w:ind w:left="142" w:right="142"/>
      </w:pPr>
      <w:r>
        <w:rPr>
          <w:b/>
        </w:rPr>
        <w:t>La idea: los textos de Grecia y Roma que la obra usa ya están en sus capítulos; aquí, solo su lugar.</w:t>
      </w:r>
    </w:p>
    <w:p>
      <w:pPr>
        <w:pStyle w:val="Heading2"/>
      </w:pPr>
      <w:r>
        <w:t>I.6 La historia del poder</w:t>
      </w:r>
    </w:p>
    <w:p>
      <w:pPr>
        <w:pBdr>
          <w:left w:val="single" w:sz="24" w:space="6" w:color="E2DED6"/>
        </w:pBdr>
        <w:shd w:val="clear" w:color="auto" w:fill="F1EEE8"/>
        <w:spacing w:before="80" w:after="160"/>
        <w:ind w:left="142" w:right="142"/>
      </w:pPr>
      <w:r>
        <w:rPr>
          <w:b/>
        </w:rPr>
        <w:t xml:space="preserve">La idea: los textos del poder que se dice sagrado, y de los que se corrigieron, ya están en el </w:t>
      </w:r>
      <w:r>
        <w:rPr>
          <w:b/>
        </w:rPr>
        <w:t>capítulo 6</w:t>
      </w:r>
      <w:r>
        <w:rPr>
          <w:b/>
        </w:rPr>
        <w:t>; aquí, solo su lugar.</w:t>
      </w:r>
    </w:p>
    <w:p>
      <w:pPr>
        <w:pStyle w:val="Heading2"/>
      </w:pPr>
      <w:r>
        <w:t>I.7 Los textos modernos</w:t>
      </w:r>
    </w:p>
    <w:p>
      <w:pPr>
        <w:pBdr>
          <w:left w:val="single" w:sz="24" w:space="6" w:color="E2DED6"/>
        </w:pBdr>
        <w:shd w:val="clear" w:color="auto" w:fill="F1EEE8"/>
        <w:spacing w:before="80" w:after="160"/>
        <w:ind w:left="142" w:right="142"/>
      </w:pPr>
      <w:r>
        <w:rPr>
          <w:b/>
        </w:rPr>
        <w:t>La idea: la línea entre el bien y el mal pasa por cada corazón, el fin del Estado es la libertad, y lo de abajo es como lo de arriba.</w:t>
      </w:r>
    </w:p>
    <w:p>
      <w:pPr>
        <w:pStyle w:val="Heading2"/>
      </w:pPr>
      <w:r>
        <w:t>I.8 Las leyes y las sentencias</w:t>
      </w:r>
    </w:p>
    <w:p>
      <w:pPr>
        <w:pBdr>
          <w:left w:val="single" w:sz="24" w:space="6" w:color="E2DED6"/>
        </w:pBdr>
        <w:shd w:val="clear" w:color="auto" w:fill="F1EEE8"/>
        <w:spacing w:before="80" w:after="160"/>
        <w:ind w:left="142" w:right="142"/>
      </w:pPr>
      <w:r>
        <w:rPr>
          <w:b/>
        </w:rPr>
        <w:t xml:space="preserve">La idea: las leyes y sentencias de la prensa libre y del control del poder ya están en el </w:t>
      </w:r>
      <w:r>
        <w:rPr>
          <w:b/>
        </w:rPr>
        <w:t>capítulo 10</w:t>
      </w:r>
      <w:r>
        <w:rPr>
          <w:b/>
        </w:rPr>
        <w:t>; aquí, solo su lugar.</w:t>
      </w:r>
    </w:p>
    <w:p>
      <w:pPr>
        <w:pStyle w:val="Heading2"/>
      </w:pPr>
      <w:r>
        <w:t>I.9 Todas las fuentes de la obra</w:t>
      </w:r>
    </w:p>
    <w:p>
      <w:pPr>
        <w:pBdr>
          <w:left w:val="single" w:sz="24" w:space="6" w:color="E2DED6"/>
        </w:pBdr>
        <w:shd w:val="clear" w:color="auto" w:fill="F1EEE8"/>
        <w:spacing w:before="80" w:after="160"/>
        <w:ind w:left="142" w:right="142"/>
      </w:pPr>
      <w:r>
        <w:rPr>
          <w:b/>
        </w:rPr>
        <w:t>La idea: cada fuente que la obra cita, en una sola lista y por tipo, con los apartados donde se usa.</w:t>
      </w:r>
    </w:p>
    <w:p>
      <w:pPr>
        <w:pStyle w:val="Heading2"/>
      </w:pPr>
      <w:r>
        <w:t>Límite honesto de la prueba</w:t>
      </w:r>
    </w:p>
    <w:p>
      <w:pPr>
        <w:pStyle w:val="ListBullet"/>
      </w:pPr>
      <w:r>
        <w:rPr>
          <w:b/>
        </w:rPr>
        <w:t>Lo que no se leyó no entra.</w:t>
      </w:r>
      <w:r>
        <w:t xml:space="preserve"> De la lista de la pieza quedan fuera, por no haberse leído en su fuente: Mt 22:39 (la misma frase está en Lv 19:18 y Gá 5:14, </w:t>
      </w:r>
      <w:r>
        <w:t>I.1</w:t>
      </w:r>
      <w:r>
        <w:t xml:space="preserve">), Ez 33:6, el </w:t>
      </w:r>
      <w:r>
        <w:rPr>
          <w:i/>
        </w:rPr>
        <w:t>bitul</w:t>
      </w:r>
      <w:r>
        <w:t xml:space="preserve"> jasídico y el </w:t>
      </w:r>
      <w:r>
        <w:rPr>
          <w:i/>
        </w:rPr>
        <w:t>fana'</w:t>
      </w:r>
      <w:r>
        <w:t xml:space="preserve"> sufí, el Kalama Sutta, el comentario de Jung al Bardo Thodol, Kant y la publicidad, y el origen de la expresión «la gran mentira». Tampoco la fecha de la Tabla Esmeralda. Mc 10:45 se leyó después en la Reina-Valera Antigua y dice lo mismo que Mt 20:28 (</w:t>
      </w:r>
      <w:r>
        <w:t>3.6</w:t>
      </w:r>
      <w:r>
        <w:t>), que es el que se cita.</w:t>
      </w:r>
    </w:p>
    <w:p>
      <w:pPr>
        <w:pStyle w:val="ListBullet"/>
      </w:pPr>
      <w:r>
        <w:rPr>
          <w:b/>
        </w:rPr>
        <w:t>Algunas traducciones no salen del original.</w:t>
      </w:r>
      <w:r>
        <w:t xml:space="preserve"> Las Analectas 5.10 y 15.24 se tradujeron de la versión inglesa de Legge, y el Dhammapada 11-12, de la de Müller y de la de Sujato; se dice en cada una. Los hadices de Sahih al-Bujari y de Sahih Muslim se leyeron en una copia de datos de la colección, no en una edición impresa: van como fuente secundaria (</w:t>
      </w:r>
      <w:r>
        <w:t>2.5</w:t>
      </w:r>
      <w:r>
        <w:t xml:space="preserve"> y </w:t>
      </w:r>
      <w:r>
        <w:t>anexo F</w:t>
      </w:r>
      <w:r>
        <w:t>).</w:t>
      </w:r>
    </w:p>
    <w:p>
      <w:pPr>
        <w:pStyle w:val="Heading2"/>
      </w:pPr>
      <w:r>
        <w:t>Dónde se oye la defensa del Estado</w:t>
      </w:r>
    </w:p>
    <w:p>
      <w:r>
        <w:t>La defensa del Estado frente a las fuentes de la obra, y lo que la obra le responde, se oyen en el juicio, en las cuestiones previas (</w:t>
      </w:r>
      <w:r>
        <w:t>11.2</w:t>
      </w:r>
      <w:r>
        <w:t>): «Las citas son de opositores ideológicos, y algunas no están verificadas» (n.º 13) y «El Estado es aconfesional» (n.º 5).</w:t>
      </w:r>
    </w:p>
    <w:p>
      <w:pPr>
        <w:pStyle w:val="Heading2"/>
      </w:pPr>
      <w:r>
        <w:t>Para recordar</w:t>
      </w:r>
    </w:p>
    <w:p>
      <w:pPr>
        <w:pStyle w:val="ListBullet"/>
      </w:pPr>
      <w:r>
        <w:t>Cada cita de la obra tiene su fuente; las de las tradiciones y los textos clásicos están aquí, por bloques, con el apartado donde se usan.</w:t>
      </w:r>
    </w:p>
    <w:p>
      <w:pPr>
        <w:pStyle w:val="ListBullet"/>
      </w:pPr>
      <w:r>
        <w:t>Cada cita va en las palabras de su fuente; donde la edición traduce, el texto del que se ha hecho va al lado.</w:t>
      </w:r>
    </w:p>
    <w:p>
      <w:pPr>
        <w:pStyle w:val="ListBullet"/>
      </w:pPr>
      <w:r>
        <w:t>Lo que no se pudo leer en su fuente no entra, y se dice.</w:t>
      </w:r>
    </w:p>
    <w:p>
      <w:pPr>
        <w:pStyle w:val="ListBullet"/>
      </w:pPr>
      <w:r>
        <w:t>La lista de todas las fuentes de la obra, por tipo, se hace con la obra entera.</w:t>
      </w:r>
    </w:p>
    <w:p>
      <w:r>
        <w:br w:type="page"/>
      </w:r>
    </w:p>
    <w:p>
      <w:pPr>
        <w:pStyle w:val="Heading1"/>
      </w:pPr>
      <w:r>
        <w:t>Anexo J. La balanza equilibrada: lo que habría sido de ajustarse a lo recibido</w:t>
      </w:r>
    </w:p>
    <w:p>
      <w:pPr>
        <w:spacing w:after="200"/>
      </w:pPr>
      <w:r>
        <w:rPr>
          <w:rFonts w:ascii="Segoe UI" w:hAnsi="Segoe UI" w:eastAsia="Segoe UI" w:cs="Segoe UI"/>
          <w:color w:val="6B665E"/>
          <w:sz w:val="17"/>
        </w:rPr>
        <w:t>Primera versión: 9 de octubre de 2026 · Última revisión: 12 de octubre de 2026 · Cambios anotados en el capítulo: 8 · Citas leídas en su fuente: 28</w:t>
      </w:r>
    </w:p>
    <w:p>
      <w:pPr>
        <w:pBdr>
          <w:left w:val="single" w:sz="24" w:space="6" w:color="E2DED6"/>
        </w:pBdr>
        <w:shd w:val="clear" w:color="auto" w:fill="F1EEE8"/>
        <w:spacing w:before="80" w:after="160"/>
        <w:ind w:left="142" w:right="142"/>
      </w:pPr>
      <w:r>
        <w:rPr>
          <w:b/>
        </w:rPr>
        <w:t>En pocas palabras:</w:t>
      </w:r>
    </w:p>
    <w:p>
      <w:pPr>
        <w:pStyle w:val="ListBullet"/>
      </w:pPr>
      <w:r>
        <w:t>Este anexo no añade datos: explica el método con que la obra mide hacia dónde apunta cada cosa, y lo deja escrito para que cualquiera lo aplique.</w:t>
      </w:r>
    </w:p>
    <w:p>
      <w:pPr>
        <w:pStyle w:val="ListBullet"/>
      </w:pPr>
      <w:r>
        <w:t>Hay dos semillas: la que se recibe (la ley de Dios y la natural) y la que se siembra (la costumbre y la ley escrita). El árbol se tuerce cuando la segunda se corta de la primera o se pone por encima.</w:t>
      </w:r>
    </w:p>
    <w:p>
      <w:pPr>
        <w:pStyle w:val="ListBullet"/>
      </w:pPr>
      <w:r>
        <w:t>El dial mide una conducta entre dos vicios, uno por defecto y otro por exceso, con la virtud en el centro. El centro no lo pone quien mide: lo ponen las dos leyes de arriba, y se escribe antes de mirar los datos.</w:t>
      </w:r>
    </w:p>
    <w:p>
      <w:pPr>
        <w:pStyle w:val="ListBullet"/>
      </w:pPr>
      <w:r>
        <w:t>La balanza es para lo que se da y se recibe entre el ciudadano y el Estado; el dial, para la conducta de uno solo. La balanza equilibrada es el centro del dial.</w:t>
      </w:r>
    </w:p>
    <w:p>
      <w:pPr>
        <w:pStyle w:val="ListBullet"/>
      </w:pPr>
      <w:r>
        <w:t>Se miden normas, instituciones y situaciones, nunca personas; con números solo donde se cumplen cuatro condiciones, y con la mejor defensa del Estado al lado.</w:t>
      </w:r>
    </w:p>
    <w:p>
      <w:pPr>
        <w:pStyle w:val="Heading2"/>
      </w:pPr>
      <w:r>
        <w:t>J.0 Propósito</w:t>
      </w:r>
    </w:p>
    <w:p>
      <w:pPr>
        <w:pBdr>
          <w:left w:val="single" w:sz="24" w:space="6" w:color="E2DED6"/>
        </w:pBdr>
        <w:shd w:val="clear" w:color="auto" w:fill="F1EEE8"/>
        <w:spacing w:before="80" w:after="160"/>
        <w:ind w:left="142" w:right="142"/>
      </w:pPr>
      <w:r>
        <w:rPr>
          <w:b/>
        </w:rPr>
        <w:t>La idea: el dial no es un método nuevo. Es el segundo paso de la vara, los frutos, hecho visible: a la posición se le añade la dirección.</w:t>
      </w:r>
    </w:p>
    <w:p>
      <w:pPr>
        <w:pStyle w:val="Heading2"/>
      </w:pPr>
      <w:r>
        <w:t>J.1 Las dos semillas y los dos árboles</w:t>
      </w:r>
    </w:p>
    <w:p>
      <w:pPr>
        <w:pBdr>
          <w:left w:val="single" w:sz="24" w:space="6" w:color="E2DED6"/>
        </w:pBdr>
        <w:shd w:val="clear" w:color="auto" w:fill="F1EEE8"/>
        <w:spacing w:before="80" w:after="160"/>
        <w:ind w:left="142" w:right="142"/>
      </w:pPr>
      <w:r>
        <w:rPr>
          <w:b/>
        </w:rPr>
        <w:t>La idea: las dos semillas no son el bien y el mal, sino lo que se recibe y lo que se siembra. El árbol se tuerce cuando lo sembrado se corta de lo recibido o se pone por encima. De cada gesto que lo tuerce hay un camino de vuelta a lo recibido, y lo anda cada uno.</w:t>
      </w:r>
    </w:p>
    <w:p>
      <w:pPr>
        <w:pStyle w:val="Heading2"/>
      </w:pPr>
      <w:r>
        <w:t>J.2 El centro: quién lo pone y cómo se escribe</w:t>
      </w:r>
    </w:p>
    <w:p>
      <w:pPr>
        <w:pBdr>
          <w:left w:val="single" w:sz="24" w:space="6" w:color="E2DED6"/>
        </w:pBdr>
        <w:shd w:val="clear" w:color="auto" w:fill="F1EEE8"/>
        <w:spacing w:before="80" w:after="160"/>
        <w:ind w:left="142" w:right="142"/>
      </w:pPr>
      <w:r>
        <w:rPr>
          <w:b/>
        </w:rPr>
        <w:t>La idea: el centro no lo pone quien mide. Lo ponen la ley de Dios y la ley natural, por convergencia, y se escribe antes de mirar los datos.</w:t>
      </w:r>
    </w:p>
    <w:p>
      <w:pPr>
        <w:pStyle w:val="Heading2"/>
      </w:pPr>
      <w:r>
        <w:t>J.3 El dial</w:t>
      </w:r>
    </w:p>
    <w:p>
      <w:pPr>
        <w:pBdr>
          <w:left w:val="single" w:sz="24" w:space="6" w:color="E2DED6"/>
        </w:pBdr>
        <w:shd w:val="clear" w:color="auto" w:fill="F1EEE8"/>
        <w:spacing w:before="80" w:after="160"/>
        <w:ind w:left="142" w:right="142"/>
      </w:pPr>
      <w:r>
        <w:rPr>
          <w:b/>
        </w:rPr>
        <w:t>La idea: el dial mide una conducta entre dos vicios, uno por defecto y otro por exceso, con la virtud en el centro. El dial maestro del Estado es «servir»: a la izquierda, no cuida ni cumple; a la derecha, se sirve.</w:t>
      </w:r>
    </w:p>
    <w:p>
      <w:r>
        <w:rPr>
          <w:b/>
        </w:rPr>
        <w:t>Conclusión, lo que arrojan los datos:</w:t>
      </w:r>
      <w:r>
        <w:t xml:space="preserve"> seis tradiciones, Israel, el islam, la India, China, el budismo y Grecia, hablan de dos excesos y un medio, en materias distintas: el dinero, la comida y el sueño, el gobierno, la práctica y la vida elegida. </w:t>
      </w:r>
      <w:r>
        <w:rPr>
          <w:b/>
        </w:rPr>
        <w:t>Coinciden, no convergen:</w:t>
      </w:r>
      <w:r>
        <w:t xml:space="preserve"> casi todas las fechas son aproximadas y no está comprobado que sean independientes entre sí. No dicen lo mismo del medio: en unas es una medida; en otras, una suficiencia, un mandato o un camino; y Persia pide elegir un polo. Y ninguna dice que el centro lo ponga «la ley de Dios y la ley natural»: lo sugiere solo, y de lejos, el mandato de Dt 5:32.</w:t>
      </w:r>
    </w:p>
    <w:p>
      <w:pPr>
        <w:pStyle w:val="Heading2"/>
      </w:pPr>
      <w:r>
        <w:t>J.4 La balanza y el dial</w:t>
      </w:r>
    </w:p>
    <w:p>
      <w:pPr>
        <w:pBdr>
          <w:left w:val="single" w:sz="24" w:space="6" w:color="E2DED6"/>
        </w:pBdr>
        <w:shd w:val="clear" w:color="auto" w:fill="F1EEE8"/>
        <w:spacing w:before="80" w:after="160"/>
        <w:ind w:left="142" w:right="142"/>
      </w:pPr>
      <w:r>
        <w:rPr>
          <w:b/>
        </w:rPr>
        <w:t>La idea: la balanza es para lo que se da y se recibe entre dos; el dial, para la conducta de uno. La balanza equilibrada es el centro del dial.</w:t>
      </w:r>
    </w:p>
    <w:p>
      <w:pPr>
        <w:pStyle w:val="Heading2"/>
      </w:pPr>
      <w:r>
        <w:t>J.5 Las tres capas y la ficha</w:t>
      </w:r>
    </w:p>
    <w:p>
      <w:pPr>
        <w:pBdr>
          <w:left w:val="single" w:sz="24" w:space="6" w:color="E2DED6"/>
        </w:pBdr>
        <w:shd w:val="clear" w:color="auto" w:fill="F1EEE8"/>
        <w:spacing w:before="80" w:after="160"/>
        <w:ind w:left="142" w:right="142"/>
      </w:pPr>
      <w:r>
        <w:rPr>
          <w:b/>
        </w:rPr>
        <w:t>La idea: primero se dibuja el equilibrio; encima, lo creado; y después se mide la distancia y hacia dónde va. Cada cosa evaluada lleva una ficha de tres medidas.</w:t>
      </w:r>
    </w:p>
    <w:p>
      <w:pPr>
        <w:pStyle w:val="Heading2"/>
      </w:pPr>
      <w:r>
        <w:t>J.6 El piloto</w:t>
      </w:r>
    </w:p>
    <w:p>
      <w:pPr>
        <w:pBdr>
          <w:left w:val="single" w:sz="24" w:space="6" w:color="E2DED6"/>
        </w:pBdr>
        <w:shd w:val="clear" w:color="auto" w:fill="F1EEE8"/>
        <w:spacing w:before="80" w:after="160"/>
        <w:ind w:left="142" w:right="142"/>
      </w:pPr>
      <w:r>
        <w:rPr>
          <w:b/>
        </w:rPr>
        <w:t>La idea: el dial se prueba primero en pequeño, con las palabras del artículo 1.1 de la Constitución y con la dignidad, y solo lleva números si cumple cuatro condiciones.</w:t>
      </w:r>
    </w:p>
    <w:p>
      <w:r>
        <w:rPr>
          <w:b/>
        </w:rPr>
        <w:t>Conclusión, lo que arrojan los datos: los dos vicios a la vez.</w:t>
      </w:r>
      <w:r>
        <w:t xml:space="preserve"> Las flechas no van a un solo lado. Se alejan por defecto, el Estado no cuida, en lo que toca la vida diaria del ciudadano (</w:t>
      </w:r>
      <w:r>
        <w:t>7.4</w:t>
      </w:r>
      <w:r>
        <w:t>): la infancia, los plazos y la justicia gratuita, la reparación del error judicial, la respuesta a quien pregunta y los trámites; y también en el órgano de gobierno de los jueces, que no se renovó. Se alejan por exceso, el Estado se sirve, en lo que toca al acceso y al trato del propio poder: el tribunal de los aforados, la entrada de partidos nuevos y su dinero; y también en la presunción en lo sancionador. Una sola dimensión está cerca: el silencio que da la razón a quien pide para sí. Son los dos vicios del dial maestro, a los dos lados de servir (</w:t>
      </w:r>
      <w:r>
        <w:t>J.3</w:t>
      </w:r>
      <w:r>
        <w:t>).</w:t>
      </w:r>
    </w:p>
    <w:p>
      <w:pPr>
        <w:pStyle w:val="Heading2"/>
      </w:pPr>
      <w:r>
        <w:t>J.7 Lo que el dial no mide</w:t>
      </w:r>
    </w:p>
    <w:p>
      <w:pPr>
        <w:pBdr>
          <w:left w:val="single" w:sz="24" w:space="6" w:color="E2DED6"/>
        </w:pBdr>
        <w:shd w:val="clear" w:color="auto" w:fill="F1EEE8"/>
        <w:spacing w:before="80" w:after="160"/>
        <w:ind w:left="142" w:right="142"/>
      </w:pPr>
      <w:r>
        <w:rPr>
          <w:b/>
        </w:rPr>
        <w:t>La idea: el dial no mide intenciones ni personas, no sustituye a la auditoría y no dice que el Estado sea ilegítimo.</w:t>
      </w:r>
    </w:p>
    <w:p>
      <w:pPr>
        <w:pStyle w:val="Heading2"/>
      </w:pPr>
      <w:r>
        <w:t>J.8 La balanza, pesa a pesa</w:t>
      </w:r>
    </w:p>
    <w:p>
      <w:pPr>
        <w:pBdr>
          <w:left w:val="single" w:sz="24" w:space="6" w:color="E2DED6"/>
        </w:pBdr>
        <w:shd w:val="clear" w:color="auto" w:fill="F1EEE8"/>
        <w:spacing w:before="80" w:after="160"/>
        <w:ind w:left="142" w:right="142"/>
      </w:pPr>
      <w:r>
        <w:rPr>
          <w:b/>
        </w:rPr>
        <w:t>La idea: una sola pesa para todo, también para quien pesa: primero, ¿roca o arena?; después, por sus frutos, ¿sirve más allá de sí, se sirve, o no cuida ni cumple? Con ella se pesa aquí lo que expone el libro (lectura del autor).</w:t>
      </w:r>
    </w:p>
    <w:p>
      <w:pPr>
        <w:pStyle w:val="Heading2"/>
      </w:pPr>
      <w:r>
        <w:t>Límite honesto de la prueba</w:t>
      </w:r>
    </w:p>
    <w:p>
      <w:pPr>
        <w:pStyle w:val="ListBullet"/>
      </w:pPr>
      <w:r>
        <w:rPr>
          <w:b/>
        </w:rPr>
        <w:t>La capa del equilibrio tiene hoy pocos datos.</w:t>
      </w:r>
      <w:r>
        <w:t xml:space="preserve"> La obra tiene mucho sobre el árbol torcido (capítulos 5 a 9) y poco sobre cómo sería, rama a rama, una ley alineada con el Arca. Es un hueco, y se dice. </w:t>
      </w:r>
    </w:p>
    <w:p>
      <w:pPr>
        <w:pStyle w:val="ListBullet"/>
      </w:pPr>
      <w:r>
        <w:rPr>
          <w:b/>
        </w:rPr>
        <w:t>Faltan polos.</w:t>
      </w:r>
      <w:r>
        <w:t xml:space="preserve"> En dos de los nueve principios (P3 y P5), el Arca no tiene texto para uno de los dos vicios; se buscaron en lo ya leído y no se rellenan. </w:t>
      </w:r>
    </w:p>
    <w:p>
      <w:pPr>
        <w:pStyle w:val="ListBullet"/>
      </w:pPr>
      <w:r>
        <w:rPr>
          <w:b/>
        </w:rPr>
        <w:t>Las fechas que ordenan los textos son de nivel B</w:t>
      </w:r>
      <w:r>
        <w:t xml:space="preserve"> (enciclopedia), salvo las que la obra ya tenía en su fuente; el orden es el de cómo se formularon los criterios en la historia, no el de este libro. </w:t>
      </w:r>
    </w:p>
    <w:p>
      <w:pPr>
        <w:pStyle w:val="ListBullet"/>
      </w:pPr>
      <w:r>
        <w:rPr>
          <w:b/>
        </w:rPr>
        <w:t>Los números van solo en el piloto,</w:t>
      </w:r>
      <w:r>
        <w:t xml:space="preserve"> y el piloto va aquí como diseño: sus umbrales se escriben con el autor antes de mirar los datos, y hasta entonces no hay cifra. </w:t>
      </w:r>
    </w:p>
    <w:p>
      <w:pPr>
        <w:pStyle w:val="ListBullet"/>
      </w:pPr>
      <w:r>
        <w:rPr>
          <w:b/>
        </w:rPr>
        <w:t>Llevar la virtud de Aristóteles, que es de una persona, a las leyes y a las instituciones es una extensión del autor</w:t>
      </w:r>
      <w:r>
        <w:t xml:space="preserve"> (anexo del 4.3). Este anexo la convierte en método y lo dice; no la presenta como dato. </w:t>
      </w:r>
    </w:p>
    <w:p>
      <w:pPr>
        <w:pStyle w:val="ListBullet"/>
      </w:pPr>
      <w:r>
        <w:rPr>
          <w:b/>
        </w:rPr>
        <w:t>La doble polaridad se leyó en 30 pasajes de 11 tradiciones, y la independencia entre ellas no está comprobada.</w:t>
      </w:r>
      <w:r>
        <w:t xml:space="preserve"> Maimónides y Horacio dependen de Aristóteles; de China, el budismo, la India, el Israel bíblico y el Corán no se ha comprobado ni contacto ni independencia respecto de Grecia. Por eso se dice «coinciden», no «convergen». El Corán 25:67, Mencio 7A26, las Analectas XIII,21 y el Yasna 30 vienen de transcripciones no cotejadas con edición impresa (nivel B).</w:t>
      </w:r>
    </w:p>
    <w:p>
      <w:pPr>
        <w:pStyle w:val="Heading2"/>
      </w:pPr>
      <w:r>
        <w:t>Dónde se oye la defensa del Estado</w:t>
      </w:r>
    </w:p>
    <w:p>
      <w:r>
        <w:t xml:space="preserve">La defensa del Estado frente a este anexo («la obra no es neutral: la vara la pone el autor»; «un dial es una opinión con forma de cifra»), y lo que la obra le responde (el centro lo pone lo que converge, se escribe antes de medir y se aplica a los dos lados), se oyen en el juicio: </w:t>
      </w:r>
      <w:r>
        <w:t>11.2</w:t>
      </w:r>
      <w:r>
        <w:t>, las cuestiones previas.</w:t>
      </w:r>
    </w:p>
    <w:p>
      <w:pPr>
        <w:pStyle w:val="Heading2"/>
      </w:pPr>
      <w:r>
        <w:t>Para recordar</w:t>
      </w:r>
    </w:p>
    <w:p>
      <w:pPr>
        <w:pStyle w:val="ListBullet"/>
      </w:pPr>
      <w:r>
        <w:t>El dial no es un método nuevo: es el segundo paso de la vara, los frutos, con la posición y la dirección a la vista.</w:t>
      </w:r>
    </w:p>
    <w:p>
      <w:pPr>
        <w:pStyle w:val="ListBullet"/>
      </w:pPr>
      <w:r>
        <w:t>Dos semillas: la que se recibe y la que se siembra. El árbol se tuerce cuando lo sembrado se corta de lo recibido o se pone por encima.</w:t>
      </w:r>
    </w:p>
    <w:p>
      <w:pPr>
        <w:pStyle w:val="ListBullet"/>
      </w:pPr>
      <w:r>
        <w:t>El centro lo ponen la ley de Dios y la ley natural, por convergencia, y se escribe antes de mirar los datos.</w:t>
      </w:r>
    </w:p>
    <w:p>
      <w:pPr>
        <w:pStyle w:val="ListBullet"/>
      </w:pPr>
      <w:r>
        <w:t>El dial maestro es «servir»: a la izquierda, no cuida ni cumple; a la derecha, se sirve. La balanza equilibrada es su centro.</w:t>
      </w:r>
    </w:p>
    <w:p>
      <w:pPr>
        <w:pStyle w:val="ListBullet"/>
      </w:pPr>
      <w:r>
        <w:t>Se miden cosas, nunca personas; con número solo donde se cumplen cuatro condiciones, y con la mejor defensa al lado.</w:t>
      </w:r>
    </w:p>
    <w:p>
      <w:pPr>
        <w:pStyle w:val="ListBullet"/>
      </w:pPr>
      <w:r>
        <w:t xml:space="preserve">Una sola pesa para todo, también para quien pesa: ¿roca o arena? Y, por sus frutos, ¿sirve más allá de sí, se sirve, o no cuida ni cumple? Con ella se pesa en </w:t>
      </w:r>
      <w:r>
        <w:t>J.8</w:t>
      </w:r>
      <w:r>
        <w:t xml:space="preserve"> lo que expone el libro, con lo que pesa en el otro plato al lado (lectura del autor).</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el texto de cada cita en su fuente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el texto de cada cita en su fuente · la obra entera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Apocalipsis del Sistema · Las conclusiones, con el texto de cada cita en su fuente</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