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las referencias que las sostienen y las refutan</w:t>
      </w:r>
    </w:p>
    <w:p>
      <w:pPr>
        <w:pStyle w:val="Heading1"/>
      </w:pPr>
      <w:r>
        <w:t>Anexo I. Las fuentes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12 de octubre de 2026 · Cambios anotados en el capítulo: 3 · Citas leídas en su fuente: 38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Este anexo reúne las citas de las tradiciones y de los textos clásicos que la obra usa, cada una con su fuente, para que cualquiera pueda comprobarlas.</w:t>
      </w:r>
    </w:p>
    <w:p>
      <w:pPr>
        <w:pStyle w:val="ListBullet"/>
      </w:pPr>
      <w:r>
        <w:t>Va por bloques: la Biblia y los autores cristianos; el judaísmo y el islam; China; la India; Grecia y Roma; la historia del poder; los textos modernos; y las leyes y sentencias.</w:t>
      </w:r>
    </w:p>
    <w:p>
      <w:pPr>
        <w:pStyle w:val="ListBullet"/>
      </w:pPr>
      <w:r>
        <w:t>Lo que ya se explica en un capítulo no se repite: se nombra, con su apartado. Lo demás va con su texto, en las palabras de su fuente.</w:t>
      </w:r>
    </w:p>
    <w:p>
      <w:pPr>
        <w:pStyle w:val="ListBullet"/>
      </w:pPr>
      <w:r>
        <w:t>Lo que no se pudo leer en su fuente no entra, y se dice.</w:t>
      </w:r>
    </w:p>
    <w:p>
      <w:pPr>
        <w:pStyle w:val="ListBullet"/>
      </w:pPr>
      <w:r>
        <w:t xml:space="preserve">Al final, </w:t>
      </w:r>
      <w:r>
        <w:t>I.9</w:t>
      </w:r>
      <w:r>
        <w:t xml:space="preserve"> trae todas las fuentes de la obra en una sola lista, por tipo, con los apartados donde se usa cada una.</w:t>
      </w:r>
    </w:p>
    <w:p>
      <w:pPr>
        <w:pStyle w:val="Heading2"/>
      </w:pPr>
      <w:r>
        <w:t>I.0 Propósito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cita de la obra tiene su fuente; este anexo reúne las de las tradiciones y los textos clásicos, con el apartado donde se usan.</w:t>
      </w:r>
    </w:p>
    <w:p>
      <w:pPr>
        <w:pStyle w:val="Heading2"/>
      </w:pPr>
      <w:r>
        <w:t>I.1 La Biblia y los autores cristianos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citas de la Biblia y de los autores cristianos que la obra usa, cada una con su lugar; las que ya se explican en un capítulo, solo nombradas.</w:t>
      </w:r>
    </w:p>
    <w:p>
      <w:pPr>
        <w:pStyle w:val="Heading2"/>
      </w:pPr>
      <w:r>
        <w:t>I.2 El judaísmo y el islam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citas de la tradición judía y del Corán que la obra usa; el Corán, en la traducción de Julio Cortés, y el árabe al lado donde dice más.</w:t>
      </w:r>
    </w:p>
    <w:p>
      <w:pPr>
        <w:pStyle w:val="Heading2"/>
      </w:pPr>
      <w:r>
        <w:t>I.3 China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Confucio juzga por los actos, no solo por las palabras, y da una sola palabra por regla de toda la vida: la reciprocidad.</w:t>
      </w:r>
    </w:p>
    <w:p>
      <w:pPr>
        <w:pStyle w:val="Heading2"/>
      </w:pPr>
      <w:r>
        <w:t>I.4 La India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Gita describe al que vive sin «mío» y sin «yo», y el Dhammapada pide distinguir lo esencial de lo que no lo es.</w:t>
      </w:r>
    </w:p>
    <w:p>
      <w:pPr>
        <w:pStyle w:val="Heading2"/>
      </w:pPr>
      <w:r>
        <w:t>I.5 Grecia y Roma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textos de Grecia y Roma que la obra usa ya están en sus capítulos; aquí, solo su lugar.</w:t>
      </w:r>
    </w:p>
    <w:p>
      <w:pPr>
        <w:pStyle w:val="Heading2"/>
      </w:pPr>
      <w:r>
        <w:t>I.6 La historia del poder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los textos del poder que se dice sagrado, y de los que se corrigieron, ya están en el </w:t>
      </w:r>
      <w:r>
        <w:rPr>
          <w:b/>
        </w:rPr>
        <w:t>capítulo 6</w:t>
      </w:r>
      <w:r>
        <w:rPr>
          <w:b/>
        </w:rPr>
        <w:t>; aquí, solo su lugar.</w:t>
      </w:r>
    </w:p>
    <w:p>
      <w:pPr>
        <w:pStyle w:val="Heading2"/>
      </w:pPr>
      <w:r>
        <w:t>I.7 Los textos modernos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línea entre el bien y el mal pasa por cada corazón, el fin del Estado es la libertad, y lo de abajo es como lo de arriba.</w:t>
      </w:r>
    </w:p>
    <w:p>
      <w:pPr>
        <w:pStyle w:val="Heading2"/>
      </w:pPr>
      <w:r>
        <w:t>I.8 Las leyes y las sentencias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las leyes y sentencias de la prensa libre y del control del poder ya están en el </w:t>
      </w:r>
      <w:r>
        <w:rPr>
          <w:b/>
        </w:rPr>
        <w:t>capítulo 10</w:t>
      </w:r>
      <w:r>
        <w:rPr>
          <w:b/>
        </w:rPr>
        <w:t>; aquí, solo su lugar.</w:t>
      </w:r>
    </w:p>
    <w:p>
      <w:pPr>
        <w:pStyle w:val="Heading2"/>
      </w:pPr>
      <w:r>
        <w:t>I.9 Todas las fuentes de la obra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fuente que la obra cita, en una sola lista y por tipo, con los apartados donde se usa.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Lo que no se leyó no entra.</w:t>
      </w:r>
      <w:r>
        <w:t xml:space="preserve"> De la lista de la pieza quedan fuera, por no haberse leído en su fuente: Mt 22:39 (la misma frase está en Lv 19:18 y Gá 5:14, </w:t>
      </w:r>
      <w:r>
        <w:t>I.1</w:t>
      </w:r>
      <w:r>
        <w:t xml:space="preserve">), Ez 33:6, el </w:t>
      </w:r>
      <w:r>
        <w:rPr>
          <w:i/>
        </w:rPr>
        <w:t>bitul</w:t>
      </w:r>
      <w:r>
        <w:t xml:space="preserve"> jasídico y el </w:t>
      </w:r>
      <w:r>
        <w:rPr>
          <w:i/>
        </w:rPr>
        <w:t>fana'</w:t>
      </w:r>
      <w:r>
        <w:t xml:space="preserve"> sufí, el Kalama Sutta, el comentario de Jung al Bardo Thodol, Kant y la publicidad, y el origen de la expresión «la gran mentira». Tampoco la fecha de la Tabla Esmeralda. Mc 10:45 se leyó después en la Reina-Valera Antigua y dice lo mismo que Mt 20:28 (</w:t>
      </w:r>
      <w:r>
        <w:t>3.6</w:t>
      </w:r>
      <w:r>
        <w:t>), que es el que se cita.</w:t>
      </w:r>
    </w:p>
    <w:p>
      <w:pPr>
        <w:pStyle w:val="ListBullet"/>
      </w:pPr>
      <w:r>
        <w:rPr>
          <w:b/>
        </w:rPr>
        <w:t>Algunas traducciones no salen del original.</w:t>
      </w:r>
      <w:r>
        <w:t xml:space="preserve"> Las Analectas 5.10 y 15.24 se tradujeron de la versión inglesa de Legge, y el Dhammapada 11-12, de la de Müller y de la de Sujato; se dice en cada una. Los hadices de Sahih al-Bujari y de Sahih Muslim se leyeron en una copia de datos de la colección, no en una edición impresa: van como fuente secundaria (</w:t>
      </w:r>
      <w:r>
        <w:t>2.5</w:t>
      </w:r>
      <w:r>
        <w:t xml:space="preserve"> y </w:t>
      </w:r>
      <w:r>
        <w:t>anexo F</w:t>
      </w:r>
      <w:r>
        <w:t>).</w:t>
      </w:r>
    </w:p>
    <w:p>
      <w:pPr>
        <w:pStyle w:val="Heading2"/>
      </w:pPr>
      <w:r>
        <w:t>Dónde se oye la defensa del Estado</w:t>
      </w:r>
    </w:p>
    <w:p>
      <w:r>
        <w:t>La defensa del Estado frente a las fuentes de la obra, y lo que la obra le responde, se oyen en el juicio, en las cuestiones previas (</w:t>
      </w:r>
      <w:r>
        <w:t>11.2</w:t>
      </w:r>
      <w:r>
        <w:t>): «Las citas son de opositores ideológicos, y algunas no están verificadas» (n.º 13) y «El Estado es aconfesional» (n.º 5).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Cada cita de la obra tiene su fuente; las de las tradiciones y los textos clásicos están aquí, por bloques, con el apartado donde se usan.</w:t>
      </w:r>
    </w:p>
    <w:p>
      <w:pPr>
        <w:pStyle w:val="ListBullet"/>
      </w:pPr>
      <w:r>
        <w:t>Cada cita va en las palabras de su fuente; donde la edición traduce, el texto del que se ha hecho va al lado.</w:t>
      </w:r>
    </w:p>
    <w:p>
      <w:pPr>
        <w:pStyle w:val="ListBullet"/>
      </w:pPr>
      <w:r>
        <w:t>Lo que no se pudo leer en su fuente no entra, y se dice.</w:t>
      </w:r>
    </w:p>
    <w:p>
      <w:pPr>
        <w:pStyle w:val="ListBullet"/>
      </w:pPr>
      <w:r>
        <w:t>La lista de todas las fuentes de la obra, por tipo, se hace con la obra entera.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las referencias que las sostienen y las refutan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las referencias que las sostienen y las refutan · Anexo I. Las fuentes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I. Las fuentes · Las conclusiones, con las referencias que las sostienen y las refutan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