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las referencias que las sostienen y las refutan</w:t>
      </w:r>
    </w:p>
    <w:p>
      <w:pPr>
        <w:pStyle w:val="Heading1"/>
      </w:pPr>
      <w:r>
        <w:t>Anexo F. El Arca: los textos de cada tradición, con su fuente</w:t>
      </w:r>
    </w:p>
    <w:p>
      <w:pPr>
        <w:spacing w:after="200"/>
      </w:pPr>
      <w:r>
        <w:rPr>
          <w:rFonts w:ascii="Segoe UI" w:hAnsi="Segoe UI" w:eastAsia="Segoe UI" w:cs="Segoe UI"/>
          <w:color w:val="6B665E"/>
          <w:sz w:val="17"/>
        </w:rPr>
        <w:t>Primera versión: 7 de octubre de 2026 · Última revisión: 12 de octubre de 2026 · Cambios anotados en el capítulo: 13 · Citas leídas en su fuente: 423</w:t>
      </w:r>
    </w:p>
    <w:p>
      <w:pPr>
        <w:pBdr>
          <w:left w:val="single" w:sz="24" w:space="6" w:color="E2DED6"/>
        </w:pBdr>
        <w:shd w:val="clear" w:color="auto" w:fill="F1EEE8"/>
        <w:spacing w:before="80" w:after="160"/>
        <w:ind w:left="142" w:right="142"/>
      </w:pPr>
      <w:r>
        <w:rPr>
          <w:b/>
        </w:rPr>
        <w:t>En pocas palabras:</w:t>
      </w:r>
    </w:p>
    <w:p>
      <w:pPr>
        <w:pStyle w:val="ListBullet"/>
      </w:pPr>
      <w:r>
        <w:t xml:space="preserve">Este anexo reúne los textos del Arca que no caben en el </w:t>
      </w:r>
      <w:r>
        <w:t>capítulo 3</w:t>
      </w:r>
      <w:r>
        <w:t xml:space="preserve">, cada uno con su fuente, ordenados por tradición y por principio. Lo que ya está en el </w:t>
      </w:r>
      <w:r>
        <w:t>capítulo 3</w:t>
      </w:r>
      <w:r>
        <w:t xml:space="preserve"> no se repite: se nombra, con su remisión.</w:t>
      </w:r>
    </w:p>
    <w:p>
      <w:pPr>
        <w:pStyle w:val="ListBullet"/>
      </w:pPr>
      <w:r>
        <w:t>Seis bloques de tradiciones (la Biblia; el islam, Persia y la tradición rabínica; China; el antiguo Oriente, Egipto, Grecia y Roma; la India; y África, América y Oceanía) repiten los nueve principios, y cada uno tiene su pata coja, dicha.</w:t>
      </w:r>
    </w:p>
    <w:p>
      <w:pPr>
        <w:pStyle w:val="ListBullet"/>
      </w:pPr>
      <w:r>
        <w:t>El pan propio, ganado con el propio trabajo, lo mandan ocho textos de seis civilizaciones a lo largo de unos tres mil quinientos años.</w:t>
      </w:r>
    </w:p>
    <w:p>
      <w:pPr>
        <w:pStyle w:val="ListBullet"/>
      </w:pPr>
      <w:r>
        <w:t>Pueblos que se dieron su orden por su cuenta coinciden en la tierra en común, la compensación del daño y la decisión en consejo.</w:t>
      </w:r>
    </w:p>
    <w:p>
      <w:pPr>
        <w:pStyle w:val="ListBullet"/>
      </w:pPr>
      <w:r>
        <w:t>Tres lenguas antiguas llaman a la falta «errar el blanco»: un error de dirección, que se puede corregir.</w:t>
      </w:r>
    </w:p>
    <w:p>
      <w:pPr>
        <w:pStyle w:val="ListBullet"/>
      </w:pPr>
      <w:r>
        <w:t>Doce tradiciones, leídas con la misma pregunta, dicen qué se dio para vivir, qué se perdió y por dónde se vuelve: sus pasajes, cada uno con su fuente, están al final.</w:t>
      </w:r>
    </w:p>
    <w:p>
      <w:pPr>
        <w:pStyle w:val="Heading2"/>
      </w:pPr>
      <w:r>
        <w:t>F.0 Propósito</w:t>
      </w:r>
    </w:p>
    <w:p>
      <w:pPr>
        <w:pBdr>
          <w:left w:val="single" w:sz="24" w:space="6" w:color="E2DED6"/>
        </w:pBdr>
        <w:shd w:val="clear" w:color="auto" w:fill="F1EEE8"/>
        <w:spacing w:before="80" w:after="160"/>
        <w:ind w:left="142" w:right="142"/>
      </w:pPr>
      <w:r>
        <w:rPr>
          <w:b/>
        </w:rPr>
        <w:t xml:space="preserve">La idea: el </w:t>
      </w:r>
      <w:r>
        <w:rPr>
          <w:b/>
        </w:rPr>
        <w:t>capítulo 3</w:t>
      </w:r>
      <w:r>
        <w:rPr>
          <w:b/>
        </w:rPr>
        <w:t xml:space="preserve"> da, de cada principio del Arca, las pruebas más fuertes; este anexo da las demás, cada una con su fuente, para que cualquiera pueda comprobarlas.</w:t>
      </w:r>
    </w:p>
    <w:p>
      <w:pPr>
        <w:pStyle w:val="Heading2"/>
      </w:pPr>
      <w:r>
        <w:t>F.1 La Biblia</w:t>
      </w:r>
    </w:p>
    <w:p>
      <w:pPr>
        <w:pBdr>
          <w:left w:val="single" w:sz="24" w:space="6" w:color="E2DED6"/>
        </w:pBdr>
        <w:shd w:val="clear" w:color="auto" w:fill="F1EEE8"/>
        <w:spacing w:before="80" w:after="160"/>
        <w:ind w:left="142" w:right="142"/>
      </w:pPr>
      <w:r>
        <w:rPr>
          <w:b/>
        </w:rPr>
        <w:t>La idea: la Biblia pone al rey bajo la ley y no por encima de sus hermanos, y acusa al pastor que se apacienta a sí mismo.</w:t>
      </w:r>
    </w:p>
    <w:p>
      <w:pPr>
        <w:pStyle w:val="Heading2"/>
      </w:pPr>
      <w:r>
        <w:t>F.2 El islam, Persia y la tradición rabínica</w:t>
      </w:r>
    </w:p>
    <w:p>
      <w:pPr>
        <w:pBdr>
          <w:left w:val="single" w:sz="24" w:space="6" w:color="E2DED6"/>
        </w:pBdr>
        <w:shd w:val="clear" w:color="auto" w:fill="F1EEE8"/>
        <w:spacing w:before="80" w:after="160"/>
        <w:ind w:left="142" w:right="142"/>
      </w:pPr>
      <w:r>
        <w:rPr>
          <w:b/>
        </w:rPr>
        <w:t>La idea: el Corán, la Mishná, el Talmud y el Avesta repiten los nueve principios, y la tradición rabínica da la regla más directa contra las cargas imposibles; las tres tienen su pata coja.</w:t>
      </w:r>
    </w:p>
    <w:p>
      <w:pPr>
        <w:pStyle w:val="Heading2"/>
      </w:pPr>
      <w:r>
        <w:t>F.3 China</w:t>
      </w:r>
    </w:p>
    <w:p>
      <w:pPr>
        <w:pBdr>
          <w:left w:val="single" w:sz="24" w:space="6" w:color="E2DED6"/>
        </w:pBdr>
        <w:shd w:val="clear" w:color="auto" w:fill="F1EEE8"/>
        <w:spacing w:before="80" w:after="160"/>
        <w:ind w:left="142" w:right="142"/>
      </w:pPr>
      <w:r>
        <w:rPr>
          <w:b/>
        </w:rPr>
        <w:t>La idea: los clásicos chinos dicen que el gobernante existe para el pueblo, que el diezmo es la medida justa y que multiplicar los reglamentos anuncia la ruina; su pata coja, el legalismo, fundó el primer imperio.</w:t>
      </w:r>
    </w:p>
    <w:p>
      <w:pPr>
        <w:pStyle w:val="Heading2"/>
      </w:pPr>
      <w:r>
        <w:t>F.4 El antiguo Oriente, Egipto, Grecia y Roma</w:t>
      </w:r>
    </w:p>
    <w:p>
      <w:pPr>
        <w:pBdr>
          <w:left w:val="single" w:sz="24" w:space="6" w:color="E2DED6"/>
        </w:pBdr>
        <w:shd w:val="clear" w:color="auto" w:fill="F1EEE8"/>
        <w:spacing w:before="80" w:after="160"/>
        <w:ind w:left="142" w:right="142"/>
      </w:pPr>
      <w:r>
        <w:rPr>
          <w:b/>
        </w:rPr>
        <w:t>La idea: desde los primeros códigos de Mesopotamia hasta Roma, el poder se justifica por proteger al débil; y de la misma época son los textos más antiguos del pan propio.</w:t>
      </w:r>
    </w:p>
    <w:p>
      <w:pPr>
        <w:pStyle w:val="Heading2"/>
      </w:pPr>
      <w:r>
        <w:t>F.5 La India</w:t>
      </w:r>
    </w:p>
    <w:p>
      <w:pPr>
        <w:pBdr>
          <w:left w:val="single" w:sz="24" w:space="6" w:color="E2DED6"/>
        </w:pBdr>
        <w:shd w:val="clear" w:color="auto" w:fill="F1EEE8"/>
        <w:spacing w:before="80" w:after="160"/>
        <w:ind w:left="142" w:right="142"/>
      </w:pPr>
      <w:r>
        <w:rPr>
          <w:b/>
        </w:rPr>
        <w:t>La idea: la épica, las leyes y el canon budista dicen que el rey que no protege es un ladrón y que el impuesto se recoge como la fruta madura; su pata coja es un manual para llenar el tesoro.</w:t>
      </w:r>
    </w:p>
    <w:p>
      <w:pPr>
        <w:pStyle w:val="Heading2"/>
      </w:pPr>
      <w:r>
        <w:t>F.6 África, América y Oceanía</w:t>
      </w:r>
    </w:p>
    <w:p>
      <w:pPr>
        <w:pBdr>
          <w:left w:val="single" w:sz="24" w:space="6" w:color="E2DED6"/>
        </w:pBdr>
        <w:shd w:val="clear" w:color="auto" w:fill="F1EEE8"/>
        <w:spacing w:before="80" w:after="160"/>
        <w:ind w:left="142" w:right="142"/>
      </w:pPr>
      <w:r>
        <w:rPr>
          <w:b/>
        </w:rPr>
        <w:t>La idea: hawaianos, basutos, yorubas, iroqueses, ashanti, mexicas, incas y etíopes contaban de sí mismos que el jefe debe sostener al pueblo, y también dejaron escrita su pata coja.</w:t>
      </w:r>
    </w:p>
    <w:p>
      <w:pPr>
        <w:pStyle w:val="Heading2"/>
      </w:pPr>
      <w:r>
        <w:t>F.7 Los órdenes de costumbre</w:t>
      </w:r>
    </w:p>
    <w:p>
      <w:pPr>
        <w:pBdr>
          <w:left w:val="single" w:sz="24" w:space="6" w:color="E2DED6"/>
        </w:pBdr>
        <w:shd w:val="clear" w:color="auto" w:fill="F1EEE8"/>
        <w:spacing w:before="80" w:after="160"/>
        <w:ind w:left="142" w:right="142"/>
      </w:pPr>
      <w:r>
        <w:rPr>
          <w:b/>
        </w:rPr>
        <w:t>La idea: pueblos que se dieron su orden por su cuenta coinciden en la tierra en común, la compensación del daño y la decisión en consejo; el parecido no prueba un mismo origen, pero muestra que el orden no nació con la ley de los Estados modernos.</w:t>
      </w:r>
    </w:p>
    <w:p>
      <w:r>
        <w:rPr>
          <w:b/>
        </w:rPr>
        <w:t>Conclusión, lo que arrojan los datos:</w:t>
      </w:r>
      <w:r>
        <w:t xml:space="preserve"> con la vara de la convergencia, que separa las patas independientes (</w:t>
      </w:r>
      <w:r>
        <w:t>1.4</w:t>
      </w:r>
      <w:r>
        <w:t xml:space="preserve"> y </w:t>
      </w:r>
      <w:r>
        <w:t>3.1</w:t>
      </w:r>
      <w:r>
        <w:t xml:space="preserve">) de las piezas de refuerzo, cuentan como patas los pueblos que se dieron su orden por su cuenta: inuit, lakota, haudenosaunee, mexicas, irlandeses, andinos, aborígenes australianos y maoríes. Coinciden, cada uno leído en su fuente, en la tierra en común, la compensación del daño y la decisión en consejo. Quedan como refuerzo, porque no son costumbre propia e independiente: el Althing, que tomó la ley noruega; el </w:t>
      </w:r>
      <w:r>
        <w:rPr>
          <w:i/>
        </w:rPr>
        <w:t>xeer</w:t>
      </w:r>
      <w:r>
        <w:t>, que integra la sharía; el Vinaya, que es un código monástico; la Yassa, que es la ley de un conquistador; el mir, de origen incierto y del que el Estado se sirvió para cobrar; y el ubuntu, que llegó a la reconciliación por una constitución moderna. El parecido no prueba un mismo origen (Boas). Lo que sí muestran es que el orden no nació con la ley de los Estados modernos.</w:t>
      </w:r>
    </w:p>
    <w:p>
      <w:pPr>
        <w:pStyle w:val="Heading2"/>
      </w:pPr>
      <w:r>
        <w:t>F.8 Errar el blanco, en una tercera lengua</w:t>
      </w:r>
    </w:p>
    <w:p>
      <w:pPr>
        <w:pBdr>
          <w:left w:val="single" w:sz="24" w:space="6" w:color="E2DED6"/>
        </w:pBdr>
        <w:shd w:val="clear" w:color="auto" w:fill="F1EEE8"/>
        <w:spacing w:before="80" w:after="160"/>
        <w:ind w:left="142" w:right="142"/>
      </w:pPr>
      <w:r>
        <w:rPr>
          <w:b/>
        </w:rPr>
        <w:t>La idea: el sánscrito, como el griego y el hebreo, nombra la falta con la imagen del tiro que yerra el blanco.</w:t>
      </w:r>
    </w:p>
    <w:p>
      <w:r>
        <w:rPr>
          <w:b/>
        </w:rPr>
        <w:t>Conclusión, lo que arrojan los datos:</w:t>
      </w:r>
      <w:r>
        <w:t xml:space="preserve"> tres lenguas antiguas, el griego, el hebreo y el sánscrito, nombran la falta con la imagen del tiro que yerra: el error moral como una falta de dirección, que se puede corregir.</w:t>
      </w:r>
    </w:p>
    <w:p>
      <w:pPr>
        <w:pStyle w:val="Heading2"/>
      </w:pPr>
      <w:r>
        <w:t>F.9 Las reglas del juego de la vida, tradición por tradición</w:t>
      </w:r>
    </w:p>
    <w:p>
      <w:pPr>
        <w:pBdr>
          <w:left w:val="single" w:sz="24" w:space="6" w:color="E2DED6"/>
        </w:pBdr>
        <w:shd w:val="clear" w:color="auto" w:fill="F1EEE8"/>
        <w:spacing w:before="80" w:after="160"/>
        <w:ind w:left="142" w:right="142"/>
      </w:pPr>
      <w:r>
        <w:rPr>
          <w:b/>
        </w:rPr>
        <w:t xml:space="preserve">La idea: aquí están los pasajes de </w:t>
      </w:r>
      <w:r>
        <w:rPr>
          <w:b/>
        </w:rPr>
        <w:t>3.7</w:t>
      </w:r>
      <w:r>
        <w:rPr>
          <w:b/>
        </w:rPr>
        <w:t>, en sus doce tradiciones, cada uno con su fuente: qué se dio, qué se perdió y por dónde se vuelve; los del cribado, que el camino lo anda cada uno, el aviso antes de la consecuencia y quién la ejecuta; los del remate, que todo se ve y, en la mayoría, todo queda escrito; los del séptimo sello, tal como lo dice el texto; los del ungido; y dónde el texto dice algo distinto de lo que se esperaba.</w:t>
      </w:r>
    </w:p>
    <w:p>
      <w:pPr>
        <w:pStyle w:val="Heading2"/>
      </w:pPr>
      <w:r>
        <w:t>Límite honesto de la prueba</w:t>
      </w:r>
    </w:p>
    <w:p>
      <w:pPr>
        <w:pStyle w:val="ListBullet"/>
      </w:pPr>
      <w:r>
        <w:rPr>
          <w:b/>
        </w:rPr>
        <w:t>La convergencia no es unanimidad.</w:t>
      </w:r>
      <w:r>
        <w:t xml:space="preserve"> Cada bloque tiene su pata coja, y se dice entera; algunos principios son débiles en algún bloque: P3 en América (tres citas de un mismo autor), P5 en África y América, y P9 en la India y en África, América y Oceanía, donde ningún texto lo dice directamente. Ninguna tradición tiene un texto expreso contra las multas como ingreso del poder.</w:t>
      </w:r>
    </w:p>
    <w:p>
      <w:pPr>
        <w:pStyle w:val="ListBullet"/>
      </w:pPr>
      <w:r>
        <w:rPr>
          <w:b/>
        </w:rPr>
        <w:t>La salida violenta no es la de la obra.</w:t>
      </w:r>
      <w:r>
        <w:t xml:space="preserve"> Algunos textos admiten acabar con el mal gobernante (Mencio 1B8, Mahabharata 13.60.20, Oyó y la Gran Ley iroquesa). La obra toma el principio, no esa salida: no invita a desobedecer, y su vía es la constancia escrita (</w:t>
      </w:r>
      <w:r>
        <w:t>capítulo 10</w:t>
      </w:r>
      <w:r>
        <w:t>).</w:t>
      </w:r>
    </w:p>
    <w:p>
      <w:pPr>
        <w:pStyle w:val="ListBullet"/>
      </w:pPr>
      <w:r>
        <w:rPr>
          <w:b/>
        </w:rPr>
        <w:t>Los hadices</w:t>
      </w:r>
      <w:r>
        <w:t xml:space="preserve"> se leyeron en una copia de datos, no en su edición impresa: van como fuente secundaria hasta cotejarlos. Y quedan sin examinar con la prueba de quién escribe la pata coja (</w:t>
      </w:r>
      <w:r>
        <w:t>3.4</w:t>
      </w:r>
      <w:r>
        <w:t>) los hadices de obediencia, los textos rabínicos de la pata coja y el Avesta.</w:t>
      </w:r>
    </w:p>
    <w:p>
      <w:pPr>
        <w:pStyle w:val="ListBullet"/>
      </w:pPr>
      <w:r>
        <w:rPr>
          <w:b/>
        </w:rPr>
        <w:t>Lo que no se leyó no entra.</w:t>
      </w:r>
      <w:r>
        <w:t xml:space="preserve"> Los agentes que buscaron los textos trajeron otros que no se leyeron en su fuente: el Popol Vuh (para los principios del Arca; se leyó después para otras cosas: </w:t>
      </w:r>
      <w:r>
        <w:t>2.3</w:t>
      </w:r>
      <w:r>
        <w:t xml:space="preserve"> y </w:t>
      </w:r>
      <w:r>
        <w:t>F.9</w:t>
      </w:r>
      <w:r>
        <w:t xml:space="preserve">), Grinnell sobre los cheyenes, la Constitución de Hawái (la ley del remo astillado), la Fetha Nagast, un estudio del </w:t>
      </w:r>
      <w:r>
        <w:rPr>
          <w:i/>
        </w:rPr>
        <w:t>xeer</w:t>
      </w:r>
      <w:r>
        <w:t xml:space="preserve"> de 2023, la Udyoga Parva 5.34, la Sabha Parva 2.5, la Brihadaranyaka 1.4.14, el edicto en roca 6 de Ashoka y los Angs 1032 y 145 del Guru Granth Sahib. Y dos que serían pata coja de P6, contra la cancelación de deudas: Cicerón, De officiis II, 78 y 84, que no apareció en la copia del latín, y Platón, Leyes V. No se encontraron el edicto de Ammisaduqa, cuyas traducciones tienen derechos de autor, ni la frase de Urukagina sobre «el recaudador de impuestos» que circula, que solo está en fuentes secundarias.</w:t>
      </w:r>
    </w:p>
    <w:p>
      <w:pPr>
        <w:pStyle w:val="ListBullet"/>
      </w:pPr>
      <w:r>
        <w:rPr>
          <w:b/>
        </w:rPr>
        <w:t>Los órdenes de costumbre</w:t>
      </w:r>
      <w:r>
        <w:t xml:space="preserve"> se leen con la cautela de Boas: el parecido no prueba un mismo origen. El juez de barrio elegido por los vecinos es de una sola fuente, del siglo XVIII (Clavijero), y Zorita, del siglo XVI, dice que los jueces de las cabeceras eran «hombres escogidos para ello» por los señores. Y que el Althing sea «uno de los parlamentos más antiguos del mundo» no entra: no se ha leído su fuente.</w:t>
      </w:r>
    </w:p>
    <w:p>
      <w:pPr>
        <w:pStyle w:val="ListBullet"/>
      </w:pPr>
      <w:r>
        <w:rPr>
          <w:b/>
        </w:rPr>
        <w:t>De la tabla de errar el blanco</w:t>
      </w:r>
      <w:r>
        <w:t xml:space="preserve"> quedan fuera dos filas que tenía la pieza, quitadas al leerlas en los diccionarios: la budista, porque </w:t>
      </w:r>
      <w:r>
        <w:rPr>
          <w:i/>
        </w:rPr>
        <w:t>akusala</w:t>
      </w:r>
      <w:r>
        <w:t>, que la pieza daba por «no maldad», es también «demérito, pecado»</w:t>
      </w:r>
      <w:r>
        <w:t xml:space="preserve"> (Monier-Williams, p. 1308)</w:t>
      </w:r>
      <w:r>
        <w:t xml:space="preserve">; y la japonesa, porque </w:t>
      </w:r>
      <w:r>
        <w:rPr>
          <w:i/>
        </w:rPr>
        <w:t>giri</w:t>
      </w:r>
      <w:r>
        <w:t xml:space="preserve"> nombra el deber, no la falta.</w:t>
      </w:r>
    </w:p>
    <w:p>
      <w:pPr>
        <w:pStyle w:val="Heading2"/>
      </w:pPr>
      <w:r>
        <w:t>Dónde se oye la defensa del Estado</w:t>
      </w:r>
    </w:p>
    <w:p>
      <w:r>
        <w:t>La defensa del Estado frente al Arca, y lo que la obra le responde, se oyen en el juicio (</w:t>
      </w:r>
      <w:r>
        <w:t>capítulo 11</w:t>
      </w:r>
      <w:r>
        <w:t>):</w:t>
      </w:r>
    </w:p>
    <w:p>
      <w:pPr>
        <w:pStyle w:val="ListBullet"/>
      </w:pPr>
      <w:r>
        <w:rPr>
          <w:b/>
        </w:rPr>
        <w:t>en las cuestiones previas (</w:t>
      </w:r>
      <w:r>
        <w:rPr>
          <w:b/>
        </w:rPr>
        <w:t>11.2</w:t>
      </w:r>
      <w:r>
        <w:rPr>
          <w:b/>
        </w:rPr>
        <w:t>):</w:t>
      </w:r>
      <w:r>
        <w:t xml:space="preserve"> «El Estado es aconfesional» (n.º 5) y «Tres pilares son pocos, y la convergencia es una selección interesada» (n.º 9);</w:t>
      </w:r>
    </w:p>
    <w:p>
      <w:pPr>
        <w:pStyle w:val="ListBullet"/>
      </w:pPr>
      <w:r>
        <w:rPr>
          <w:b/>
        </w:rPr>
        <w:t xml:space="preserve">y en el </w:t>
      </w:r>
      <w:r>
        <w:rPr>
          <w:b/>
        </w:rPr>
        <w:t>cargo 1</w:t>
      </w:r>
      <w:r>
        <w:rPr>
          <w:b/>
        </w:rPr>
        <w:t xml:space="preserve"> («La ley humana, primera fuente»).</w:t>
      </w:r>
    </w:p>
    <w:p>
      <w:r>
        <w:t xml:space="preserve">Las que miran al </w:t>
      </w:r>
      <w:r>
        <w:t>capítulo 3</w:t>
      </w:r>
      <w:r>
        <w:t>, en su lugar (3, «Dónde se oye la defensa del Estado»).</w:t>
      </w:r>
    </w:p>
    <w:p>
      <w:pPr>
        <w:pStyle w:val="Heading2"/>
      </w:pPr>
      <w:r>
        <w:t>Para recordar</w:t>
      </w:r>
    </w:p>
    <w:p>
      <w:pPr>
        <w:pStyle w:val="ListBullet"/>
      </w:pPr>
      <w:r>
        <w:t xml:space="preserve">Los nueve principios del Arca se leen en seis bloques de tradiciones, cada texto con su fuente; los más fuertes están en el </w:t>
      </w:r>
      <w:r>
        <w:t>capítulo 3</w:t>
      </w:r>
      <w:r>
        <w:t>, y aquí, todos los demás.</w:t>
      </w:r>
    </w:p>
    <w:p>
      <w:pPr>
        <w:pStyle w:val="ListBullet"/>
      </w:pPr>
      <w:r>
        <w:t>Cada bloque tiene su pata coja, y se dice.</w:t>
      </w:r>
    </w:p>
    <w:p>
      <w:pPr>
        <w:pStyle w:val="ListBullet"/>
      </w:pPr>
      <w:r>
        <w:t>El rey que no protege es un ladrón, y el tirano deja de ser rey; la obra toma el principio, no la salida violenta.</w:t>
      </w:r>
    </w:p>
    <w:p>
      <w:pPr>
        <w:pStyle w:val="ListBullet"/>
      </w:pPr>
      <w:r>
        <w:t>El pan propio lo mandan ocho textos de seis civilizaciones, desde las tablillas de Shuruppak.</w:t>
      </w:r>
    </w:p>
    <w:p>
      <w:pPr>
        <w:pStyle w:val="ListBullet"/>
      </w:pPr>
      <w:r>
        <w:t>Pueblos que se dieron su orden por su cuenta coinciden en la tierra en común, la compensación del daño y la decisión en consejo: el orden no nació con la ley de los Estados modernos.</w:t>
      </w:r>
    </w:p>
    <w:p>
      <w:pPr>
        <w:pStyle w:val="ListBullet"/>
      </w:pPr>
      <w:r>
        <w:t>Tres lenguas antiguas llaman a la falta errar el blanco: un tiro que se puede corregir.</w:t>
      </w:r>
    </w:p>
    <w:p>
      <w:pPr>
        <w:pStyle w:val="ListBullet"/>
      </w:pPr>
      <w:r>
        <w:t>Las reglas del juego de la vida, en doce tradiciones: qué se dio, qué se perdió y por dónde se vuelve, cada pasaje con su fuente (</w:t>
      </w:r>
      <w:r>
        <w:t>F.9</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las referencias que las sostienen y las refutan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las referencias que las sostienen y las refutan · Anexo F. El Arca: los textos de cada tradición, con su fuent</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F. El Arca: los textos de cada tradición, con su fuente · Las conclusiones, con las referencias que las sostienen y las refutan</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