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Conclusión, lo que arrojan los datos:</w:t>
      </w:r>
      <w:r>
        <w:t xml:space="preserve"> los propios textos del Estado llaman a estos derechos «inherentes» e «inalienables». No los da: los reconoce.</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(Platón, República X, 618c)</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t xml:space="preserve">. </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t xml:space="preserve">. </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p>
    <w:p>
      <w:pPr>
        <w:pStyle w:val="ListBullet"/>
      </w:pPr>
      <w:r>
        <w:rPr>
          <w:b/>
        </w:rPr>
        <w:t>«Soberanos somos todos» no exime de la ley</w:t>
      </w:r>
      <w:r>
        <w:t xml:space="preserve"> ni da autoridad frente a nadie</w:t>
      </w:r>
      <w:r>
        <w:t xml:space="preserve"> (Constitución, art. 9.1)</w:t>
      </w:r>
      <w:r>
        <w:t xml:space="preserve">. </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2 La persona y los derechos que preceden al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La persona y los derechos que preceden al Estado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