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Las conclusiones, netas</w:t>
      </w:r>
    </w:p>
    <w:p>
      <w:pPr>
        <w:pStyle w:val="Heading1"/>
      </w:pPr>
      <w:r>
        <w:t>Anexo I. Las fuentes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7 de octubre de 2026 · Última revisión: 12 de octubre de 2026 · Cambios anotados en el capítulo: 3 · Citas leídas en su fuente: 38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En pocas palabras:</w:t>
      </w:r>
    </w:p>
    <w:p>
      <w:pPr>
        <w:pStyle w:val="ListBullet"/>
      </w:pPr>
      <w:r>
        <w:t>Este anexo reúne las citas de las tradiciones y de los textos clásicos que la obra usa, cada una con su fuente, para que cualquiera pueda comprobarlas.</w:t>
      </w:r>
    </w:p>
    <w:p>
      <w:pPr>
        <w:pStyle w:val="ListBullet"/>
      </w:pPr>
      <w:r>
        <w:t>Va por bloques: la Biblia y los autores cristianos; el judaísmo y el islam; China; la India; Grecia y Roma; la historia del poder; los textos modernos; y las leyes y sentencias.</w:t>
      </w:r>
    </w:p>
    <w:p>
      <w:pPr>
        <w:pStyle w:val="ListBullet"/>
      </w:pPr>
      <w:r>
        <w:t>Lo que ya se explica en un capítulo no se repite: se nombra, con su apartado. Lo demás va con su texto, en las palabras de su fuente.</w:t>
      </w:r>
    </w:p>
    <w:p>
      <w:pPr>
        <w:pStyle w:val="ListBullet"/>
      </w:pPr>
      <w:r>
        <w:t>Lo que no se pudo leer en su fuente no entra, y se dice.</w:t>
      </w:r>
    </w:p>
    <w:p>
      <w:pPr>
        <w:pStyle w:val="ListBullet"/>
      </w:pPr>
      <w:r>
        <w:t xml:space="preserve">Al final, </w:t>
      </w:r>
      <w:r>
        <w:t>I.9</w:t>
      </w:r>
      <w:r>
        <w:t xml:space="preserve"> trae todas las fuentes de la obra en una sola lista, por tipo, con los apartados donde se usa cada una.</w:t>
      </w:r>
    </w:p>
    <w:p>
      <w:pPr>
        <w:pStyle w:val="Heading2"/>
      </w:pPr>
      <w:r>
        <w:t>I.0 Propósito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cada cita de la obra tiene su fuente; este anexo reúne las de las tradiciones y los textos clásicos, con el apartado donde se usan.</w:t>
      </w:r>
    </w:p>
    <w:p>
      <w:pPr>
        <w:pStyle w:val="Heading2"/>
      </w:pPr>
      <w:r>
        <w:t>I.1 La Biblia y los autores cristianos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las citas de la Biblia y de los autores cristianos que la obra usa, cada una con su lugar; las que ya se explican en un capítulo, solo nombradas.</w:t>
      </w:r>
    </w:p>
    <w:p>
      <w:pPr>
        <w:pStyle w:val="Heading2"/>
      </w:pPr>
      <w:r>
        <w:t>I.2 El judaísmo y el islam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las citas de la tradición judía y del Corán que la obra usa; el Corán, en la traducción de Julio Cortés, y el árabe al lado donde dice más.</w:t>
      </w:r>
    </w:p>
    <w:p>
      <w:pPr>
        <w:pStyle w:val="Heading2"/>
      </w:pPr>
      <w:r>
        <w:t>I.3 China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Confucio juzga por los actos, no solo por las palabras, y da una sola palabra por regla de toda la vida: la reciprocidad.</w:t>
      </w:r>
    </w:p>
    <w:p>
      <w:pPr>
        <w:pStyle w:val="Heading2"/>
      </w:pPr>
      <w:r>
        <w:t>I.4 La India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Gita describe al que vive sin «mío» y sin «yo», y el Dhammapada pide distinguir lo esencial de lo que no lo es.</w:t>
      </w:r>
    </w:p>
    <w:p>
      <w:pPr>
        <w:pStyle w:val="Heading2"/>
      </w:pPr>
      <w:r>
        <w:t>I.5 Grecia y Roma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los textos de Grecia y Roma que la obra usa ya están en sus capítulos; aquí, solo su lugar.</w:t>
      </w:r>
    </w:p>
    <w:p>
      <w:pPr>
        <w:pStyle w:val="Heading2"/>
      </w:pPr>
      <w:r>
        <w:t>I.6 La historia del poder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 xml:space="preserve">La idea: los textos del poder que se dice sagrado, y de los que se corrigieron, ya están en el </w:t>
      </w:r>
      <w:r>
        <w:rPr>
          <w:b/>
        </w:rPr>
        <w:t>capítulo 6</w:t>
      </w:r>
      <w:r>
        <w:rPr>
          <w:b/>
        </w:rPr>
        <w:t>; aquí, solo su lugar.</w:t>
      </w:r>
    </w:p>
    <w:p>
      <w:pPr>
        <w:pStyle w:val="Heading2"/>
      </w:pPr>
      <w:r>
        <w:t>I.7 Los textos modernos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línea entre el bien y el mal pasa por cada corazón, el fin del Estado es la libertad, y lo de abajo es como lo de arriba.</w:t>
      </w:r>
    </w:p>
    <w:p>
      <w:pPr>
        <w:pStyle w:val="Heading2"/>
      </w:pPr>
      <w:r>
        <w:t>I.8 Las leyes y las sentencias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 xml:space="preserve">La idea: las leyes y sentencias de la prensa libre y del control del poder ya están en el </w:t>
      </w:r>
      <w:r>
        <w:rPr>
          <w:b/>
        </w:rPr>
        <w:t>capítulo 10</w:t>
      </w:r>
      <w:r>
        <w:rPr>
          <w:b/>
        </w:rPr>
        <w:t>; aquí, solo su lugar.</w:t>
      </w:r>
    </w:p>
    <w:p>
      <w:pPr>
        <w:pStyle w:val="Heading2"/>
      </w:pPr>
      <w:r>
        <w:t>I.9 Todas las fuentes de la obra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cada fuente que la obra cita, en una sola lista y por tipo, con los apartados donde se usa.</w:t>
      </w:r>
    </w:p>
    <w:p>
      <w:pPr>
        <w:pStyle w:val="Heading2"/>
      </w:pPr>
      <w:r>
        <w:t>Para recordar</w:t>
      </w:r>
    </w:p>
    <w:p>
      <w:pPr>
        <w:pStyle w:val="ListBullet"/>
      </w:pPr>
      <w:r>
        <w:t>Cada cita de la obra tiene su fuente; las de las tradiciones y los textos clásicos están aquí, por bloques, con el apartado donde se usan.</w:t>
      </w:r>
    </w:p>
    <w:p>
      <w:pPr>
        <w:pStyle w:val="ListBullet"/>
      </w:pPr>
      <w:r>
        <w:t>Cada cita va en las palabras de su fuente; donde la edición traduce, el texto del que se ha hecho va al lado.</w:t>
      </w:r>
    </w:p>
    <w:p>
      <w:pPr>
        <w:pStyle w:val="ListBullet"/>
      </w:pPr>
      <w:r>
        <w:t>Lo que no se pudo leer en su fuente no entra, y se dice.</w:t>
      </w:r>
    </w:p>
    <w:p>
      <w:pPr>
        <w:pStyle w:val="ListBullet"/>
      </w:pPr>
      <w:r>
        <w:t>La lista de todas las fuentes de la obra, por tipo, se hace con la obra entera.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Las conclusiones, netas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Las conclusiones, netas · Anexo I. Las fuentes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I. Las fuentes · Las conclusiones, netas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