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Segoe UI" w:hAnsi="Segoe UI" w:eastAsia="Segoe UI" w:cs="Segoe UI"/>
          <w:b/>
          <w:color w:val="6B665E"/>
          <w:sz w:val="19"/>
        </w:rPr>
        <w:t>Las conclusiones, netas</w:t>
      </w:r>
    </w:p>
    <w:p>
      <w:pPr>
        <w:pStyle w:val="Heading1"/>
      </w:pPr>
      <w:r>
        <w:t>Anexo H. El glosario</w:t>
      </w:r>
    </w:p>
    <w:p>
      <w:pPr>
        <w:spacing w:after="200"/>
      </w:pPr>
      <w:r>
        <w:rPr>
          <w:rFonts w:ascii="Segoe UI" w:hAnsi="Segoe UI" w:eastAsia="Segoe UI" w:cs="Segoe UI"/>
          <w:color w:val="6B665E"/>
          <w:sz w:val="17"/>
        </w:rPr>
        <w:t>Primera versión: 7 de octubre de 2026 · Última revisión: 13 de octubre de 2026 · Cambios anotados en el capítulo: 11 · Citas leídas en su fuente: 28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En pocas palabras:</w:t>
      </w:r>
    </w:p>
    <w:p>
      <w:pPr>
        <w:pStyle w:val="ListBullet"/>
      </w:pPr>
      <w:r>
        <w:t>Este anexo reúne las palabras que la obra usa con un sentido preciso, cada una con su definición y el apartado donde se explica: una palabra para cada cosa, y una cosa para cada palabra.</w:t>
      </w:r>
    </w:p>
    <w:p>
      <w:pPr>
        <w:pStyle w:val="ListBullet"/>
      </w:pPr>
      <w:r>
        <w:t>Va por bloques, en el orden de la obra; al final, un índice alfabético lleva a cada palabra.</w:t>
      </w:r>
    </w:p>
    <w:p>
      <w:pPr>
        <w:pStyle w:val="ListBullet"/>
      </w:pPr>
      <w:r>
        <w:t>Lo que solo va como lectura del autor está en su propio bloque, con esa etiqueta.</w:t>
      </w:r>
    </w:p>
    <w:p>
      <w:pPr>
        <w:pStyle w:val="ListBullet"/>
      </w:pPr>
      <w:r>
        <w:t>Cierra con las máximas latinas que la tradición jurídica dejó escritas, cada una con su traducción y su fuente. Ninguna anula una ley con solo citarla.</w:t>
      </w:r>
    </w:p>
    <w:p>
      <w:pPr>
        <w:pStyle w:val="Heading2"/>
      </w:pPr>
      <w:r>
        <w:t>H.0 Propósito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cada palabra de la obra significa siempre lo mismo, y aquí está dicha una sola vez, con el apartado donde se explica.</w:t>
      </w:r>
    </w:p>
    <w:p>
      <w:pPr>
        <w:pStyle w:val="Heading2"/>
      </w:pPr>
      <w:r>
        <w:t>H.1 La obra y sus partes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los nombres de la obra y de sus partes, cada uno para una sola cosa.</w:t>
      </w:r>
    </w:p>
    <w:p>
      <w:pPr>
        <w:pStyle w:val="Heading2"/>
      </w:pPr>
      <w:r>
        <w:t>H.2 La persona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 persona va antes que el Estado, y trae sus derechos al nacer.</w:t>
      </w:r>
    </w:p>
    <w:p>
      <w:pPr>
        <w:pStyle w:val="Heading2"/>
      </w:pPr>
      <w:r>
        <w:t>H.3 Lo que se audita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qué se audita, y con qué palabras se nombra lo que se da por cierto sin serlo.</w:t>
      </w:r>
    </w:p>
    <w:p>
      <w:pPr>
        <w:pStyle w:val="Heading2"/>
      </w:pPr>
      <w:r>
        <w:t>H.4 El orden de las leyes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hay cuatro leyes, y su orden real es el inverso del que da el Estado.</w:t>
      </w:r>
    </w:p>
    <w:p>
      <w:pPr>
        <w:pStyle w:val="Heading2"/>
      </w:pPr>
      <w:r>
        <w:t>H.5 La vara y el método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con qué mide la obra, cuándo da algo por sólido y cómo separa lo probado de lo que es lectura.</w:t>
      </w:r>
    </w:p>
    <w:p>
      <w:pPr>
        <w:pStyle w:val="Heading2"/>
      </w:pPr>
      <w:r>
        <w:t>H.6 El dinero, el tiempo y la carga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dinero, el tiempo de vida que cuesta y lo que el Estado se lleva de él.</w:t>
      </w:r>
    </w:p>
    <w:p>
      <w:pPr>
        <w:pStyle w:val="Heading2"/>
      </w:pPr>
      <w:r>
        <w:t>H.7 El dictamen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 conclusión de la obra es un dictamen; el veredicto, si llega, es del jurado.</w:t>
      </w:r>
    </w:p>
    <w:p>
      <w:pPr>
        <w:pStyle w:val="Heading2"/>
      </w:pPr>
      <w:r>
        <w:t>H.8 La salida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 salida que propone la obra es la metamorfosis del Estado, por escrito y sin violencia, y el juicio popular de la verdad.</w:t>
      </w:r>
    </w:p>
    <w:p>
      <w:pPr>
        <w:pStyle w:val="Heading2"/>
      </w:pPr>
      <w:r>
        <w:t>H.9 Lo que solo va como lectura del autor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estas palabras no son datos: van siempre bajo «Lectura del autor».</w:t>
      </w:r>
    </w:p>
    <w:p>
      <w:pPr>
        <w:pStyle w:val="Heading2"/>
      </w:pPr>
      <w:r>
        <w:t>H.10 Las máximas latinas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las máximas que la tradición jurídica dejó escritas, cada una con su traducción y su fuente; ninguna anula una ley con solo citarla.</w:t>
      </w:r>
    </w:p>
    <w:p>
      <w:pPr>
        <w:pStyle w:val="Heading2"/>
      </w:pPr>
      <w:r>
        <w:t>Para recordar</w:t>
      </w:r>
    </w:p>
    <w:p>
      <w:pPr>
        <w:pStyle w:val="ListBullet"/>
      </w:pPr>
      <w:r>
        <w:t>Cada palabra de la obra significa siempre lo mismo, y aquí está dicha una sola vez, con el apartado donde se explica.</w:t>
      </w:r>
    </w:p>
    <w:p>
      <w:pPr>
        <w:pStyle w:val="ListBullet"/>
      </w:pPr>
      <w:r>
        <w:t>La obra es «</w:t>
      </w:r>
      <w:r>
        <w:t>Apocalipsis del Sistema</w:t>
      </w:r>
      <w:r>
        <w:t>»; el Registro es el archivo de los frutos.</w:t>
      </w:r>
    </w:p>
    <w:p>
      <w:pPr>
        <w:pStyle w:val="ListBullet"/>
      </w:pPr>
      <w:r>
        <w:t>El orden de las leyes es la ley de Dios, la ley natural, la costumbre y la ley escrita; el orden oficial es el inverso.</w:t>
      </w:r>
    </w:p>
    <w:p>
      <w:pPr>
        <w:pStyle w:val="ListBullet"/>
      </w:pPr>
      <w:r>
        <w:t>La vara mide en dos pasos, la verdad de los hechos y sus frutos; la convergencia es una mesa con sus patas, y la pata coja se dice.</w:t>
      </w:r>
    </w:p>
    <w:p>
      <w:pPr>
        <w:pStyle w:val="ListBullet"/>
      </w:pPr>
      <w:r>
        <w:t>Lo que no es dato va como lectura del autor, con su etiqueta.</w:t>
      </w:r>
    </w:p>
    <w:p>
      <w:pPr>
        <w:pStyle w:val="ListBullet"/>
      </w:pPr>
      <w:r>
        <w:t>Las máximas latinas son costumbre jurídica escrita: cada una va con su fuente, y ninguna anula una ley con solo citarla.</w:t>
      </w:r>
    </w:p>
    <w:p>
      <w:pPr>
        <w:keepNext/>
        <w:pBdr>
          <w:top w:val="single" w:sz="6" w:space="8" w:color="1F1D1A"/>
        </w:pBdr>
        <w:spacing w:before="480"/>
        <w:jc w:val="center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Segoe UI" w:hAnsi="Segoe UI" w:eastAsia="Segoe UI" w:cs="Segoe UI"/>
          <w:b/>
          <w:color w:val="1F1D1A"/>
          <w:sz w:val="19"/>
        </w:rPr>
        <w:t>Apocalipsis del Sistema · Edición de lectura · Kiko Orozco Rocamora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Las conclusiones, netas · versión del 13 de octubre de 2026 · huella SHA-256 de los textos 2a4fcfc34e05630b…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 versión completa y comprobable, con cada cita en su fuente, está en la edición publicada.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El juicio popular de la verdad es un tribunal de opinión: no tiene carácter oficial ni fuerza legal.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Si lees esto en otro idioma, es una traducción automática, no revisada. La obra se escribió en España, en español; en caso de duda prevalece el español.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Esta obra no da asesoramiento financiero ni jurídico y no exime de ninguna obligación vigente.</w:t>
      </w:r>
    </w:p>
    <w:sectPr w:rsidR="00FC693F" w:rsidRPr="0006063C" w:rsidSect="00034616">
      <w:footerReference w:type="default" r:id="rId9"/>
      <w:pgSz w:w="11906" w:h="16838"/>
      <w:pgMar w:top="1304" w:right="1361" w:bottom="130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184" w:val="right"/>
      </w:tabs>
    </w:pPr>
    <w:r>
      <w:rPr>
        <w:rFonts w:ascii="Segoe UI" w:hAnsi="Segoe UI" w:eastAsia="Segoe UI" w:cs="Segoe UI"/>
        <w:color w:val="6B665E"/>
        <w:sz w:val="17"/>
      </w:rPr>
      <w:t>Apocalipsis del Sistema · Edición de lectura · Las conclusiones, netas · Anexo H. El glosario</w:t>
      <w:tab/>
    </w:r>
    <w:r>
      <w:rPr>
        <w:rFonts w:ascii="Segoe UI" w:hAnsi="Segoe UI" w:eastAsia="Segoe UI" w:cs="Segoe UI"/>
        <w:color w:val="6B665E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Georgia" w:hAnsi="Georgia" w:eastAsia="Georgia" w:cs="Georgia"/>
      <w:color w:val="1F1D1A"/>
      <w:sz w:val="22"/>
      <w:lang w:val="es-ES" w:eastAsia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 w:line="276" w:lineRule="auto"/>
      <w:outlineLvl w:val="0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80" w:line="276" w:lineRule="auto"/>
      <w:outlineLvl w:val="1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60" w:line="276" w:lineRule="auto"/>
      <w:outlineLvl w:val="2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H. El glosario · Las conclusiones, netas</dc:title>
  <dc:subject/>
  <dc:creator>Kiko Orozco Rocamora</dc:creator>
  <cp:keywords/>
  <dc:description>generated by python-docx</dc:description>
  <cp:lastModifiedBy/>
  <cp:revision>1</cp:revision>
  <dcterms:created xsi:type="dcterms:W3CDTF">2026-10-12T22:21:46Z</dcterms:created>
  <dcterms:modified xsi:type="dcterms:W3CDTF">2026-10-12T22:21:46Z</dcterms:modified>
  <cp:category/>
  <dc:language>es-ES</dc:language>
</cp:coreProperties>
</file>