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D. El botiquín: los doce modelos de escrito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2 · Citas leídas en su fuente: 26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10</w:t>
      </w:r>
      <w:r>
        <w:t xml:space="preserve"> explica los cauces (</w:t>
      </w:r>
      <w:r>
        <w:t>10.4</w:t>
      </w:r>
      <w:r>
        <w:t xml:space="preserve"> y </w:t>
      </w:r>
      <w:r>
        <w:t>10.5</w:t>
      </w:r>
      <w:r>
        <w:t>); este anexo pone en la mano los escritos: doce modelos listos para rellenar, cada uno con su base legal, sus plazos y la respuesta probable de la Administración.</w:t>
      </w:r>
    </w:p>
    <w:p>
      <w:pPr>
        <w:pStyle w:val="ListBullet"/>
      </w:pPr>
      <w:r>
        <w:t>Se usan en escalera: primero se pide; si no contestan o contestan con una evasiva, se exige que acrediten; y si siguen callando, se recuerda por escrito la obligación de resolver y la responsabilidad de quien tramita.</w:t>
      </w:r>
    </w:p>
    <w:p>
      <w:pPr>
        <w:pStyle w:val="ListBullet"/>
      </w:pPr>
      <w:r>
        <w:t>El último apartado, D.13, reúne las presunciones en que se sostiene la autoridad del Estado, las que la ley escribe y las que ninguna ley escribe, para pedir, una a una, el hecho demostrado en que se apoyan.</w:t>
      </w:r>
    </w:p>
    <w:p>
      <w:pPr>
        <w:pStyle w:val="ListBullet"/>
      </w:pPr>
      <w:r>
        <w:t>Son modelos, no consejo legal para un caso concreto. No eximen de ninguna obligación vigente ni invitan a desobedecer.</w:t>
      </w:r>
    </w:p>
    <w:p>
      <w:pPr>
        <w:pStyle w:val="Heading2"/>
      </w:pPr>
      <w:r>
        <w:t>D.0 Cómo se usan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escritos son la constancia; se presentan en escalera, con copia sellada, en plazo y en el lenguaje de la Administración.</w:t>
      </w:r>
    </w:p>
    <w:p>
      <w:pPr>
        <w:pStyle w:val="Heading2"/>
      </w:pPr>
      <w:r>
        <w:t>D.1 El escrito de petición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es el escrito de la pregunta de </w:t>
      </w:r>
      <w:r>
        <w:rPr>
          <w:b/>
        </w:rPr>
        <w:t>10.4</w:t>
      </w:r>
      <w:r>
        <w:rPr>
          <w:b/>
        </w:rPr>
        <w:t>, completo: pide la norma, la resolución y la identidad de quien tramita, y deja constancia de buena fe.</w:t>
      </w:r>
    </w:p>
    <w:p>
      <w:pPr>
        <w:pStyle w:val="Heading2"/>
      </w:pPr>
      <w:r>
        <w:t>D.2 La solicitud de acceso a la información pública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para pedir los datos que tiene la Administración, sin decir para qué se quieren.</w:t>
      </w:r>
    </w:p>
    <w:p>
      <w:pPr>
        <w:pStyle w:val="Heading2"/>
      </w:pPr>
      <w:r>
        <w:t>D.3 Las alegaciones y el recurso contra una multa o una sanción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ante una denuncia o una sanción, alegar en plazo y pedir la prueba; la presunción, aquí, juega a favor del ciudadano.</w:t>
      </w:r>
    </w:p>
    <w:p>
      <w:pPr>
        <w:pStyle w:val="Heading2"/>
      </w:pPr>
      <w:r>
        <w:t>D.4 El recurso contra una liquidación, una providencia de apremio o un embargo de Hacienda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contra lo que cobra Hacienda, recurso en un mes y por los motivos que la ley admite; pedir siempre la prueba de la notificación.</w:t>
      </w:r>
    </w:p>
    <w:p>
      <w:pPr>
        <w:pStyle w:val="Heading2"/>
      </w:pPr>
      <w:r>
        <w:t>D.5 La reclamación por inactividad de la Administración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la Administración debe algo concreto y no lo da, se le reclama; a los tres meses queda abierto el recurso.</w:t>
      </w:r>
    </w:p>
    <w:p>
      <w:pPr>
        <w:pStyle w:val="Heading2"/>
      </w:pPr>
      <w:r>
        <w:t>D.6 La queja al Defensor del Pueblo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una institución independiente investiga la actuación de la Administración; es gratis y no hace falta abogado.</w:t>
      </w:r>
    </w:p>
    <w:p>
      <w:pPr>
        <w:pStyle w:val="Heading2"/>
      </w:pPr>
      <w:r>
        <w:t>D.7 La constancia de no consentimiento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dejar escrito que el consentimiento que se presume nunca se ha dado; no produce efectos legales, y lo dice él mismo.</w:t>
      </w:r>
    </w:p>
    <w:p>
      <w:pPr>
        <w:pStyle w:val="Heading2"/>
      </w:pPr>
      <w:r>
        <w:t>D.8 La solicitud de acreditación de la competencia, de los hechos y de la motivación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dentro de un expediente abierto, antes de discutir el fondo, se pide con qué competencia, con qué hechos probados y con qué motivos se actúa, y quién responde de tramitarlo.</w:t>
      </w:r>
    </w:p>
    <w:p>
      <w:pPr>
        <w:pStyle w:val="Heading2"/>
      </w:pPr>
      <w:r>
        <w:t>D.9 La petición de motivación extensa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pregunta de los cimientos: en qué se apoya la presunción por la que el Estado ejerce autoridad sobre la persona, con la relación de presunciones (</w:t>
      </w:r>
      <w:r>
        <w:rPr>
          <w:b/>
        </w:rPr>
        <w:t>D.13</w:t>
      </w:r>
      <w:r>
        <w:rPr>
          <w:b/>
        </w:rPr>
        <w:t>) adjunta.</w:t>
      </w:r>
    </w:p>
    <w:p>
      <w:pPr>
        <w:pStyle w:val="Heading2"/>
      </w:pPr>
      <w:r>
        <w:t>D.10 El recordatorio de responsabilidad por falta de respuesta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un escrito no se ha resuelto en plazo, se recuerda por escrito la obligación de resolver y la responsabilidad de quien tramita, citando el escrito anterior sin repetirlo.</w:t>
      </w:r>
    </w:p>
    <w:p>
      <w:pPr>
        <w:pStyle w:val="Heading2"/>
      </w:pPr>
      <w:r>
        <w:t>D.11 La reclamación de los intereses de demora que Hacienda debe al ciudadano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espejo del recargo: si el ciudadano paga tarde, paga intereses; si Hacienda devuelve tarde, también los debe, sin que se le pidan.</w:t>
      </w:r>
    </w:p>
    <w:p>
      <w:pPr>
        <w:pStyle w:val="Heading2"/>
      </w:pPr>
      <w:r>
        <w:t>D.12 La reclamación de responsabilidad patrimonial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espejo de la autotutela: si el ciudadano daña, paga; si el funcionamiento de la Administración daña, indemniza.</w:t>
      </w:r>
    </w:p>
    <w:p>
      <w:pPr>
        <w:pStyle w:val="Heading2"/>
      </w:pPr>
      <w:r>
        <w:t>D.13 La relación de presunciones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todas las presunciones en que se sostiene la autoridad del Estado sobre la persona, en una sola relación que se adjunta al </w:t>
      </w:r>
      <w:r>
        <w:rPr>
          <w:b/>
        </w:rPr>
        <w:t>D.9</w:t>
      </w:r>
      <w:r>
        <w:rPr>
          <w:b/>
        </w:rPr>
        <w:t>: primero las que la ley escribe; después, las que ninguna ley escribe y se sostienen en la creencia y el consentimiento.</w:t>
      </w:r>
    </w:p>
    <w:p>
      <w:pPr>
        <w:pStyle w:val="Heading3"/>
      </w:pPr>
      <w:r>
        <w:t>Primera parte. Lo que la ley presume</w:t>
      </w:r>
    </w:p>
    <w:p>
      <w:pPr>
        <w:pStyle w:val="Heading3"/>
      </w:pPr>
      <w:r>
        <w:t>Segunda parte. La vacuna: lo que se cree sin prueba</w:t>
      </w:r>
    </w:p>
    <w:p>
      <w:r>
        <w:rPr>
          <w:b/>
        </w:rPr>
        <w:t>Conclusión, lo que arrojan los datos:</w:t>
      </w:r>
      <w:r>
        <w:t xml:space="preserve"> las presunciones de la primera parte están escritas en la ley con sus palabras, y casi todas reparten la carga de la prueba del mismo lado: el Estado se presume válido y cierto, y es el ciudadano quien tiene que probar lo contrario. Las de la segunda parte no las escribe ninguna ley: se sostienen en que se crean. Y la propia ley dice que una presunción necesita un hecho de partida admitido o probado (Ley de Enjuiciamiento Civil, art. 385.1).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Primero se pide; si callan, se exige que acrediten; si siguen callando, se recuerda la obligación de resolver. Cada escrito dice cuál es el siguiente.</w:t>
      </w:r>
    </w:p>
    <w:p>
      <w:pPr>
        <w:pStyle w:val="ListBullet"/>
      </w:pPr>
      <w:r>
        <w:t>El caso concreto, a quien tramita; los cimientos, a quien puede responder por ellos.</w:t>
      </w:r>
    </w:p>
    <w:p>
      <w:pPr>
        <w:pStyle w:val="ListBullet"/>
      </w:pPr>
      <w:r>
        <w:t>Una presunción es «Aceptación de un hecho del que no se tiene prueba y que se infiere de otro hecho demostrado». El escrito pide ese hecho.</w:t>
      </w:r>
    </w:p>
    <w:p>
      <w:pPr>
        <w:pStyle w:val="ListBullet"/>
      </w:pPr>
      <w:r>
        <w:t>La ley también presume a favor de la persona: la inocencia y la buena fe.</w:t>
      </w:r>
    </w:p>
    <w:p>
      <w:pPr>
        <w:pStyle w:val="ListBullet"/>
      </w:pPr>
      <w:r>
        <w:t>Copia sellada, plazo vigilado y, si hay dinero en juego, abogado.</w:t>
      </w:r>
    </w:p>
    <w:p>
      <w:pPr>
        <w:pStyle w:val="ListBullet"/>
      </w:pPr>
      <w:r>
        <w:t>Todo lo que se afirma se puede comprobar, y todo lo que se pide se puede conceder (</w:t>
      </w:r>
      <w:r>
        <w:t>10.4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D. El botiquín: los doce modelos de escrito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D. El botiquín: los doce modelos de escrito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