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jc w:val="center"/>
      </w:pPr>
      <w:r>
        <w:rPr>
          <w:rFonts w:ascii="Georgia" w:hAnsi="Georgia" w:eastAsia="Georgia" w:cs="Georgia"/>
          <w:b/>
          <w:color w:val="1F1D1A"/>
          <w:sz w:val="60"/>
        </w:rPr>
        <w:t>Apocalipsis del Sistema</w:t>
      </w:r>
    </w:p>
    <w:p>
      <w:pPr>
        <w:spacing w:after="80"/>
        <w:jc w:val="center"/>
      </w:pPr>
      <w:r>
        <w:rPr>
          <w:rFonts w:ascii="Segoe UI" w:hAnsi="Segoe UI" w:eastAsia="Segoe UI" w:cs="Segoe UI"/>
          <w:b w:val="0"/>
          <w:color w:val="1F1D1A"/>
          <w:sz w:val="28"/>
        </w:rPr>
        <w:t>Edición de lectura</w:t>
      </w:r>
    </w:p>
    <w:p>
      <w:pPr>
        <w:spacing w:after="80"/>
        <w:jc w:val="center"/>
      </w:pPr>
      <w:r>
        <w:rPr>
          <w:rFonts w:ascii="Segoe UI" w:hAnsi="Segoe UI" w:eastAsia="Segoe UI" w:cs="Segoe UI"/>
          <w:b w:val="0"/>
          <w:color w:val="6B665E"/>
          <w:sz w:val="24"/>
        </w:rPr>
        <w:t>Kiko Orozco Rocamora</w:t>
      </w:r>
    </w:p>
    <w:p>
      <w:pPr>
        <w:spacing w:after="80"/>
        <w:jc w:val="center"/>
      </w:pPr>
      <w:r>
        <w:rPr>
          <w:rFonts w:ascii="Segoe UI" w:hAnsi="Segoe UI" w:eastAsia="Segoe UI" w:cs="Segoe UI"/>
          <w:b/>
          <w:color w:val="6B665E"/>
          <w:sz w:val="24"/>
        </w:rPr>
        <w:t>Las conclusiones, netas</w:t>
      </w:r>
    </w:p>
    <w:p>
      <w:pPr>
        <w:spacing w:after="80"/>
        <w:jc w:val="center"/>
      </w:pPr>
      <w:r>
        <w:rPr>
          <w:rFonts w:ascii="Segoe UI" w:hAnsi="Segoe UI" w:eastAsia="Segoe UI" w:cs="Segoe UI"/>
          <w:b w:val="0"/>
          <w:color w:val="6B665E"/>
          <w:sz w:val="18"/>
        </w:rPr>
        <w:t>Versión del 13 de octubre de 2026 · huella SHA-256 de los textos 2a4fcfc34e05630b…</w:t>
      </w:r>
    </w:p>
    <w:p>
      <w:pPr>
        <w:spacing w:before="360"/>
        <w:jc w:val="center"/>
      </w:pPr>
      <w:r>
        <w:rPr>
          <w:rFonts w:ascii="Georgia" w:hAnsi="Georgia" w:eastAsia="Georgia" w:cs="Georgia"/>
          <w:b w:val="0"/>
          <w:i/>
          <w:color w:val="6B665E"/>
          <w:sz w:val="22"/>
        </w:rPr>
        <w:t>«Esta obra no pide fe, la somete a examen».</w:t>
      </w:r>
    </w:p>
    <w:p>
      <w:r>
        <w:br w:type="page"/>
      </w:r>
    </w:p>
    <w:p>
      <w:pPr>
        <w:pStyle w:val="Heading1"/>
      </w:pPr>
      <w:r>
        <w:t>Contenido</w:t>
      </w:r>
    </w:p>
    <w:p>
      <w:pPr>
        <w:spacing w:after="40"/>
      </w:pPr>
      <w:r>
        <w:t>Agradecimientos del autor</w:t>
      </w:r>
    </w:p>
    <w:p>
      <w:pPr>
        <w:spacing w:after="40"/>
      </w:pPr>
      <w:r>
        <w:t>0 Propósito, y cómo se lee esta obra</w:t>
      </w:r>
    </w:p>
    <w:p>
      <w:pPr>
        <w:spacing w:after="40"/>
      </w:pPr>
      <w:r>
        <w:t>1 El orden de las leyes</w:t>
      </w:r>
    </w:p>
    <w:p>
      <w:pPr>
        <w:spacing w:after="40"/>
      </w:pPr>
      <w:r>
        <w:t>2 La persona y los derechos que preceden al Estado</w:t>
      </w:r>
    </w:p>
    <w:p>
      <w:pPr>
        <w:spacing w:after="40"/>
      </w:pPr>
      <w:r>
        <w:t>3 Lo que todas las tradiciones guardaron: el Arca</w:t>
      </w:r>
    </w:p>
    <w:p>
      <w:pPr>
        <w:spacing w:after="40"/>
      </w:pPr>
      <w:r>
        <w:t>4 Discernir: el mal sin cuerpo</w:t>
      </w:r>
    </w:p>
    <w:p>
      <w:pPr>
        <w:spacing w:after="40"/>
      </w:pPr>
      <w:r>
        <w:t>5 Lo que se da por supuesto</w:t>
      </w:r>
    </w:p>
    <w:p>
      <w:pPr>
        <w:spacing w:after="40"/>
      </w:pPr>
      <w:r>
        <w:t>6 Cómo se construyó el Estado</w:t>
      </w:r>
    </w:p>
    <w:p>
      <w:pPr>
        <w:spacing w:after="40"/>
      </w:pPr>
      <w:r>
        <w:t>7 La auditoría: la Constitución frente a los hechos</w:t>
      </w:r>
    </w:p>
    <w:p>
      <w:pPr>
        <w:spacing w:after="40"/>
      </w:pPr>
      <w:r>
        <w:t>8 Los frutos</w:t>
      </w:r>
    </w:p>
    <w:p>
      <w:pPr>
        <w:spacing w:after="40"/>
      </w:pPr>
      <w:r>
        <w:t>9 El dictamen</w:t>
      </w:r>
    </w:p>
    <w:p>
      <w:pPr>
        <w:spacing w:after="40"/>
      </w:pPr>
      <w:r>
        <w:t>10 Las puertas</w:t>
      </w:r>
    </w:p>
    <w:p>
      <w:pPr>
        <w:spacing w:after="40"/>
      </w:pPr>
      <w:r>
        <w:t>11 El juicio popular de la verdad</w:t>
      </w:r>
    </w:p>
    <w:p>
      <w:pPr>
        <w:spacing w:after="40"/>
      </w:pPr>
      <w:r>
        <w:t>Anexo A. La auditoría completa de la Constitución: los 169 artículos</w:t>
      </w:r>
    </w:p>
    <w:p>
      <w:pPr>
        <w:spacing w:after="40"/>
      </w:pPr>
      <w:r>
        <w:t>Anexo B. La carga fiscal en detalle</w:t>
      </w:r>
    </w:p>
    <w:p>
      <w:pPr>
        <w:spacing w:after="40"/>
      </w:pPr>
      <w:r>
        <w:t>Anexo C. Lo que cuesta el Estado: el anexo de datos</w:t>
      </w:r>
    </w:p>
    <w:p>
      <w:pPr>
        <w:spacing w:after="40"/>
      </w:pPr>
      <w:r>
        <w:t>Anexo D. El botiquín: los doce modelos de escrito</w:t>
      </w:r>
    </w:p>
    <w:p>
      <w:pPr>
        <w:spacing w:after="40"/>
      </w:pPr>
      <w:r>
        <w:t>Anexo E. Lo que se afirma sin documento</w:t>
      </w:r>
    </w:p>
    <w:p>
      <w:pPr>
        <w:spacing w:after="40"/>
      </w:pPr>
      <w:r>
        <w:t>Anexo F. El Arca: los textos de cada tradición, con su fuente</w:t>
      </w:r>
    </w:p>
    <w:p>
      <w:pPr>
        <w:spacing w:after="40"/>
      </w:pPr>
      <w:r>
        <w:t>Anexo G. Cómo se hizo esta obra, para repetirla en otro país</w:t>
      </w:r>
    </w:p>
    <w:p>
      <w:pPr>
        <w:spacing w:after="40"/>
      </w:pPr>
      <w:r>
        <w:t>Anexo H. El glosario</w:t>
      </w:r>
    </w:p>
    <w:p>
      <w:pPr>
        <w:spacing w:after="40"/>
      </w:pPr>
      <w:r>
        <w:t>Anexo I. Las fuentes</w:t>
      </w:r>
    </w:p>
    <w:p>
      <w:pPr>
        <w:spacing w:after="40"/>
      </w:pPr>
      <w:r>
        <w:t>Anexo J. La balanza equilibrada: lo que habría sido de ajustarse a lo recibido</w:t>
      </w:r>
    </w:p>
    <w:p>
      <w:r>
        <w:br w:type="page"/>
      </w:r>
    </w:p>
    <w:p>
      <w:pPr>
        <w:pStyle w:val="Heading1"/>
      </w:pPr>
      <w:r>
        <w:t>Agradecimientos del autor</w:t>
      </w:r>
    </w:p>
    <w:p>
      <w:pPr>
        <w:spacing w:after="200"/>
      </w:pPr>
      <w:r>
        <w:rPr>
          <w:rFonts w:ascii="Segoe UI" w:hAnsi="Segoe UI" w:eastAsia="Segoe UI" w:cs="Segoe UI"/>
          <w:color w:val="6B665E"/>
          <w:sz w:val="17"/>
        </w:rPr>
        <w:t>Primera versión: 5 de octubre de 2026 · Última revisión: 5 de octubre de 2026</w:t>
      </w:r>
    </w:p>
    <w:p>
      <w:r>
        <w:br w:type="page"/>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Conclusión, lo que arrojan los datos:</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r>
        <w:br w:type="page"/>
      </w:r>
    </w:p>
    <w:p>
      <w:pPr>
        <w:pStyle w:val="Heading1"/>
      </w:pPr>
      <w:r>
        <w:t>1 El orden de las leyes</w:t>
      </w:r>
    </w:p>
    <w:p>
      <w:pPr>
        <w:spacing w:after="200"/>
      </w:pPr>
      <w:r>
        <w:rPr>
          <w:rFonts w:ascii="Segoe UI" w:hAnsi="Segoe UI" w:eastAsia="Segoe UI" w:cs="Segoe UI"/>
          <w:color w:val="6B665E"/>
          <w:sz w:val="17"/>
        </w:rPr>
        <w:t>Primera versión: 5 de octubre de 2026 · Última revisión: 12 de octubre de 2026 · Cambios anotados en el capítulo: 13 · Citas leídas en su fuente: 105</w:t>
      </w:r>
    </w:p>
    <w:p>
      <w:pPr>
        <w:pBdr>
          <w:left w:val="single" w:sz="24" w:space="6" w:color="E2DED6"/>
        </w:pBdr>
        <w:shd w:val="clear" w:color="auto" w:fill="F1EEE8"/>
        <w:spacing w:before="80" w:after="160"/>
        <w:ind w:left="142" w:right="142"/>
      </w:pPr>
      <w:r>
        <w:rPr>
          <w:b/>
        </w:rPr>
        <w:t>En pocas palabras:</w:t>
      </w:r>
    </w:p>
    <w:p>
      <w:pPr>
        <w:pStyle w:val="ListBullet"/>
      </w:pPr>
      <w:r>
        <w:t>Las leyes tienen un orden: por encima de todo, la ley de Dios; después, la ley natural; después, la costumbre; y al final, la ley que escriben los hombres.</w:t>
      </w:r>
    </w:p>
    <w:p>
      <w:pPr>
        <w:pStyle w:val="ListBullet"/>
      </w:pPr>
      <w:r>
        <w:t>La ley natural, saber distinguir el bien del mal con la razón, la tiene cualquier persona: lo confirman tradiciones sin contacto documentado entre sí.</w:t>
      </w:r>
    </w:p>
    <w:p>
      <w:pPr>
        <w:pStyle w:val="ListBullet"/>
      </w:pPr>
      <w:r>
        <w:t>La ley humana que contradice a las de arriba deja de ser ley: es «corrupción de la ley».</w:t>
      </w:r>
    </w:p>
    <w:p>
      <w:pPr>
        <w:pStyle w:val="ListBullet"/>
      </w:pPr>
      <w:r>
        <w:t>El orden oficial del Estado es el inverso, y lo invirtió casi siempre quien tenía el poder de legislar.</w:t>
      </w:r>
    </w:p>
    <w:p>
      <w:pPr>
        <w:pStyle w:val="ListBullet"/>
      </w:pPr>
      <w:r>
        <w:t>Esta obra trabaja en la jurisdicción de la verdad, y no exime de ninguna obligación del Estado.</w:t>
      </w:r>
    </w:p>
    <w:p>
      <w:pPr>
        <w:pStyle w:val="ListBullet"/>
      </w:pPr>
      <w:r>
        <w:t>Solo la ley de Dios y la ley natural tienen autoridad original; la costumbre y la ley escrita la tienen derivada, y la pierden cuando quien manda se sirve a sí mismo.</w:t>
      </w:r>
    </w:p>
    <w:p>
      <w:pPr>
        <w:pStyle w:val="Heading2"/>
      </w:pPr>
      <w:r>
        <w:t>1.1 Las cuatro leyes y su orden</w:t>
      </w:r>
    </w:p>
    <w:p>
      <w:pPr>
        <w:pBdr>
          <w:left w:val="single" w:sz="24" w:space="6" w:color="E2DED6"/>
        </w:pBdr>
        <w:shd w:val="clear" w:color="auto" w:fill="F1EEE8"/>
        <w:spacing w:before="80" w:after="160"/>
        <w:ind w:left="142" w:right="142"/>
      </w:pPr>
      <w:r>
        <w:rPr>
          <w:b/>
        </w:rPr>
        <w:t>La idea: por encima de todo, la ley de Dios; después, la ley natural; después, la costumbre; y al final, la ley que escriben los hombres. El orden oficial es el inverso.</w:t>
      </w:r>
    </w:p>
    <w:p>
      <w:pPr>
        <w:pStyle w:val="Heading2"/>
      </w:pPr>
      <w:r>
        <w:t>1.2 La ley de Dios</w:t>
      </w:r>
    </w:p>
    <w:p>
      <w:pPr>
        <w:pBdr>
          <w:left w:val="single" w:sz="24" w:space="6" w:color="E2DED6"/>
        </w:pBdr>
        <w:shd w:val="clear" w:color="auto" w:fill="F1EEE8"/>
        <w:spacing w:before="80" w:after="160"/>
        <w:ind w:left="142" w:right="142"/>
      </w:pPr>
      <w:r>
        <w:rPr>
          <w:b/>
        </w:rPr>
        <w:t>La idea: la ley de Dios es la que gobierna lo creado, y por eso va la primera.</w:t>
      </w:r>
    </w:p>
    <w:p>
      <w:pPr>
        <w:pStyle w:val="Heading2"/>
      </w:pPr>
      <w:r>
        <w:t>1.3 Discernir: no todo lo que se ha llamado «dios» es el Creador</w:t>
      </w:r>
    </w:p>
    <w:p>
      <w:pPr>
        <w:pBdr>
          <w:left w:val="single" w:sz="24" w:space="6" w:color="E2DED6"/>
        </w:pBdr>
        <w:shd w:val="clear" w:color="auto" w:fill="F1EEE8"/>
        <w:spacing w:before="80" w:after="160"/>
        <w:ind w:left="142" w:right="142"/>
      </w:pPr>
      <w:r>
        <w:rPr>
          <w:b/>
        </w:rPr>
        <w:t>La idea: no todo lo que se ha llamado «dios» es el Creador. El verdadero sirve y rechaza la adoración; el que suplanta la reclama.</w:t>
      </w:r>
    </w:p>
    <w:p>
      <w:r>
        <w:rPr>
          <w:b/>
        </w:rPr>
        <w:t>Conclusión, lo que arrojan los datos:</w:t>
      </w:r>
      <w:r>
        <w:t xml:space="preserve"> en Israel, el cristianismo, el islam, la India y el budismo, los textos avisan de que no todo lo que se llama «dios» es el Creador, y dan la señal para distinguirlo: el verdadero sirve y rechaza la adoración; el que suplanta la reclama.</w:t>
      </w:r>
    </w:p>
    <w:p>
      <w:pPr>
        <w:pStyle w:val="Heading2"/>
      </w:pPr>
      <w:r>
        <w:t>1.4 La ley natural: quince tradiciones y un veredicto</w:t>
      </w:r>
    </w:p>
    <w:p>
      <w:pPr>
        <w:pBdr>
          <w:left w:val="single" w:sz="24" w:space="6" w:color="E2DED6"/>
        </w:pBdr>
        <w:shd w:val="clear" w:color="auto" w:fill="F1EEE8"/>
        <w:spacing w:before="80" w:after="160"/>
        <w:ind w:left="142" w:right="142"/>
      </w:pPr>
      <w:r>
        <w:rPr>
          <w:b/>
        </w:rPr>
        <w:t>La idea: la ley natural, saber distinguir el bien del mal con la razón, la tiene cualquier persona. Lo confirman tradiciones sin contacto documentado entre sí, y también se dice quién sostuvo lo contrario.</w:t>
      </w:r>
    </w:p>
    <w:p>
      <w:pPr>
        <w:pStyle w:val="Heading2"/>
      </w:pPr>
      <w:r>
        <w:t>1.5 La costumbre, ley no escrita</w:t>
      </w:r>
    </w:p>
    <w:p>
      <w:pPr>
        <w:pBdr>
          <w:left w:val="single" w:sz="24" w:space="6" w:color="E2DED6"/>
        </w:pBdr>
        <w:shd w:val="clear" w:color="auto" w:fill="F1EEE8"/>
        <w:spacing w:before="80" w:after="160"/>
        <w:ind w:left="142" w:right="142"/>
      </w:pPr>
      <w:r>
        <w:rPr>
          <w:b/>
        </w:rPr>
        <w:t>La idea: la costumbre es ley no escrita, nacida del uso de una comunidad, y el propio Estado ha tenido que reconocerla.</w:t>
      </w:r>
    </w:p>
    <w:p>
      <w:pPr>
        <w:pStyle w:val="Heading2"/>
      </w:pPr>
      <w:r>
        <w:t>1.6 La ley escrita, y cuándo una ley deja de serlo</w:t>
      </w:r>
    </w:p>
    <w:p>
      <w:pPr>
        <w:pBdr>
          <w:left w:val="single" w:sz="24" w:space="6" w:color="E2DED6"/>
        </w:pBdr>
        <w:shd w:val="clear" w:color="auto" w:fill="F1EEE8"/>
        <w:spacing w:before="80" w:after="160"/>
        <w:ind w:left="142" w:right="142"/>
      </w:pPr>
      <w:r>
        <w:rPr>
          <w:b/>
        </w:rPr>
        <w:t>La idea: una ley es ley si nace de la razón, busca el bien común, la dicta quien tiene autoridad y se da a conocer. La ley injusta no es ley.</w:t>
      </w:r>
    </w:p>
    <w:p>
      <w:pPr>
        <w:pStyle w:val="Heading2"/>
      </w:pPr>
      <w:r>
        <w:t>1.7 Quién invirtió el orden</w:t>
      </w:r>
    </w:p>
    <w:p>
      <w:pPr>
        <w:pBdr>
          <w:left w:val="single" w:sz="24" w:space="6" w:color="E2DED6"/>
        </w:pBdr>
        <w:shd w:val="clear" w:color="auto" w:fill="F1EEE8"/>
        <w:spacing w:before="80" w:after="160"/>
        <w:ind w:left="142" w:right="142"/>
      </w:pPr>
      <w:r>
        <w:rPr>
          <w:b/>
        </w:rPr>
        <w:t>La idea: el orden lo invirtió, en 7 de 8 casos, quien tenía el poder de legislar: la parte que ganaba con el cambio.</w:t>
      </w:r>
    </w:p>
    <w:p>
      <w:r>
        <w:rPr>
          <w:b/>
        </w:rPr>
        <w:t>Conclusión, lo que arrojan los datos:</w:t>
      </w:r>
      <w:r>
        <w:t xml:space="preserve"> las tradiciones guardaron el orden ley de Dios, ley natural, costumbre y, al final, ley humana. El orden oficial es el inverso. Y quien lo invirtió fue, en 7 de 8 casos, el que tenía el poder de legislar: la parte que gana con el cambio.</w:t>
      </w:r>
    </w:p>
    <w:p>
      <w:pPr>
        <w:pStyle w:val="Heading2"/>
      </w:pPr>
      <w:r>
        <w:t>1.8 Las dos jurisdicciones, y nombrar las cosas por su nombre</w:t>
      </w:r>
    </w:p>
    <w:p>
      <w:pPr>
        <w:pBdr>
          <w:left w:val="single" w:sz="24" w:space="6" w:color="E2DED6"/>
        </w:pBdr>
        <w:shd w:val="clear" w:color="auto" w:fill="F1EEE8"/>
        <w:spacing w:before="80" w:after="160"/>
        <w:ind w:left="142" w:right="142"/>
      </w:pPr>
      <w:r>
        <w:rPr>
          <w:b/>
        </w:rPr>
        <w:t>La idea: hay dos jurisdicciones, la de la verdad y la del Estado. Desde aquí, cada cosa se llama por su lugar en el orden real.</w:t>
      </w:r>
    </w:p>
    <w:p>
      <w:pPr>
        <w:pStyle w:val="Heading2"/>
      </w:pPr>
      <w:r>
        <w:t>1.9 La legitimidad de la autoridad: original y derivada</w:t>
      </w:r>
    </w:p>
    <w:p>
      <w:pPr>
        <w:pBdr>
          <w:left w:val="single" w:sz="24" w:space="6" w:color="E2DED6"/>
        </w:pBdr>
        <w:shd w:val="clear" w:color="auto" w:fill="F1EEE8"/>
        <w:spacing w:before="80" w:after="160"/>
        <w:ind w:left="142" w:right="142"/>
      </w:pPr>
      <w:r>
        <w:rPr>
          <w:b/>
        </w:rPr>
        <w:t>La idea: la autoridad es el poder de mandar con título. Solo la ley de Dios y la ley natural tienen autoridad original, porque nadie las dictó para su provecho; la costumbre y la ley escrita tienen autoridad derivada, que vale mientras sirve a lo de arriba y se pierde cuando quien manda se sirve a sí mismo.</w:t>
      </w:r>
    </w:p>
    <w:p>
      <w:r>
        <w:rPr>
          <w:b/>
        </w:rPr>
        <w:t>Conclusión, lo que arrojan los datos:</w:t>
      </w:r>
      <w:r>
        <w:t xml:space="preserve"> en Israel, China y el islam, tradiciones sin contacto documentado entre sí, la autoridad de quien manda se recibe de más arriba y se pierde por juzgar con injusticia, por falta de virtud o por mandar lo malo. Es lo que el capítulo ya mostró de la ley (1.6: las injustas «son más violencias que leyes») y de quien la escribe (1.7: nadie es juez en su propia causa). Son tres maneras de perder el título: el conflicto de interés, salirse del bien común y apartarse de lo superior.</w:t>
      </w:r>
    </w:p>
    <w:p>
      <w:pPr>
        <w:pStyle w:val="Heading2"/>
      </w:pPr>
      <w:r>
        <w:t>Para recordar</w:t>
      </w:r>
    </w:p>
    <w:p>
      <w:pPr>
        <w:pStyle w:val="ListBullet"/>
      </w:pPr>
      <w:r>
        <w:t>Por encima de todo, la ley de Dios; después, la ley natural; después, la costumbre; y al final, la ley que escriben los hombres.</w:t>
      </w:r>
    </w:p>
    <w:p>
      <w:pPr>
        <w:pStyle w:val="ListBullet"/>
      </w:pPr>
      <w:r>
        <w:t>La ley natural la tiene cualquier persona: lo dicen Grecia y China sin haberse leído, y también se dice quién sostuvo lo contrario.</w:t>
      </w:r>
    </w:p>
    <w:p>
      <w:pPr>
        <w:pStyle w:val="ListBullet"/>
      </w:pPr>
      <w:r>
        <w:t>Una ley es ley si nace de la razón, busca el bien común, la dicta quien tiene autoridad y se da a conocer; si contradice a las de arriba, es «corrupción de la ley».</w:t>
      </w:r>
    </w:p>
    <w:p>
      <w:pPr>
        <w:pStyle w:val="ListBullet"/>
      </w:pPr>
      <w:r>
        <w:t>El orden oficial es el inverso, y lo invirtió casi siempre quien tenía el poder de legislar: nadie debería ser juez en su propia causa.</w:t>
      </w:r>
    </w:p>
    <w:p>
      <w:pPr>
        <w:pStyle w:val="ListBullet"/>
      </w:pPr>
      <w:r>
        <w:t>La autoridad es poder de mandar con título: original, la de la ley de Dios y la natural; derivada, la de la costumbre y la ley escrita, que se pierde por el conflicto de interés, por salirse del bien común y por apartarse de lo superior.</w:t>
      </w:r>
    </w:p>
    <w:p>
      <w:pPr>
        <w:pStyle w:val="ListBullet"/>
      </w:pPr>
      <w:r>
        <w:t>La obra trabaja en la jurisdicción de la verdad y no exime de ninguna obligación del Estado.</w:t>
      </w:r>
    </w:p>
    <w:p>
      <w:pPr>
        <w:pStyle w:val="ListBullet"/>
      </w:pPr>
      <w:r>
        <w:rPr>
          <w:b/>
        </w:rPr>
        <w:t>Lo que aquí se expone que hay que podar (lectura del autor):</w:t>
      </w:r>
      <w:r>
        <w:t xml:space="preserve"> el orden invertido, que pone la ley que escriben los hombres en el primer lugar, el que corresponde a la ley de Dios; y la autoridad que se ejerce siendo juez en su propia causa.</w:t>
      </w:r>
    </w:p>
    <w:p>
      <w:pPr>
        <w:pStyle w:val="ListBullet"/>
      </w:pPr>
      <w:r>
        <w:rPr>
          <w:b/>
        </w:rPr>
        <w:t>Lo siguiente:</w:t>
      </w:r>
      <w:r>
        <w:t xml:space="preserve"> a quién sirven esas leyes: la persona, lo que trae al nacer y los derechos que tiene antes que ningún Estado (</w:t>
      </w:r>
      <w:r>
        <w:t>capítulo 2</w:t>
      </w:r>
      <w:r>
        <w:t>).</w:t>
      </w:r>
    </w:p>
    <w:p>
      <w:r>
        <w:br w:type="page"/>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r>
        <w:br w:type="page"/>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pPr>
        <w:pStyle w:val="Heading3"/>
      </w:pPr>
      <w:r>
        <w:t>P1. El gobernante existe para el pueblo</w:t>
      </w:r>
    </w:p>
    <w:p>
      <w:pPr>
        <w:pStyle w:val="Heading3"/>
      </w:pPr>
      <w:r>
        <w:t>P2. Impuestos moderados</w:t>
      </w:r>
    </w:p>
    <w:p>
      <w:pPr>
        <w:pStyle w:val="Heading3"/>
      </w:pPr>
      <w:r>
        <w:t>P3. No quitar al pueblo su tiempo</w:t>
      </w:r>
    </w:p>
    <w:p>
      <w:pPr>
        <w:pStyle w:val="Heading3"/>
      </w:pPr>
      <w:r>
        <w:t>P4. Pesas y medidas justas</w:t>
      </w:r>
    </w:p>
    <w:p>
      <w:pPr>
        <w:pStyle w:val="Heading3"/>
      </w:pPr>
      <w:r>
        <w:t>P5. Devolver lo confiado</w:t>
      </w:r>
    </w:p>
    <w:p>
      <w:pPr>
        <w:pStyle w:val="Heading3"/>
      </w:pPr>
      <w:r>
        <w:t>P6. Contra la usura; perdonar las deudas</w:t>
      </w:r>
    </w:p>
    <w:p>
      <w:pPr>
        <w:pStyle w:val="Heading3"/>
      </w:pPr>
      <w:r>
        <w:t>P7. Cada uno responde de lo suyo; examinar antes de castigar</w:t>
      </w:r>
    </w:p>
    <w:p>
      <w:pPr>
        <w:pStyle w:val="Heading3"/>
      </w:pPr>
      <w:r>
        <w:t>P8. El castigo no es un negocio; contra el soborno</w:t>
      </w:r>
    </w:p>
    <w:p>
      <w:pPr>
        <w:pStyle w:val="Heading3"/>
      </w:pPr>
      <w:r>
        <w:t>P9. Más leyes, más pobreza</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el editor de Jubileos, R. H. Charles, ve en ese libro el de los Jubileos, o una obra corta basada en él, y da la fecha de la lista por dudosa</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rPr>
          <w:b/>
        </w:rPr>
        <w:t>Conclusión, lo que arrojan los datos:</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Leído en la Reina-Valera Antigua y en el griego, dice esto; los pasajes, en F.9.</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r>
        <w:rPr>
          <w:b/>
        </w:rPr>
        <w:t>Conclusión, lo que arrojan los datos: el ungido, tal como lo dice el texto.</w:t>
      </w:r>
      <w:r>
        <w:t xml:space="preserve"> La palabra «Cristo» sí está en los textos, y dice esto; los pasajes, en F.9.</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r>
        <w:br w:type="page"/>
      </w:r>
    </w:p>
    <w:p>
      <w:pPr>
        <w:pStyle w:val="Heading1"/>
      </w:pPr>
      <w:r>
        <w:t>4 Discernir: el mal sin cuerpo</w:t>
      </w:r>
    </w:p>
    <w:p>
      <w:pPr>
        <w:spacing w:after="200"/>
      </w:pPr>
      <w:r>
        <w:rPr>
          <w:rFonts w:ascii="Segoe UI" w:hAnsi="Segoe UI" w:eastAsia="Segoe UI" w:cs="Segoe UI"/>
          <w:color w:val="6B665E"/>
          <w:sz w:val="17"/>
        </w:rPr>
        <w:t>Primera versión: 5 de octubre de 2026 · Última revisión: 12 de octubre de 2026 · Cambios anotados en el capítulo: 11 · Citas leídas en su fuente: 134</w:t>
      </w:r>
    </w:p>
    <w:p>
      <w:pPr>
        <w:pBdr>
          <w:left w:val="single" w:sz="24" w:space="6" w:color="E2DED6"/>
        </w:pBdr>
        <w:shd w:val="clear" w:color="auto" w:fill="F1EEE8"/>
        <w:spacing w:before="80" w:after="160"/>
        <w:ind w:left="142" w:right="142"/>
      </w:pPr>
      <w:r>
        <w:rPr>
          <w:b/>
        </w:rPr>
        <w:t>En pocas palabras:</w:t>
      </w:r>
    </w:p>
    <w:p>
      <w:pPr>
        <w:pStyle w:val="ListBullet"/>
      </w:pPr>
      <w:r>
        <w:t>Muchas tradiciones describen un mal que no tiene cuerpo propio: acusa, engaña, se hace muchos y actúa a través de otros.</w:t>
      </w:r>
    </w:p>
    <w:p>
      <w:pPr>
        <w:pStyle w:val="ListBullet"/>
      </w:pPr>
      <w:r>
        <w:t>Cuentan también una lucha entre el bien y el mal, pero casi todas ponen al ser humano a elegir; y varios textos ven poderes sin cuerpo detrás de los reinos.</w:t>
      </w:r>
    </w:p>
    <w:p>
      <w:pPr>
        <w:pStyle w:val="ListBullet"/>
      </w:pPr>
      <w:r>
        <w:t>El canon etíope cuenta que unos ángeles caídos enseñaron a los hombres las armas y los llevaron a adorar lo que no es Dios. La Biblia común guarda el mismo aviso. Sus espíritus, dicen los textos, siguen en la tierra, y las tradiciones enseñan a no caer en sus susurros.</w:t>
      </w:r>
    </w:p>
    <w:p>
      <w:pPr>
        <w:pStyle w:val="ListBullet"/>
      </w:pPr>
      <w:r>
        <w:t>El Evangelio llama al diablo «padre de mentira». La obra solo usa esa imagen como lectura del autor, y con una sola fórmula.</w:t>
      </w:r>
    </w:p>
    <w:p>
      <w:pPr>
        <w:pStyle w:val="Heading2"/>
      </w:pPr>
      <w:r>
        <w:t>4.1 Cómo describen las religiones el mal sin cuerpo</w:t>
      </w:r>
    </w:p>
    <w:p>
      <w:pPr>
        <w:pBdr>
          <w:left w:val="single" w:sz="24" w:space="6" w:color="E2DED6"/>
        </w:pBdr>
        <w:shd w:val="clear" w:color="auto" w:fill="F1EEE8"/>
        <w:spacing w:before="80" w:after="160"/>
        <w:ind w:left="142" w:right="142"/>
      </w:pPr>
      <w:r>
        <w:rPr>
          <w:b/>
        </w:rPr>
        <w:t>La idea: muchas tradiciones describen un mal sin cuerpo propio, que acusa, engaña y se hace muchos, y que solo actúa a través de otros. La Boétie vio lo mismo en el poder: uno solo manda porque muchos se lo dan.</w:t>
      </w:r>
    </w:p>
    <w:p>
      <w:r>
        <w:rPr>
          <w:b/>
        </w:rPr>
        <w:t>Conclusión, lo que arrojan los datos:</w:t>
      </w:r>
      <w:r>
        <w:t xml:space="preserve"> la tradición hebrea, el cristianismo, el budismo y el islam describen un mal sin cuerpo propio: acusa, se hace muchos, tienta desde dentro o susurra, y actúa a través de otros, a veces de hombres. La Boétie muestra lo mismo en el poder político: el de uno solo vive de que muchos se lo den.</w:t>
      </w:r>
    </w:p>
    <w:p>
      <w:pPr>
        <w:pStyle w:val="Heading2"/>
      </w:pPr>
      <w:r>
        <w:t>4.2 La lucha entre el bien y el mal</w:t>
      </w:r>
    </w:p>
    <w:p>
      <w:pPr>
        <w:pBdr>
          <w:left w:val="single" w:sz="24" w:space="6" w:color="E2DED6"/>
        </w:pBdr>
        <w:shd w:val="clear" w:color="auto" w:fill="F1EEE8"/>
        <w:spacing w:before="80" w:after="160"/>
        <w:ind w:left="142" w:right="142"/>
      </w:pPr>
      <w:r>
        <w:rPr>
          <w:b/>
        </w:rPr>
        <w:t>La idea: muchas tradiciones cuentan una lucha entre el bien y el mal, pero casi todas ponen al ser humano a elegir, y no a dos dioses iguales. Y varios textos ven poderes sin cuerpo detrás de los reinos.</w:t>
      </w:r>
    </w:p>
    <w:p>
      <w:r>
        <w:rPr>
          <w:b/>
        </w:rPr>
        <w:t>Conclusión, lo que arrojan los datos:</w:t>
      </w:r>
      <w:r>
        <w:t xml:space="preserve"> Persia, Israel, el cristianismo, el islam y la India cuentan una lucha entre el bien y el mal, y casi todas ponen al ser humano a elegir. Daniel, el Evangelio y Pablo ven, además, poderes sin cuerpo detrás de los reinos y del mundo; y la Gita describe al que se ensalza por encima de todos. No toda guerra antigua es moral: en Mesopotamia y en el Rig Veda es una guerra de dioses por el orden y por el poder.</w:t>
      </w:r>
    </w:p>
    <w:p>
      <w:r>
        <w:rPr>
          <w:b/>
        </w:rPr>
        <w:t>Conclusión, lo que arrojan los datos:</w:t>
      </w:r>
      <w:r>
        <w:t xml:space="preserve"> el relato tiene dos árboles en el mismo huerto y una sola prohibición. El engaño entra en tres jugadas: invertir la orden (3:1), negar la consecuencia sin dar un dato (3:4) y atribuir un motivo (3:5). La decisión se toma por la apariencia y el deseo (3:6), sin preguntar a quien dio la orden, y los frutos son miedo, escondite, acusación en cadena y expulsión (3:7 a 3:24).</w:t>
      </w:r>
    </w:p>
    <w:p>
      <w:pPr>
        <w:pStyle w:val="Heading2"/>
      </w:pPr>
      <w:r>
        <w:t>4.3 Los ángeles caídos y la suplantación</w:t>
      </w:r>
    </w:p>
    <w:p>
      <w:pPr>
        <w:pBdr>
          <w:left w:val="single" w:sz="24" w:space="6" w:color="E2DED6"/>
        </w:pBdr>
        <w:shd w:val="clear" w:color="auto" w:fill="F1EEE8"/>
        <w:spacing w:before="80" w:after="160"/>
        <w:ind w:left="142" w:right="142"/>
      </w:pPr>
      <w:r>
        <w:rPr>
          <w:b/>
        </w:rPr>
        <w:t>La idea: el canon etíope cuenta que unos ángeles caídos enseñaron a los hombres las armas y los llevaron a adorar lo que no es Dios, y la Biblia común guarda el mismo aviso. Sus espíritus, dicen los textos, siguen en la tierra; y las tradiciones enseñan a no caer en sus susurros.</w:t>
      </w:r>
    </w:p>
    <w:p>
      <w:r>
        <w:rPr>
          <w:b/>
        </w:rPr>
        <w:t>Conclusión, lo que arrojan los datos:</w:t>
      </w:r>
      <w:r>
        <w:t xml:space="preserve"> en el canon etíope, la suplantación de la adoración debida a Dios se atribuye a los ángeles caídos y a sus espíritus: llevan a los hombres a sacrificar a los demonios como a dioses, y les enseñan artes que los extravían. El canon común coincide en lo esencial (Dt 32:17; 1 Co 10:20), y todos piden lo mismo: discernir.</w:t>
      </w:r>
    </w:p>
    <w:p>
      <w:r>
        <w:rPr>
          <w:b/>
        </w:rPr>
        <w:t>Conclusión, lo que arrojan los datos:</w:t>
      </w:r>
      <w:r>
        <w:t xml:space="preserve"> según los textos, los ángeles caídos están atados hasta el juicio, pero sus espíritus y los ángeles de Satán quedaron en la tierra. Obran sin cuerpo propio: susurran, seducen, toman muchas formas, se disfrazan de luz y actúan también a través de hombres. Y la Biblia, el Corán, el budismo y la Gita coinciden en el remedio: velar, no darles sitio, conocer sus maniobras, refugiarse en Dios, cerrar la puerta al deseo, la ira y la codicia, y no consentir, porque su poder es sobre quienes traban amistad con ellos.</w:t>
      </w:r>
    </w:p>
    <w:p>
      <w:pPr>
        <w:pStyle w:val="Heading3"/>
      </w:pPr>
      <w:r>
        <w:t>Anexo al apartado 4.3. El extremo con cara de ángel: la línea de la virtud</w:t>
      </w:r>
    </w:p>
    <w:p>
      <w:pPr>
        <w:pBdr>
          <w:left w:val="single" w:sz="24" w:space="6" w:color="E2DED6"/>
        </w:pBdr>
        <w:shd w:val="clear" w:color="auto" w:fill="F1EEE8"/>
        <w:spacing w:before="80" w:after="160"/>
        <w:ind w:left="142" w:right="142"/>
      </w:pPr>
      <w:r>
        <w:rPr>
          <w:b/>
        </w:rPr>
        <w:t>La idea: el mal casi nunca se presenta como mal, sino como un extremo con cara de luz; y la virtud, para quien la midió con más cuidado, no está entre el ángel y el demonio, sino entre dos vicios.</w:t>
      </w:r>
    </w:p>
    <w:p>
      <w:r>
        <w:rPr>
          <w:b/>
        </w:rPr>
        <w:t>Conclusión, lo que arrojan los datos:</w:t>
      </w:r>
      <w:r>
        <w:t xml:space="preserve"> en Aristóteles, los dos polos de una virtud no son «el bien» y «el mal», sino dos vicios, uno por defecto y otro por exceso. El centro no es un punto fijo («relativo a nosotros»): lo fija la razón del prudente. Y hay muchas maneras de fallar y una sola de acertar. Los textos de </w:t>
      </w:r>
      <w:r>
        <w:t>4.3</w:t>
      </w:r>
      <w:r>
        <w:t xml:space="preserve"> dicen que el mal se presenta como luz. Las dos cosas encajan: el extremo de algo bueno, llevado lejos, se parece a la virtud, pero ya no lo es.</w:t>
      </w:r>
    </w:p>
    <w:p>
      <w:pPr>
        <w:pStyle w:val="Heading2"/>
      </w:pPr>
      <w:r>
        <w:t>4.4 El padre de la mentira</w:t>
      </w:r>
    </w:p>
    <w:p>
      <w:pPr>
        <w:pBdr>
          <w:left w:val="single" w:sz="24" w:space="6" w:color="E2DED6"/>
        </w:pBdr>
        <w:shd w:val="clear" w:color="auto" w:fill="F1EEE8"/>
        <w:spacing w:before="80" w:after="160"/>
        <w:ind w:left="142" w:right="142"/>
      </w:pPr>
      <w:r>
        <w:rPr>
          <w:b/>
        </w:rPr>
        <w:t>La idea: el Evangelio llama al diablo «padre de mentira», y otras tradiciones ponen también la mentira del lado del mal. La obra usa esa imagen solo como lectura del autor, con una sola fórmula: «apunta hacia».</w:t>
      </w:r>
    </w:p>
    <w:p>
      <w:r>
        <w:rPr>
          <w:b/>
        </w:rPr>
        <w:t>Conclusión, lo que arrojan los datos:</w:t>
      </w:r>
      <w:r>
        <w:t xml:space="preserve"> Israel y el cristianismo, Persia, la India, el budismo y el islam ponen la mentira del lado del mal, y varios dicen que la verdad prevalece sobre ella. Ninguna de esas tradiciones defiende la mentira como camino.</w:t>
      </w:r>
    </w:p>
    <w:p>
      <w:r>
        <w:rPr>
          <w:b/>
        </w:rPr>
        <w:t>Conclusión, lo que arrojan los datos:</w:t>
      </w:r>
      <w:r>
        <w:t xml:space="preserve"> Grecia, el cristianismo, el islam y el budismo coinciden: lo que se hace una y otra vez forma a quien lo hace. El bien repetido hace justo; el mal repetido hace siervo, cauteriza la conciencia y cubre de herrumbre el corazón, poco a poco, gota a gota.</w:t>
      </w:r>
    </w:p>
    <w:p>
      <w:pPr>
        <w:pStyle w:val="Heading2"/>
      </w:pPr>
      <w:r>
        <w:t>Para recordar</w:t>
      </w:r>
    </w:p>
    <w:p>
      <w:pPr>
        <w:pStyle w:val="ListBullet"/>
      </w:pPr>
      <w:r>
        <w:t>Las tradiciones describen un mal sin cuerpo propio: acusa, engaña, se hace muchos y actúa a través de otros, a veces de hombres.</w:t>
      </w:r>
    </w:p>
    <w:p>
      <w:pPr>
        <w:pStyle w:val="ListBullet"/>
      </w:pPr>
      <w:r>
        <w:t>El poder de uno solo vive de que muchos se lo den: es la servidumbre voluntaria.</w:t>
      </w:r>
    </w:p>
    <w:p>
      <w:pPr>
        <w:pStyle w:val="ListBullet"/>
      </w:pPr>
      <w:r>
        <w:t>La lucha entre el bien y el mal pide, casi siempre, que el ser humano elija. Y varios textos ven poderes sin cuerpo detrás de los reinos.</w:t>
      </w:r>
    </w:p>
    <w:p>
      <w:pPr>
        <w:pStyle w:val="ListBullet"/>
      </w:pPr>
      <w:r>
        <w:t>El canon etíope cuenta que los ángeles caídos enseñaron las armas y llevaron a adorar lo que no es Dios; la Biblia común guarda el mismo aviso.</w:t>
      </w:r>
    </w:p>
    <w:p>
      <w:pPr>
        <w:pStyle w:val="ListBullet"/>
      </w:pPr>
      <w:r>
        <w:t>El mal convive con nosotros, sin cuerpo propio: susurra, seduce y se disfraza de luz. Se le vence velando, conociendo sus maniobras y no dándole el consentimiento.</w:t>
      </w:r>
    </w:p>
    <w:p>
      <w:pPr>
        <w:pStyle w:val="ListBullet"/>
      </w:pPr>
      <w:r>
        <w:t>La virtud, según Aristóteles, no está entre el ángel y el demonio, sino entre dos vicios, uno por defecto y otro por exceso; y el extremo de algo bueno, llevado lejos, se disfraza de virtud.</w:t>
      </w:r>
    </w:p>
    <w:p>
      <w:pPr>
        <w:pStyle w:val="ListBullet"/>
      </w:pPr>
      <w:r>
        <w:t>La obra usa la imagen del padre de la mentira solo como lectura del autor, con una fórmula: «apunta hacia».</w:t>
      </w:r>
    </w:p>
    <w:p>
      <w:pPr>
        <w:pStyle w:val="ListBullet"/>
      </w:pPr>
      <w:r>
        <w:rPr>
          <w:b/>
        </w:rPr>
        <w:t>Lo siguiente:</w:t>
      </w:r>
      <w:r>
        <w:t xml:space="preserve"> lo que se da por supuesto sobre el Estado sin haberlo comprobado, frente a lo que dicen la norma y el dato (</w:t>
      </w:r>
      <w:r>
        <w:t>capítulo 5</w:t>
      </w:r>
      <w:r>
        <w:t>).</w:t>
      </w:r>
    </w:p>
    <w:p>
      <w:r>
        <w:br w:type="page"/>
      </w:r>
    </w:p>
    <w:p>
      <w:pPr>
        <w:pStyle w:val="Heading1"/>
      </w:pPr>
      <w:r>
        <w:t>5 Lo que se da por supuesto</w:t>
      </w:r>
    </w:p>
    <w:p>
      <w:pPr>
        <w:spacing w:after="200"/>
      </w:pPr>
      <w:r>
        <w:rPr>
          <w:rFonts w:ascii="Segoe UI" w:hAnsi="Segoe UI" w:eastAsia="Segoe UI" w:cs="Segoe UI"/>
          <w:color w:val="6B665E"/>
          <w:sz w:val="17"/>
        </w:rPr>
        <w:t>Primera versión: 5 de octubre de 2026 · Última revisión: 12 de octubre de 2026 · Cambios anotados en el capítulo: 6 · Citas leídas en su fuente: 63</w:t>
      </w:r>
    </w:p>
    <w:p>
      <w:pPr>
        <w:pBdr>
          <w:left w:val="single" w:sz="24" w:space="6" w:color="E2DED6"/>
        </w:pBdr>
        <w:shd w:val="clear" w:color="auto" w:fill="F1EEE8"/>
        <w:spacing w:before="80" w:after="160"/>
        <w:ind w:left="142" w:right="142"/>
      </w:pPr>
      <w:r>
        <w:rPr>
          <w:b/>
        </w:rPr>
        <w:t>En pocas palabras:</w:t>
      </w:r>
    </w:p>
    <w:p>
      <w:pPr>
        <w:pStyle w:val="ListBullet"/>
      </w:pPr>
      <w:r>
        <w:t>Muchas cosas que se dan por supuestas sobre el Estado no las dice ninguna ley: las sugiere un nombre oficial o una cifra que se repite. Puestas al lado de la norma y del dato, veinticinco de ellas dicen otra cosa.</w:t>
      </w:r>
    </w:p>
    <w:p>
      <w:pPr>
        <w:pStyle w:val="ListBullet"/>
      </w:pPr>
      <w:r>
        <w:t>El Estado se sostiene en presunciones. Da por cierto, sin haberlo probado, el consentimiento del pueblo, la validez de sus propios actos, el valor de su moneda y la conformidad de quienes aún no han nacido. Ordenadas, forman un edificio de siete plantas, y frente a cada una la ley de Dios dice otra cosa.</w:t>
      </w:r>
    </w:p>
    <w:p>
      <w:pPr>
        <w:pStyle w:val="ListBullet"/>
      </w:pPr>
      <w:r>
        <w:t>El Estado y el derecho existen porque se reconocen, no porque tengan cuerpo: son ficciones jurídicas. Una ficción declarada no es un vicio. Se vuelve engaño cuando se presenta como un hecho natural.</w:t>
      </w:r>
    </w:p>
    <w:p>
      <w:pPr>
        <w:pStyle w:val="ListBullet"/>
      </w:pPr>
      <w:r>
        <w:t>La raíz es una: la presunción ocupa el lugar del consentimiento. Y empieza al nacer: en setenta y dos horas, a cada recién nacido se le abre un registro, antes de que pueda decir sí o no. Esa es la piedra que sostiene toda la obra: el pueblo no consintió; nació dentro y lo aceptó sin saberlo.</w:t>
      </w:r>
    </w:p>
    <w:p>
      <w:pPr>
        <w:pStyle w:val="ListBullet"/>
      </w:pPr>
      <w:r>
        <w:t>Ninguna de estas piezas, por separado, hace caer el edificio. Juntas, impiden ver que no se sostiene, y la costumbre hace el resto. Por eso ha durado.</w:t>
      </w:r>
    </w:p>
    <w:p>
      <w:pPr>
        <w:pStyle w:val="Heading2"/>
      </w:pPr>
      <w:r>
        <w:t>5.1 Lo que se da por supuesto y lo que es: el dinero, el poder y la información</w:t>
      </w:r>
    </w:p>
    <w:p>
      <w:pPr>
        <w:pBdr>
          <w:left w:val="single" w:sz="24" w:space="6" w:color="E2DED6"/>
        </w:pBdr>
        <w:shd w:val="clear" w:color="auto" w:fill="F1EEE8"/>
        <w:spacing w:before="80" w:after="160"/>
        <w:ind w:left="142" w:right="142"/>
      </w:pPr>
      <w:r>
        <w:rPr>
          <w:b/>
        </w:rPr>
        <w:t>La idea: muchas cosas que se dan por supuestas no las dice ninguna ley; las sugiere un nombre oficial o una cifra que se repite. Puestas al lado de la norma y del dato, dicen otra cosa.</w:t>
      </w:r>
    </w:p>
    <w:p>
      <w:pPr>
        <w:pStyle w:val="Heading3"/>
      </w:pPr>
      <w:r>
        <w:t>El dinero</w:t>
      </w:r>
    </w:p>
    <w:p>
      <w:pPr>
        <w:pStyle w:val="Heading3"/>
      </w:pPr>
      <w:r>
        <w:t>El poder</w:t>
      </w:r>
    </w:p>
    <w:p>
      <w:pPr>
        <w:pStyle w:val="Heading3"/>
      </w:pPr>
      <w:r>
        <w:t>La información</w:t>
      </w:r>
    </w:p>
    <w:p>
      <w:r>
        <w:rPr>
          <w:b/>
        </w:rPr>
        <w:t>Conclusión, lo que arrojan los datos:</w:t>
      </w:r>
      <w:r>
        <w:t xml:space="preserve"> en las tres familias se repite el mismo patrón: un nombre o una cifra oficial sugieren una cosa, y la norma o el dato dicen otra. La «hucha» no guarda, la «cotización» no ahorra, la «transparencia» no suma, la «urgencia» se vuelve costumbre y el «derecho» a la vivienda no se puede reclamar. En tres casos, lo que no coincide es el propio significado de la palabra: la «inflación», que nombraba la emisión excesiva de moneda y hoy nombra la subida de los precios; el banco, del que se cree que presta el dinero de los ahorradores, cuando la mayor parte del dinero se crea al conceder el préstamo; y el «contrato» social, que nadie firmó. Ninguna de estas filas exige suponer nada: basta leer la norma y el dato. Y la Constitución, revisada artículo por artículo, suma 69 incumplimientos (</w:t>
      </w:r>
      <w:r>
        <w:t>7.1</w:t>
      </w:r>
      <w:r>
        <w:t xml:space="preserve">; </w:t>
      </w:r>
      <w:r>
        <w:t>anexo A</w:t>
      </w:r>
      <w:r>
        <w:t>).</w:t>
      </w:r>
    </w:p>
    <w:p>
      <w:pPr>
        <w:pStyle w:val="Heading2"/>
      </w:pPr>
      <w:r>
        <w:t>5.2 El edificio de las presunciones</w:t>
      </w:r>
    </w:p>
    <w:p>
      <w:pPr>
        <w:pBdr>
          <w:left w:val="single" w:sz="24" w:space="6" w:color="E2DED6"/>
        </w:pBdr>
        <w:shd w:val="clear" w:color="auto" w:fill="F1EEE8"/>
        <w:spacing w:before="80" w:after="160"/>
        <w:ind w:left="142" w:right="142"/>
      </w:pPr>
      <w:r>
        <w:rPr>
          <w:b/>
        </w:rPr>
        <w:t>La idea: el Estado se sostiene en presunciones: da por cierto, sin haberlo probado, lo que más necesita. Ordenadas, forman un edificio de siete plantas, de los cimientos al tejado; y frente a cada una, la ley de Dios dice otra cosa.</w:t>
      </w:r>
    </w:p>
    <w:p>
      <w:pPr>
        <w:pStyle w:val="Heading3"/>
      </w:pPr>
      <w:r>
        <w:t>Planta 1. Los cimientos: el orden de las leyes</w:t>
      </w:r>
    </w:p>
    <w:p>
      <w:pPr>
        <w:pStyle w:val="Heading3"/>
      </w:pPr>
      <w:r>
        <w:t>Planta 2. La autoridad</w:t>
      </w:r>
    </w:p>
    <w:p>
      <w:pPr>
        <w:pStyle w:val="Heading3"/>
      </w:pPr>
      <w:r>
        <w:t>Planta 3. La persona</w:t>
      </w:r>
    </w:p>
    <w:p>
      <w:pPr>
        <w:pStyle w:val="Heading3"/>
      </w:pPr>
      <w:r>
        <w:t>Planta 4. El poder sobre el ciudadano</w:t>
      </w:r>
    </w:p>
    <w:p>
      <w:pPr>
        <w:pStyle w:val="Heading3"/>
      </w:pPr>
      <w:r>
        <w:t>Planta 5. El dinero</w:t>
      </w:r>
    </w:p>
    <w:p>
      <w:pPr>
        <w:pStyle w:val="Heading3"/>
      </w:pPr>
      <w:r>
        <w:t>Planta 6. El tiempo y las generaciones</w:t>
      </w:r>
    </w:p>
    <w:p>
      <w:pPr>
        <w:pStyle w:val="Heading3"/>
      </w:pPr>
      <w:r>
        <w:t>Planta 7. La información y la legitimidad</w:t>
      </w:r>
    </w:p>
    <w:p>
      <w:r>
        <w:rPr>
          <w:b/>
        </w:rPr>
        <w:t>Conclusión, lo que arrojan los datos:</w:t>
      </w:r>
      <w:r>
        <w:t xml:space="preserve"> cada presunción del edificio está escrita en una norma o medida en un dato, y todas reparten la carga de la prueba del mismo lado: el Estado se presume válido, cierto y solvente, y es el ciudadano quien tiene que probar lo contrario. Frente a cada una, los textos sagrados dicen otra cosa: el sí se dice, la medida es cabal, lo confiado se devuelve entero, nadie paga por lo que comieron sus padres y quien administra da cuenta.</w:t>
      </w:r>
    </w:p>
    <w:p>
      <w:pPr>
        <w:pStyle w:val="Heading2"/>
      </w:pPr>
      <w:r>
        <w:t>5.3 La ficción jurídica: cómo existen el Estado y el derecho</w:t>
      </w:r>
    </w:p>
    <w:p>
      <w:pPr>
        <w:pBdr>
          <w:left w:val="single" w:sz="24" w:space="6" w:color="E2DED6"/>
        </w:pBdr>
        <w:shd w:val="clear" w:color="auto" w:fill="F1EEE8"/>
        <w:spacing w:before="80" w:after="160"/>
        <w:ind w:left="142" w:right="142"/>
      </w:pPr>
      <w:r>
        <w:rPr>
          <w:b/>
        </w:rPr>
        <w:t>La idea: el Estado y el derecho existen porque se reconocen, no porque tengan cuerpo. Son ficciones jurídicas, y una ficción declarada no es un vicio: se vuelve engaño cuando se presenta como un hecho natural.</w:t>
      </w:r>
    </w:p>
    <w:p>
      <w:r>
        <w:rPr>
          <w:b/>
        </w:rPr>
        <w:t>Conclusión, lo que arrojan los datos:</w:t>
      </w:r>
      <w:r>
        <w:t xml:space="preserve"> el Estado y el derecho son hechos que existen porque se reconocen, y la ley trata como persona a lo que no tiene cuerpo: es una ficción jurídica, y la ley la declara. En su origen se funda a sí mismo, como todo orden nuevo, y eso no prueba fraude. La ficción se vuelve maniobra camuflada (</w:t>
      </w:r>
      <w:r>
        <w:t>5.1</w:t>
      </w:r>
      <w:r>
        <w:t>) cuando se presenta como un hecho natural; y lo que distingue a un gobierno de otro son sus frutos.</w:t>
      </w:r>
    </w:p>
    <w:p>
      <w:pPr>
        <w:pStyle w:val="Heading2"/>
      </w:pPr>
      <w:r>
        <w:t>5.4 La raíz: la presunción en lugar del consentimiento</w:t>
      </w:r>
    </w:p>
    <w:p>
      <w:pPr>
        <w:pBdr>
          <w:left w:val="single" w:sz="24" w:space="6" w:color="E2DED6"/>
        </w:pBdr>
        <w:shd w:val="clear" w:color="auto" w:fill="F1EEE8"/>
        <w:spacing w:before="80" w:after="160"/>
        <w:ind w:left="142" w:right="142"/>
      </w:pPr>
      <w:r>
        <w:rPr>
          <w:b/>
        </w:rPr>
        <w:t>La idea: todas estas maniobras tienen una raíz común: la presunción ocupa el lugar del consentimiento. Y empieza el día en que se nace. Esa es la piedra que sostiene toda la obra: el pueblo no consintió; nació dentro y lo aceptó sin saberlo.</w:t>
      </w:r>
    </w:p>
    <w:p>
      <w:r>
        <w:rPr>
          <w:b/>
        </w:rPr>
        <w:t>Conclusión, lo que arrojan los datos:</w:t>
      </w:r>
      <w:r>
        <w:t xml:space="preserve"> cada presunción está escrita en una norma o medida en un dato, y todas juegan a favor del sistema. Alguna tiene justificación oficial: sin la presunción de validez ninguna administración podría funcionar, y se puede recurrir. Pero ninguna justifica la asimetría: el Estado se presume válido a sí mismo, mientras el consentimiento del ciudadano, que debería ser el punto de partida, se presume aunque nunca se dio.</w:t>
      </w:r>
    </w:p>
    <w:p>
      <w:r>
        <w:rPr>
          <w:b/>
        </w:rPr>
        <w:t>Conclusión, lo que arrojan los datos:</w:t>
      </w:r>
      <w:r>
        <w:t xml:space="preserve"> la ley obliga a comunicar cada nacimiento en setenta y dos horas, abre a cada nacido un registro y le asigna un código único e invariable en el tiempo. El interesado no puede consentir: las obligaciones llegan antes que la conciencia. Rousseau ya dijo que nadie puede dar a sus hijos de forma irrevocable; y La Boétie, que quien nace dentro lo toma por natural.</w:t>
      </w:r>
    </w:p>
    <w:p>
      <w:pPr>
        <w:pStyle w:val="Heading2"/>
      </w:pPr>
      <w:r>
        <w:t>5.5 Por qué ha durado</w:t>
      </w:r>
    </w:p>
    <w:p>
      <w:pPr>
        <w:pBdr>
          <w:left w:val="single" w:sz="24" w:space="6" w:color="E2DED6"/>
        </w:pBdr>
        <w:shd w:val="clear" w:color="auto" w:fill="F1EEE8"/>
        <w:spacing w:before="80" w:after="160"/>
        <w:ind w:left="142" w:right="142"/>
      </w:pPr>
      <w:r>
        <w:rPr>
          <w:b/>
        </w:rPr>
        <w:t>La idea: ninguna pieza, por separado, hace caer el edificio; juntas, impiden ver que no se sostiene. Y la costumbre hace el resto.</w:t>
      </w:r>
    </w:p>
    <w:p>
      <w:r>
        <w:rPr>
          <w:b/>
        </w:rPr>
        <w:t>Conclusión, lo que arrojan los datos:</w:t>
      </w:r>
      <w:r>
        <w:t xml:space="preserve"> ninguna de estas piezas, por separado, hace caer el edificio; juntas, impiden que se vea que no se sostiene. La quiebra no se puede declarar, la deuda aplaza el vencimiento, la moneda que pierde valor paga parte de la cuenta, la carga de la prueba recae en quien reclama y las palabras miran al efecto y no a la causa. Por eso ha podido durar más de lo que permitiría la vara que se aplica a cualquier persona o empresa. Y la costumbre lo sostiene: quien nace dentro lo toma por natural.</w:t>
      </w:r>
    </w:p>
    <w:p>
      <w:pPr>
        <w:pStyle w:val="Heading2"/>
      </w:pPr>
      <w:r>
        <w:t>Para recordar</w:t>
      </w:r>
    </w:p>
    <w:p>
      <w:pPr>
        <w:pStyle w:val="ListBullet"/>
      </w:pPr>
      <w:r>
        <w:t>Muchas cosas que se dan por supuestas sobre el Estado no las dice ninguna ley: la hucha no guarda, la cotización no ahorra, la transparencia no suma y el derecho a la vivienda no se puede reclamar sin una ley que lo desarrolle.</w:t>
      </w:r>
    </w:p>
    <w:p>
      <w:pPr>
        <w:pStyle w:val="ListBullet"/>
      </w:pPr>
      <w:r>
        <w:t>Hasta las palabras cambian: «inflación» nombraba la emisión excesiva de moneda, y hoy nombra la subida de los precios.</w:t>
      </w:r>
    </w:p>
    <w:p>
      <w:pPr>
        <w:pStyle w:val="ListBullet"/>
      </w:pPr>
      <w:r>
        <w:t>El Estado se sostiene en presunciones que ponen la carga de la prueba en el ciudadano: sus actos se presumen válidos, la palabra de su agente hace prueba y la ignorancia de la ley no excusa.</w:t>
      </w:r>
    </w:p>
    <w:p>
      <w:pPr>
        <w:pStyle w:val="ListBullet"/>
      </w:pPr>
      <w:r>
        <w:t>Frente a cada presunción, la ley de Dios dice otra cosa: el sí se dice, la medida es cabal, lo confiado se devuelve entero y quien administra da cuenta.</w:t>
      </w:r>
    </w:p>
    <w:p>
      <w:pPr>
        <w:pStyle w:val="ListBullet"/>
      </w:pPr>
      <w:r>
        <w:t>El Estado y el derecho son ficciones jurídicas: existen porque se reconocen. No es un vicio mientras se declare; lo que los distingue son sus frutos.</w:t>
      </w:r>
    </w:p>
    <w:p>
      <w:pPr>
        <w:pStyle w:val="ListBullet"/>
      </w:pPr>
      <w:r>
        <w:t>La raíz es la presunción en lugar del consentimiento, y empieza al nacer: un registro y un código en setenta y dos horas, cuando el interesado tiene cero días. Esa es la piedra que sostiene toda la obra: el pueblo no consintió; nació dentro y lo aceptó sin saberlo.</w:t>
      </w:r>
    </w:p>
    <w:p>
      <w:pPr>
        <w:pStyle w:val="ListBullet"/>
      </w:pPr>
      <w:r>
        <w:t>Ha durado porque sus piezas se sostienen unas a otras, y porque quien nace dentro lo toma por natural. Lo que se sostiene solo en presunciones se disuelve cuando se pide la prueba.</w:t>
      </w:r>
    </w:p>
    <w:p>
      <w:pPr>
        <w:pStyle w:val="ListBullet"/>
      </w:pPr>
      <w:r>
        <w:rPr>
          <w:b/>
        </w:rPr>
        <w:t>Lo que aquí se expone que hay que podar (lectura del autor):</w:t>
      </w:r>
      <w:r>
        <w:t xml:space="preserve"> la presunción en el lugar del consentimiento: dar por consentido, desde el nacimiento, lo que el pueblo no consintió, y poner en el ciudadano la carga de la prueba.</w:t>
      </w:r>
    </w:p>
    <w:p>
      <w:pPr>
        <w:pStyle w:val="ListBullet"/>
      </w:pPr>
      <w:r>
        <w:rPr>
          <w:b/>
        </w:rPr>
        <w:t>Lo siguiente:</w:t>
      </w:r>
      <w:r>
        <w:t xml:space="preserve"> cómo se construyó el Estado: con qué ideas se justificó, cómo se proclama a sí mismo y qué frenos se pensaron para que no abuse (</w:t>
      </w:r>
      <w:r>
        <w:t>capítulo 6</w:t>
      </w:r>
      <w:r>
        <w:t>).</w:t>
      </w:r>
    </w:p>
    <w:p>
      <w:r>
        <w:br w:type="page"/>
      </w:r>
    </w:p>
    <w:p>
      <w:pPr>
        <w:pStyle w:val="Heading1"/>
      </w:pPr>
      <w:r>
        <w:t>6 Cómo se construyó el Estado</w:t>
      </w:r>
    </w:p>
    <w:p>
      <w:pPr>
        <w:spacing w:after="200"/>
      </w:pPr>
      <w:r>
        <w:rPr>
          <w:rFonts w:ascii="Segoe UI" w:hAnsi="Segoe UI" w:eastAsia="Segoe UI" w:cs="Segoe UI"/>
          <w:color w:val="6B665E"/>
          <w:sz w:val="17"/>
        </w:rPr>
        <w:t>Primera versión: 5 de octubre de 2026 · Última revisión: 12 de octubre de 2026 · Cambios anotados en el capítulo: 5 · Citas leídas en su fuente: 115</w:t>
      </w:r>
    </w:p>
    <w:p>
      <w:pPr>
        <w:pBdr>
          <w:left w:val="single" w:sz="24" w:space="6" w:color="E2DED6"/>
        </w:pBdr>
        <w:shd w:val="clear" w:color="auto" w:fill="F1EEE8"/>
        <w:spacing w:before="80" w:after="160"/>
        <w:ind w:left="142" w:right="142"/>
      </w:pPr>
      <w:r>
        <w:rPr>
          <w:b/>
        </w:rPr>
        <w:t>En pocas palabras:</w:t>
      </w:r>
    </w:p>
    <w:p>
      <w:pPr>
        <w:pStyle w:val="ListBullet"/>
      </w:pPr>
      <w:r>
        <w:t>El contrato social no es un documento: es una idea para explicar por qué se obedece. Sus propios autores lo dijeron. Kant lo llamó «una mera idea de la razón», y Hume escribió que casi todos los gobiernos nacieron de la usurpación o de la conquista.</w:t>
      </w:r>
    </w:p>
    <w:p>
      <w:pPr>
        <w:pStyle w:val="ListBullet"/>
      </w:pPr>
      <w:r>
        <w:t>Hobbes, Locke y Rousseau rellenaron esa idea de tres maneras que no casan entre sí. Y hay un caso documentado de un poder que tomó de ella lo que lo legitimaba y dejó lo que lo limitaba: Francia, en 1793.</w:t>
      </w:r>
    </w:p>
    <w:p>
      <w:pPr>
        <w:pStyle w:val="ListBullet"/>
      </w:pPr>
      <w:r>
        <w:t>Ningún Estado recibió su autoridad de nadie por encima, y el derecho internacional lo escribe así. Cuando además un poder se declara el único que conoce la voluntad de Dios o el bien común, y deja de admitir corrección, se autoproclama. Ha pasado en Egipto, en Roma, en Japón, en la cristiandad medieval y en la monarquía absoluta.</w:t>
      </w:r>
    </w:p>
    <w:p>
      <w:pPr>
        <w:pStyle w:val="ListBullet"/>
      </w:pPr>
      <w:r>
        <w:t>Gobernar y poseer se separaron por ley en España en 1811. Y desde el siglo XVI, ni el poder más absoluto podía tomar el bien ajeno sin causa justa.</w:t>
      </w:r>
    </w:p>
    <w:p>
      <w:pPr>
        <w:pStyle w:val="ListBullet"/>
      </w:pPr>
      <w:r>
        <w:t>En España, el acceso al poder es mixto: hay sanciones, tribunales y partidos nuevos; y los controladores los eligen los controlados, hay barreras de entrada, y la iniciativa popular no puede tocar la ley electoral ni los impuestos.</w:t>
      </w:r>
    </w:p>
    <w:p>
      <w:pPr>
        <w:pStyle w:val="ListBullet"/>
      </w:pPr>
      <w:r>
        <w:t>El freno que pensó Montesquieu es «que el poder frene al poder». El último recurso, la rebelión, lo nombra la Declaración Universal para que no haga falta. La obra no lo propone: su vía es la constancia escrita.</w:t>
      </w:r>
    </w:p>
    <w:p>
      <w:pPr>
        <w:pStyle w:val="Heading2"/>
      </w:pPr>
      <w:r>
        <w:t>6.1 El contrato que nadie firmó</w:t>
      </w:r>
    </w:p>
    <w:p>
      <w:pPr>
        <w:pBdr>
          <w:left w:val="single" w:sz="24" w:space="6" w:color="E2DED6"/>
        </w:pBdr>
        <w:shd w:val="clear" w:color="auto" w:fill="F1EEE8"/>
        <w:spacing w:before="80" w:after="160"/>
        <w:ind w:left="142" w:right="142"/>
      </w:pPr>
      <w:r>
        <w:rPr>
          <w:b/>
        </w:rPr>
        <w:t>La idea: el contrato social no es un documento, sino una idea para explicar por qué se obedece. Sus autores la presentaron así, y el poder tomó de ella lo que le servía.</w:t>
      </w:r>
    </w:p>
    <w:p>
      <w:pPr>
        <w:pStyle w:val="Heading3"/>
      </w:pPr>
      <w:r>
        <w:t>Tres maneras de rellenar la misma idea</w:t>
      </w:r>
    </w:p>
    <w:p>
      <w:pPr>
        <w:pStyle w:val="Heading3"/>
      </w:pPr>
      <w:r>
        <w:t>Una idea, no un hecho: lo dijeron sus autores</w:t>
      </w:r>
    </w:p>
    <w:p>
      <w:pPr>
        <w:pStyle w:val="Heading3"/>
      </w:pPr>
      <w:r>
        <w:t>Lo que se tomó y lo que se dejó</w:t>
      </w:r>
    </w:p>
    <w:p>
      <w:r>
        <w:rPr>
          <w:b/>
        </w:rPr>
        <w:t>Conclusión, lo que arrojan los datos:</w:t>
      </w:r>
      <w:r>
        <w:t xml:space="preserve"> el contrato social es una idea, y sus autores lo dijeron: para Kant, «una mera idea de la razón»; para Hume, casi todos los gobiernos nacieron de la usurpación o la conquista. Tres autores la rellenaron de tres maneras que no casan entre sí. Y hay un caso documentado de un poder que tomó la pieza que lo legitimaba, la voluntad general, sin la condición que la limitaba: en 1793, la Constitución de derechos se apartó, la que la sustituyó nunca entró en vigor, y se propuso un gobierno revolucionario «hasta la paz». Lo que no prueba: que toda invocación de la voluntad general sea un abuso. Hay usos democráticos con deliberación real y con los frenos que el propio Rousseau pedía.</w:t>
      </w:r>
    </w:p>
    <w:p>
      <w:pPr>
        <w:pStyle w:val="Heading2"/>
      </w:pPr>
      <w:r>
        <w:t>6.2 Cómo se autoproclama un Estado</w:t>
      </w:r>
    </w:p>
    <w:p>
      <w:pPr>
        <w:pBdr>
          <w:left w:val="single" w:sz="24" w:space="6" w:color="E2DED6"/>
        </w:pBdr>
        <w:shd w:val="clear" w:color="auto" w:fill="F1EEE8"/>
        <w:spacing w:before="80" w:after="160"/>
        <w:ind w:left="142" w:right="142"/>
      </w:pPr>
      <w:r>
        <w:rPr>
          <w:b/>
        </w:rPr>
        <w:t>La idea: ningún Estado recibió su autoridad de nadie por encima. La tiene porque la ejerce y porque otros se la reconocen. Cuando además se declara el único intérprete de la voluntad de Dios o del bien común, y deja de admitir corrección, se autoproclama.</w:t>
      </w:r>
    </w:p>
    <w:p>
      <w:pPr>
        <w:pStyle w:val="Heading3"/>
      </w:pPr>
      <w:r>
        <w:t>Del aprendiz al ser superior</w:t>
      </w:r>
    </w:p>
    <w:p>
      <w:r>
        <w:rPr>
          <w:b/>
        </w:rPr>
        <w:t>Conclusión, lo que arrojan los datos:</w:t>
      </w:r>
      <w:r>
        <w:t xml:space="preserve"> lo que distingue a quien gobierna con justicia no es una condición alcanzada de una vez, como muestra Salomón, sino mantener cada día la disposición de aprendiz: saber que puede estar equivocado y aceptar que lo corrijan. En los casos vistos, el cierre por dentro, creerse en posesión exclusiva de la verdad, precede al cierre de los frenos de fuera: concilios, parlamentos y tribunales. Los griegos tenían palabra para eso, </w:t>
      </w:r>
      <w:r>
        <w:rPr>
          <w:i/>
        </w:rPr>
        <w:t>hybris</w:t>
      </w:r>
      <w:r>
        <w:t>, la desmesura del mortal que se iguala a los dioses, y el coro de Sófocles lo resume: «la insolencia engendra al tirano»</w:t>
      </w:r>
      <w:r>
        <w:t>. Lo que no prueba: siete casos no hacen una ley; son casos con fecha y fuente, con sus límites.</w:t>
      </w:r>
    </w:p>
    <w:p>
      <w:pPr>
        <w:pStyle w:val="Heading2"/>
      </w:pPr>
      <w:r>
        <w:t>6.3 Propiedad y poder</w:t>
      </w:r>
    </w:p>
    <w:p>
      <w:pPr>
        <w:pBdr>
          <w:left w:val="single" w:sz="24" w:space="6" w:color="E2DED6"/>
        </w:pBdr>
        <w:shd w:val="clear" w:color="auto" w:fill="F1EEE8"/>
        <w:spacing w:before="80" w:after="160"/>
        <w:ind w:left="142" w:right="142"/>
      </w:pPr>
      <w:r>
        <w:rPr>
          <w:b/>
        </w:rPr>
        <w:t>La idea: el poder de gobernar y el derecho a poseer estuvieron unidos durante siglos. En España, la ley los separó en 1811. Y desde el siglo XVI, hasta el poder más absoluto tenía un límite: no tomar el bien ajeno sin causa justa.</w:t>
      </w:r>
    </w:p>
    <w:p>
      <w:r>
        <w:rPr>
          <w:b/>
        </w:rPr>
        <w:t>Conclusión, lo que arrojan los datos:</w:t>
      </w:r>
      <w:r>
        <w:t xml:space="preserve"> gobernar y poseer no son lo mismo. En España, su separación tiene fecha y ley, 1811, y su límite es más antiguo: ni el poder absoluto de Bodino podía tomar el bien ajeno sin causa justa. Y ninguna dominación se conforma con ser obedecida: necesita que se crea en su legitimidad.</w:t>
      </w:r>
    </w:p>
    <w:p>
      <w:pPr>
        <w:pStyle w:val="Heading2"/>
      </w:pPr>
      <w:r>
        <w:t>6.4 El acceso al poder: cinco pensadores y siete casos</w:t>
      </w:r>
    </w:p>
    <w:p>
      <w:pPr>
        <w:pBdr>
          <w:left w:val="single" w:sz="24" w:space="6" w:color="E2DED6"/>
        </w:pBdr>
        <w:shd w:val="clear" w:color="auto" w:fill="F1EEE8"/>
        <w:spacing w:before="80" w:after="160"/>
        <w:ind w:left="142" w:right="142"/>
      </w:pPr>
      <w:r>
        <w:rPr>
          <w:b/>
        </w:rPr>
        <w:t>La idea: ¿el poder cambia de máscara pero es siempre lo mismo? Cinco pensadores, de Ibn Jaldún en el siglo XIV a Tilly en el XX, dicen que gobierna siempre una minoría. Un estudio reciente mide que una parte de los países ha salido de ese orden. España está en un punto mixto, y se puede decir dónde.</w:t>
      </w:r>
    </w:p>
    <w:p>
      <w:pPr>
        <w:pStyle w:val="Heading3"/>
      </w:pPr>
      <w:r>
        <w:t>Siete piezas de España</w:t>
      </w:r>
    </w:p>
    <w:p>
      <w:r>
        <w:rPr>
          <w:b/>
        </w:rPr>
        <w:t>Conclusión, lo que arrojan los datos:</w:t>
      </w:r>
      <w:r>
        <w:t xml:space="preserve"> las dos respuestas extremas no se sostienen. España no es un orden de acceso limitado puro: hay sanciones, disoluciones judiciales, sentencias que anulan y partidos nuevos que han entrado. Tampoco es de acceso abierto puro: el propio Tribunal Constitucional admitió la tensión del Consejo General del Poder Judicial; los órganos de control (ese Consejo, el Tribunal de Cuentas y parte del Constitucional) los eligen las Cámaras por tres quintos, es decir, los partidos a los que controlan; las reglas electorales dificultan la entrada; y la iniciativa popular no puede tocar las leyes que deciden quién gobierna. Es una posición mixta, y se puede decir dónde falla.</w:t>
      </w:r>
    </w:p>
    <w:p>
      <w:pPr>
        <w:pStyle w:val="Heading2"/>
      </w:pPr>
      <w:r>
        <w:t>6.5 La separación de poderes y el derecho de resistencia</w:t>
      </w:r>
    </w:p>
    <w:p>
      <w:pPr>
        <w:pBdr>
          <w:left w:val="single" w:sz="24" w:space="6" w:color="E2DED6"/>
        </w:pBdr>
        <w:shd w:val="clear" w:color="auto" w:fill="F1EEE8"/>
        <w:spacing w:before="80" w:after="160"/>
        <w:ind w:left="142" w:right="142"/>
      </w:pPr>
      <w:r>
        <w:rPr>
          <w:b/>
        </w:rPr>
        <w:t>La idea: Montesquieu respondió cómo se evita que el poder abuse: que el poder frene al poder. Locke, qué pasa cuando ya no frena: el gobierno que traiciona su encargo se disuelve a sí mismo. Y la rebelión es el último recurso, que la Declaración Universal quiere hacer innecesario.</w:t>
      </w:r>
    </w:p>
    <w:p>
      <w:r>
        <w:rPr>
          <w:b/>
        </w:rPr>
        <w:t>Conclusión, lo que arrojan los datos:</w:t>
      </w:r>
      <w:r>
        <w:t xml:space="preserve"> la separación de poderes es un diseño, no un acto de confianza: que el poder frene al poder. Locke añade que la tiranía se mide por el ejercicio, no por el origen, y que es el gobierno que traiciona su encargo el que se disuelve primero. La Declaración Universal nombra la rebelión como el recurso que un régimen de derecho debe hacer innecesario.</w:t>
      </w:r>
    </w:p>
    <w:p>
      <w:pPr>
        <w:pStyle w:val="Heading2"/>
      </w:pPr>
      <w:r>
        <w:t>Para recordar</w:t>
      </w:r>
    </w:p>
    <w:p>
      <w:pPr>
        <w:pStyle w:val="ListBullet"/>
      </w:pPr>
      <w:r>
        <w:t>El contrato social es una idea, no un documento: Kant la llamó «una mera idea de la razón», y Hume escribió que casi todos los gobiernos nacieron de la usurpación o de la conquista.</w:t>
      </w:r>
    </w:p>
    <w:p>
      <w:pPr>
        <w:pStyle w:val="ListBullet"/>
      </w:pPr>
      <w:r>
        <w:t>Hobbes, Locke y Rousseau la rellenaron de tres maneras: el miedo, los derechos que ya existían y la voluntad general.</w:t>
      </w:r>
    </w:p>
    <w:p>
      <w:pPr>
        <w:pStyle w:val="ListBullet"/>
      </w:pPr>
      <w:r>
        <w:t>En 1793, el poder tomó la voluntad general y dejó lo que la limitaba: dos constituciones, y ninguna en vigor.</w:t>
      </w:r>
    </w:p>
    <w:p>
      <w:pPr>
        <w:pStyle w:val="ListBullet"/>
      </w:pPr>
      <w:r>
        <w:t>Un Estado existe sin que nadie se lo conceda (Montevideo, 1933). Se autoproclama cuando además se declara el único intérprete del bien y deja de admitir corrección. «La insolencia engendra al tirano».</w:t>
      </w:r>
    </w:p>
    <w:p>
      <w:pPr>
        <w:pStyle w:val="ListBullet"/>
      </w:pPr>
      <w:r>
        <w:t>Gobernar y poseer se separaron por ley en España en 1811; y ni el poder absoluto de Bodino podía tomar el bien ajeno sin causa justa.</w:t>
      </w:r>
    </w:p>
    <w:p>
      <w:pPr>
        <w:pStyle w:val="ListBullet"/>
      </w:pPr>
      <w:r>
        <w:t>En España, el acceso al poder es mixto: hay sanciones, tribunales y partidos nuevos; y los controladores los eligen los controlados, hay barreras de entrada, y la iniciativa popular no toca la ley electoral ni los impuestos.</w:t>
      </w:r>
    </w:p>
    <w:p>
      <w:pPr>
        <w:pStyle w:val="ListBullet"/>
      </w:pPr>
      <w:r>
        <w:t>«Que el poder frene al poder»: Montesquieu. La rebelión es el último recurso, que un régimen de derecho debe hacer innecesario. La obra no la propone: su vía es la constancia escrita.</w:t>
      </w:r>
    </w:p>
    <w:p>
      <w:pPr>
        <w:pStyle w:val="ListBullet"/>
      </w:pPr>
      <w:r>
        <w:rPr>
          <w:b/>
        </w:rPr>
        <w:t>Lo que aquí se expone que hay que podar (lectura del autor):</w:t>
      </w:r>
      <w:r>
        <w:t xml:space="preserve"> el contrato social dado por firmado, cuando es una idea y no un documento; y el poder que se declara el único intérprete del bien y deja de admitir corrección.</w:t>
      </w:r>
    </w:p>
    <w:p>
      <w:pPr>
        <w:pStyle w:val="ListBullet"/>
      </w:pPr>
      <w:r>
        <w:rPr>
          <w:b/>
        </w:rPr>
        <w:t>Lo siguiente:</w:t>
      </w:r>
      <w:r>
        <w:t xml:space="preserve"> de la teoría a los hechos de España: la Constitución, artículo por artículo (</w:t>
      </w:r>
      <w:r>
        <w:t>capítulo 7</w:t>
      </w:r>
      <w:r>
        <w:t>).</w:t>
      </w:r>
    </w:p>
    <w:p>
      <w:r>
        <w:br w:type="page"/>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pPr>
        <w:pStyle w:val="Heading3"/>
      </w:pPr>
      <w:r>
        <w:t>El cobro</w:t>
      </w:r>
    </w:p>
    <w:p>
      <w:pPr>
        <w:pStyle w:val="Heading3"/>
      </w:pPr>
      <w:r>
        <w:t>El deber</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r>
        <w:br w:type="page"/>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No prueban que causen la caída de los hijos, y la obra no lo afirma.</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El problema no está en la gente.</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r>
        <w:br w:type="page"/>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r>
        <w:br w:type="page"/>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r>
        <w:br w:type="page"/>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pPr>
        <w:pStyle w:val="Heading3"/>
      </w:pPr>
      <w:r>
        <w:t>La vara: la ley y la moral</w:t>
      </w:r>
    </w:p>
    <w:p>
      <w:pPr>
        <w:pStyle w:val="Heading3"/>
      </w:pPr>
      <w:r>
        <w:t>Las pruebas y el método</w:t>
      </w:r>
    </w:p>
    <w:p>
      <w:pPr>
        <w:pStyle w:val="Heading3"/>
      </w:pPr>
      <w:r>
        <w:t>Las imágenes y las palabras</w:t>
      </w:r>
    </w:p>
    <w:p>
      <w:pPr>
        <w:pStyle w:val="Heading3"/>
      </w:pPr>
      <w:r>
        <w:t>La obediencia y el propio juicio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pPr>
        <w:pStyle w:val="Heading3"/>
      </w:pPr>
      <w:r>
        <w:t>Cargo 1. La ley humana, primera fuente</w:t>
      </w:r>
    </w:p>
    <w:p>
      <w:pPr>
        <w:pStyle w:val="Heading3"/>
      </w:pPr>
      <w:r>
        <w:t>Cargo 2. Nada por encima de la Constitución</w:t>
      </w:r>
    </w:p>
    <w:p>
      <w:pPr>
        <w:pStyle w:val="Heading3"/>
      </w:pPr>
      <w:r>
        <w:t>Cargo 3. La soberanía del pueblo</w:t>
      </w:r>
    </w:p>
    <w:p>
      <w:pPr>
        <w:pStyle w:val="Heading3"/>
      </w:pPr>
      <w:r>
        <w:t>Cargo 4. El ahorro</w:t>
      </w:r>
    </w:p>
    <w:p>
      <w:pPr>
        <w:pStyle w:val="Heading3"/>
      </w:pPr>
      <w:r>
        <w:t>Cargo 5. El Estado no quiebra</w:t>
      </w:r>
    </w:p>
    <w:p>
      <w:pPr>
        <w:pStyle w:val="Heading3"/>
      </w:pPr>
      <w:r>
        <w:t>Cargo 6. La representación</w:t>
      </w:r>
    </w:p>
    <w:p>
      <w:pPr>
        <w:pStyle w:val="Heading3"/>
      </w:pPr>
      <w:r>
        <w:t>Cargo 7. Lo legal es lo justo</w:t>
      </w:r>
    </w:p>
    <w:p>
      <w:pPr>
        <w:pStyle w:val="Heading3"/>
      </w:pPr>
      <w:r>
        <w:t>Cargo 8. Todos conocen todas las leyes</w:t>
      </w:r>
    </w:p>
    <w:p>
      <w:pPr>
        <w:pStyle w:val="Heading3"/>
      </w:pPr>
      <w:r>
        <w:t>Cargo 9. El consentimiento de los que vienen</w:t>
      </w:r>
    </w:p>
    <w:p>
      <w:pPr>
        <w:pStyle w:val="Heading3"/>
      </w:pPr>
      <w:r>
        <w:t>Cargo 10. El Estado social</w:t>
      </w:r>
    </w:p>
    <w:p>
      <w:pPr>
        <w:pStyle w:val="Heading3"/>
      </w:pPr>
      <w:r>
        <w:t>Cargo 11. El contrato social</w:t>
      </w:r>
    </w:p>
    <w:p>
      <w:pPr>
        <w:pStyle w:val="Heading3"/>
      </w:pPr>
      <w:r>
        <w:t>Cargo 12. La urgencia</w:t>
      </w:r>
    </w:p>
    <w:p>
      <w:pPr>
        <w:pStyle w:val="Heading3"/>
      </w:pPr>
      <w:r>
        <w:t>Cargo 13. El cobro sin juez</w:t>
      </w:r>
    </w:p>
    <w:p>
      <w:pPr>
        <w:pStyle w:val="Heading3"/>
      </w:pPr>
      <w:r>
        <w:t>Cargo 14. La deuda</w:t>
      </w:r>
    </w:p>
    <w:p>
      <w:pPr>
        <w:pStyle w:val="Heading3"/>
      </w:pPr>
      <w:r>
        <w:t>Cargo 15. La hucha</w:t>
      </w:r>
    </w:p>
    <w:p>
      <w:pPr>
        <w:pStyle w:val="Heading3"/>
      </w:pPr>
      <w:r>
        <w:t>Cargo 16. La obligación heredada</w:t>
      </w:r>
    </w:p>
    <w:p>
      <w:pPr>
        <w:pStyle w:val="Heading3"/>
      </w:pPr>
      <w:r>
        <w:t>Cargo 17. La moneda</w:t>
      </w:r>
    </w:p>
    <w:p>
      <w:pPr>
        <w:pStyle w:val="Heading3"/>
      </w:pPr>
      <w:r>
        <w:t>Cargo 18. La creación del dinero</w:t>
      </w:r>
    </w:p>
    <w:p>
      <w:pPr>
        <w:pStyle w:val="Heading3"/>
      </w:pPr>
      <w:r>
        <w:t>Cargo 19. La inflación</w:t>
      </w:r>
    </w:p>
    <w:p>
      <w:pPr>
        <w:pStyle w:val="Heading3"/>
      </w:pPr>
      <w:r>
        <w:t>Cargo 20. Los actos del Estado son válidos</w:t>
      </w:r>
    </w:p>
    <w:p>
      <w:pPr>
        <w:pStyle w:val="Heading3"/>
      </w:pPr>
      <w:r>
        <w:t>Cargo 21. La palabra de la autoridad hace prueba</w:t>
      </w:r>
    </w:p>
    <w:p>
      <w:pPr>
        <w:pStyle w:val="Heading3"/>
      </w:pPr>
      <w:r>
        <w:t>Cargo 22. La transparencia</w:t>
      </w:r>
    </w:p>
    <w:p>
      <w:pPr>
        <w:pStyle w:val="Heading3"/>
      </w:pPr>
      <w:r>
        <w:t>Cargo 23. La «vejez»</w:t>
      </w:r>
    </w:p>
    <w:p>
      <w:pPr>
        <w:pStyle w:val="Heading3"/>
      </w:pPr>
      <w:r>
        <w:t>Cargo 24. La separación de poderes y los controles</w:t>
      </w:r>
    </w:p>
    <w:p>
      <w:pPr>
        <w:pStyle w:val="Heading3"/>
      </w:pPr>
      <w:r>
        <w:t>Cargo 25. La carga</w:t>
      </w:r>
    </w:p>
    <w:p>
      <w:pPr>
        <w:pStyle w:val="Heading3"/>
      </w:pPr>
      <w:r>
        <w:t>Cargo 26. La responsabilidad</w:t>
      </w:r>
    </w:p>
    <w:p>
      <w:pPr>
        <w:pStyle w:val="Heading3"/>
      </w:pPr>
      <w:r>
        <w:t>Cargo 27. El diseño legal que enfrenta a la gente</w:t>
      </w:r>
    </w:p>
    <w:p>
      <w:pPr>
        <w:pStyle w:val="Heading3"/>
      </w:pPr>
      <w:r>
        <w:t>Cargo 28. La economía real</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pPr>
        <w:pStyle w:val="Heading3"/>
      </w:pPr>
      <w:r>
        <w:t>La vara y el formato</w:t>
      </w:r>
    </w:p>
    <w:p>
      <w:pPr>
        <w:pStyle w:val="Heading3"/>
      </w:pPr>
      <w:r>
        <w:t>La auditoría de España</w:t>
      </w:r>
    </w:p>
    <w:p>
      <w:pPr>
        <w:pStyle w:val="Heading3"/>
      </w:pPr>
      <w:r>
        <w:t>La forma y la historia</w:t>
      </w:r>
    </w:p>
    <w:p>
      <w:pPr>
        <w:pStyle w:val="Heading3"/>
      </w:pPr>
      <w:r>
        <w:t>Los frutos</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r>
        <w:br w:type="page"/>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r>
        <w:br w:type="page"/>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r>
        <w:br w:type="page"/>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r>
        <w:br w:type="page"/>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pPr>
        <w:pStyle w:val="Heading3"/>
      </w:pPr>
      <w:r>
        <w:t>Primera parte. Lo que la ley presume</w:t>
      </w:r>
    </w:p>
    <w:p>
      <w:pPr>
        <w:pStyle w:val="Heading3"/>
      </w:pPr>
      <w:r>
        <w:t>Segunda parte. La vacuna: lo que se cree sin prueba</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r>
        <w:br w:type="page"/>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r>
        <w:br w:type="page"/>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r>
        <w:br w:type="page"/>
      </w:r>
    </w:p>
    <w:p>
      <w:pPr>
        <w:pStyle w:val="Heading1"/>
      </w:pPr>
      <w:r>
        <w:t>Anexo G. Cómo se hizo esta obra, para repetirla en otro país</w:t>
      </w:r>
    </w:p>
    <w:p>
      <w:pPr>
        <w:spacing w:after="200"/>
      </w:pPr>
      <w:r>
        <w:rPr>
          <w:rFonts w:ascii="Segoe UI" w:hAnsi="Segoe UI" w:eastAsia="Segoe UI" w:cs="Segoe UI"/>
          <w:color w:val="6B665E"/>
          <w:sz w:val="17"/>
        </w:rPr>
        <w:t>Primera versión: 7 de octubre de 2026 · Última revisión: 13 de octubre de 2026 · Cambios anotados en el capítulo: 14 · Citas leídas en su fuente: 6</w:t>
      </w:r>
    </w:p>
    <w:p>
      <w:pPr>
        <w:pBdr>
          <w:left w:val="single" w:sz="24" w:space="6" w:color="E2DED6"/>
        </w:pBdr>
        <w:shd w:val="clear" w:color="auto" w:fill="F1EEE8"/>
        <w:spacing w:before="80" w:after="160"/>
        <w:ind w:left="142" w:right="142"/>
      </w:pPr>
      <w:r>
        <w:rPr>
          <w:b/>
        </w:rPr>
        <w:t>En pocas palabras:</w:t>
      </w:r>
    </w:p>
    <w:p>
      <w:pPr>
        <w:pStyle w:val="ListBullet"/>
      </w:pPr>
      <w:r>
        <w:t>El método de esta obra no es de España: se puede repetir con la Constitución de cualquier país. Cambian las fuentes, no el método.</w:t>
      </w:r>
    </w:p>
    <w:p>
      <w:pPr>
        <w:pStyle w:val="ListBullet"/>
      </w:pPr>
      <w:r>
        <w:t>Tres reglas lo sostienen: bajar primero todas las fuentes y trabajar con ellas en local, no volver a comprobar lo ya comprobado y poner a cada dato su nivel de prueba (A, B o C).</w:t>
      </w:r>
    </w:p>
    <w:p>
      <w:pPr>
        <w:pStyle w:val="ListBullet"/>
      </w:pPr>
      <w:r>
        <w:t>Son siete pasos, del criterio a la fe de erratas, y cada uno se hace una sola vez para toda la obra.</w:t>
      </w:r>
    </w:p>
    <w:p>
      <w:pPr>
        <w:pStyle w:val="ListBullet"/>
      </w:pPr>
      <w:r>
        <w:t>Doce trampas ya costaron tiempo; cada una lleva su regla. Algunas fueron errores de las propias herramientas de inteligencia artificial.</w:t>
      </w:r>
    </w:p>
    <w:p>
      <w:pPr>
        <w:pStyle w:val="ListBullet"/>
      </w:pPr>
      <w:r>
        <w:t>Cuatro citas que circulaban mal quedaron corregidas con su texto original.</w:t>
      </w:r>
    </w:p>
    <w:p>
      <w:pPr>
        <w:pStyle w:val="ListBullet"/>
      </w:pPr>
      <w:r>
        <w:t>El autor cuenta cómo empezó: por una experiencia personal y por haber estudiado, una por una, las teorías del movimiento soberano. Es palabra suya, y va marcada como tal.</w:t>
      </w:r>
    </w:p>
    <w:p>
      <w:pPr>
        <w:pStyle w:val="ListBullet"/>
      </w:pPr>
      <w:r>
        <w:t>El método es anterior a la obra: el autor lo dejó escrito, con fecha, en sus conversaciones con una inteligencia artificial, entre enero y marzo de 2026 (</w:t>
      </w:r>
      <w:r>
        <w:t>G.8</w:t>
      </w:r>
      <w:r>
        <w:t>). También es palabra suya.</w:t>
      </w:r>
    </w:p>
    <w:p>
      <w:pPr>
        <w:pStyle w:val="Heading2"/>
      </w:pPr>
      <w:r>
        <w:t>G.0 Para qué sirve este anexo</w:t>
      </w:r>
    </w:p>
    <w:p>
      <w:pPr>
        <w:pBdr>
          <w:left w:val="single" w:sz="24" w:space="6" w:color="E2DED6"/>
        </w:pBdr>
        <w:shd w:val="clear" w:color="auto" w:fill="F1EEE8"/>
        <w:spacing w:before="80" w:after="160"/>
        <w:ind w:left="142" w:right="142"/>
      </w:pPr>
      <w:r>
        <w:rPr>
          <w:b/>
        </w:rPr>
        <w:t>La idea: lo que se hizo con la Constitución de España se puede hacer con la de cualquier país, y aquí está cómo.</w:t>
      </w:r>
    </w:p>
    <w:p>
      <w:pPr>
        <w:pStyle w:val="Heading2"/>
      </w:pPr>
      <w:r>
        <w:t>G.1 Las tres reglas</w:t>
      </w:r>
    </w:p>
    <w:p>
      <w:pPr>
        <w:pBdr>
          <w:left w:val="single" w:sz="24" w:space="6" w:color="E2DED6"/>
        </w:pBdr>
        <w:shd w:val="clear" w:color="auto" w:fill="F1EEE8"/>
        <w:spacing w:before="80" w:after="160"/>
        <w:ind w:left="142" w:right="142"/>
      </w:pPr>
      <w:r>
        <w:rPr>
          <w:b/>
        </w:rPr>
        <w:t>La idea: tres reglas evitan volver a hacer lo mismo y dejan a la vista cuánta prueba hay detrás de cada dato.</w:t>
      </w:r>
    </w:p>
    <w:p>
      <w:r>
        <w:rPr>
          <w:b/>
        </w:rPr>
        <w:t>Conclusión, lo que arrojan los datos:</w:t>
      </w:r>
      <w:r>
        <w:t xml:space="preserve"> de los 1.700 datos y citas con fuente, 1.646 (96,8 %) son de nivel A y 54 (3,2 %) de nivel B. Los de nivel B son enciclopedias, estudios académicos, prensa y documentos que solo se leen a través de otro; 25 de ellos están en el </w:t>
      </w:r>
      <w:r>
        <w:t>capítulo 9</w:t>
      </w:r>
      <w:r>
        <w:t>, que cuenta casos históricos de otros países. Los capítulos que se apoyan en la ley, las sentencias y la estadística oficial (7, 8 y 10) suman 420 datos y solo 9 de nivel B.</w:t>
      </w:r>
    </w:p>
    <w:p>
      <w:pPr>
        <w:pStyle w:val="Heading2"/>
      </w:pPr>
      <w:r>
        <w:t>G.2 Los siete pasos</w:t>
      </w:r>
    </w:p>
    <w:p>
      <w:pPr>
        <w:pBdr>
          <w:left w:val="single" w:sz="24" w:space="6" w:color="E2DED6"/>
        </w:pBdr>
        <w:shd w:val="clear" w:color="auto" w:fill="F1EEE8"/>
        <w:spacing w:before="80" w:after="160"/>
        <w:ind w:left="142" w:right="142"/>
      </w:pPr>
      <w:r>
        <w:rPr>
          <w:b/>
        </w:rPr>
        <w:t>La idea: siete pasos, en este orden, y cada uno una sola vez para toda la obra.</w:t>
      </w:r>
    </w:p>
    <w:p>
      <w:pPr>
        <w:pStyle w:val="Heading2"/>
      </w:pPr>
      <w:r>
        <w:t>G.3 Las trampas que ya costaron</w:t>
      </w:r>
    </w:p>
    <w:p>
      <w:pPr>
        <w:pBdr>
          <w:left w:val="single" w:sz="24" w:space="6" w:color="E2DED6"/>
        </w:pBdr>
        <w:shd w:val="clear" w:color="auto" w:fill="F1EEE8"/>
        <w:spacing w:before="80" w:after="160"/>
        <w:ind w:left="142" w:right="142"/>
      </w:pPr>
      <w:r>
        <w:rPr>
          <w:b/>
        </w:rPr>
        <w:t>La idea: estas doce trampas ya costaron tiempo, y cada una dejó una regla; todas salen de lo ocurrido en esta obra.</w:t>
      </w:r>
    </w:p>
    <w:p>
      <w:pPr>
        <w:pStyle w:val="Heading2"/>
      </w:pPr>
      <w:r>
        <w:t>G.4 Los seis pasos con una Constitución</w:t>
      </w:r>
    </w:p>
    <w:p>
      <w:pPr>
        <w:pBdr>
          <w:left w:val="single" w:sz="24" w:space="6" w:color="E2DED6"/>
        </w:pBdr>
        <w:shd w:val="clear" w:color="auto" w:fill="F1EEE8"/>
        <w:spacing w:before="80" w:after="160"/>
        <w:ind w:left="142" w:right="142"/>
      </w:pPr>
      <w:r>
        <w:rPr>
          <w:b/>
        </w:rPr>
        <w:t>La idea: auditar una Constitución es comprobar, artículo por artículo, si lo que dice se cumple, con un hecho documentado y sin opinar.</w:t>
      </w:r>
    </w:p>
    <w:p>
      <w:pPr>
        <w:pStyle w:val="Heading2"/>
      </w:pPr>
      <w:r>
        <w:t>G.5 La tabla de fuentes para cada país</w:t>
      </w:r>
    </w:p>
    <w:p>
      <w:pPr>
        <w:pBdr>
          <w:left w:val="single" w:sz="24" w:space="6" w:color="E2DED6"/>
        </w:pBdr>
        <w:shd w:val="clear" w:color="auto" w:fill="F1EEE8"/>
        <w:spacing w:before="80" w:after="160"/>
        <w:ind w:left="142" w:right="142"/>
      </w:pPr>
      <w:r>
        <w:rPr>
          <w:b/>
        </w:rPr>
        <w:t>La idea: en otro país se buscan las mismas clases de fuente, y cambia solo dónde está cada una.</w:t>
      </w:r>
    </w:p>
    <w:p>
      <w:pPr>
        <w:pStyle w:val="Heading2"/>
      </w:pPr>
      <w:r>
        <w:t>G.6 Lo que el método cazó</w:t>
      </w:r>
    </w:p>
    <w:p>
      <w:pPr>
        <w:pBdr>
          <w:left w:val="single" w:sz="24" w:space="6" w:color="E2DED6"/>
        </w:pBdr>
        <w:shd w:val="clear" w:color="auto" w:fill="F1EEE8"/>
        <w:spacing w:before="80" w:after="160"/>
        <w:ind w:left="142" w:right="142"/>
      </w:pPr>
      <w:r>
        <w:rPr>
          <w:b/>
        </w:rPr>
        <w:t>La idea: cuatro citas que circulaban mal se corrigieron comprobando el original.</w:t>
      </w:r>
    </w:p>
    <w:p>
      <w:pPr>
        <w:pStyle w:val="Heading2"/>
      </w:pPr>
      <w:r>
        <w:t>G.7 El recorrido del autor, y cuánto tardó</w:t>
      </w:r>
    </w:p>
    <w:p>
      <w:pPr>
        <w:pBdr>
          <w:left w:val="single" w:sz="24" w:space="6" w:color="E2DED6"/>
        </w:pBdr>
        <w:shd w:val="clear" w:color="auto" w:fill="F1EEE8"/>
        <w:spacing w:before="80" w:after="160"/>
        <w:ind w:left="142" w:right="142"/>
      </w:pPr>
      <w:r>
        <w:rPr>
          <w:b/>
        </w:rPr>
        <w:t>La idea: la obra empezó aplicando el método a las propias creencias del autor; esto es lo que él cuenta, y lo que consta en archivos con fecha va aparte.</w:t>
      </w:r>
    </w:p>
    <w:p>
      <w:pPr>
        <w:pStyle w:val="Heading2"/>
      </w:pPr>
      <w:r>
        <w:t>G.8 Cómo nació el método</w:t>
      </w:r>
    </w:p>
    <w:p>
      <w:pPr>
        <w:pBdr>
          <w:left w:val="single" w:sz="24" w:space="6" w:color="E2DED6"/>
        </w:pBdr>
        <w:shd w:val="clear" w:color="auto" w:fill="F1EEE8"/>
        <w:spacing w:before="80" w:after="160"/>
        <w:ind w:left="142" w:right="142"/>
      </w:pPr>
      <w:r>
        <w:rPr>
          <w:b/>
        </w:rPr>
        <w:t>La idea: el método es anterior a la obra; el autor lo dejó escrito, con fecha, entre enero y marzo de 2026, hablando con una inteligencia artificial que tendía a darle la razón.</w:t>
      </w:r>
    </w:p>
    <w:p>
      <w:pPr>
        <w:pStyle w:val="Heading2"/>
      </w:pPr>
      <w:r>
        <w:t>Para recordar</w:t>
      </w:r>
    </w:p>
    <w:p>
      <w:pPr>
        <w:pStyle w:val="ListBullet"/>
      </w:pPr>
      <w:r>
        <w:t>El método no es de España: cambian las fuentes, no el orden ni la regla de que ningún dato entra sin su fuente.</w:t>
      </w:r>
    </w:p>
    <w:p>
      <w:pPr>
        <w:pStyle w:val="ListBullet"/>
      </w:pPr>
      <w:r>
        <w:t>Tres reglas: la biblioteca local entera primero, lo comprobado no se vuelve a comprobar, y cada dato con su nivel A, B o C.</w:t>
      </w:r>
    </w:p>
    <w:p>
      <w:pPr>
        <w:pStyle w:val="ListBullet"/>
      </w:pPr>
      <w:r>
        <w:t>Siete pasos, cada uno una sola vez para toda la obra: la pregunta, la biblioteca, el inventario, la criba, la comprobación, la redacción, las dos caras y la fe de erratas.</w:t>
      </w:r>
    </w:p>
    <w:p>
      <w:pPr>
        <w:pStyle w:val="ListBullet"/>
      </w:pPr>
      <w:r>
        <w:t>Las trampas que más cuestan: bajar lo que ya estaba, fiarse del resumen y no del pasaje, y creer que un número que aparece es una prueba.</w:t>
      </w:r>
    </w:p>
    <w:p>
      <w:pPr>
        <w:pStyle w:val="ListBullet"/>
      </w:pPr>
      <w:r>
        <w:t>«No entra» tiene dos motivos: si no viene al caso, fuera; si le falta la fuente, a la lista de flecos.</w:t>
      </w:r>
    </w:p>
    <w:p>
      <w:pPr>
        <w:pStyle w:val="ListBullet"/>
      </w:pPr>
      <w:r>
        <w:t>El autor empezó por sus propias creencias, y las sometió a la misma vara que pide para el Estado.</w:t>
      </w:r>
    </w:p>
    <w:p>
      <w:pPr>
        <w:pStyle w:val="ListBullet"/>
      </w:pPr>
      <w:r>
        <w:t>El método no se hizo a medida de la conclusión: el autor lo escribió antes de la obra, para defenderse de una herramienta que le daba la razón.</w:t>
      </w:r>
    </w:p>
    <w:p>
      <w:r>
        <w:br w:type="page"/>
      </w:r>
    </w:p>
    <w:p>
      <w:pPr>
        <w:pStyle w:val="Heading1"/>
      </w:pPr>
      <w:r>
        <w:t>Anexo H. El glosario</w:t>
      </w:r>
    </w:p>
    <w:p>
      <w:pPr>
        <w:spacing w:after="200"/>
      </w:pPr>
      <w:r>
        <w:rPr>
          <w:rFonts w:ascii="Segoe UI" w:hAnsi="Segoe UI" w:eastAsia="Segoe UI" w:cs="Segoe UI"/>
          <w:color w:val="6B665E"/>
          <w:sz w:val="17"/>
        </w:rPr>
        <w:t>Primera versión: 7 de octubre de 2026 · Última revisión: 13 de octubre de 2026 · Cambios anotados en el capítulo: 11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reúne las palabras que la obra usa con un sentido preciso, cada una con su definición y el apartado donde se explica: una palabra para cada cosa, y una cosa para cada palabra.</w:t>
      </w:r>
    </w:p>
    <w:p>
      <w:pPr>
        <w:pStyle w:val="ListBullet"/>
      </w:pPr>
      <w:r>
        <w:t>Va por bloques, en el orden de la obra; al final, un índice alfabético lleva a cada palabra.</w:t>
      </w:r>
    </w:p>
    <w:p>
      <w:pPr>
        <w:pStyle w:val="ListBullet"/>
      </w:pPr>
      <w:r>
        <w:t>Lo que solo va como lectura del autor está en su propio bloque, con esa etiqueta.</w:t>
      </w:r>
    </w:p>
    <w:p>
      <w:pPr>
        <w:pStyle w:val="ListBullet"/>
      </w:pPr>
      <w:r>
        <w:t>Cierra con las máximas latinas que la tradición jurídica dejó escritas, cada una con su traducción y su fuente. Ninguna anula una ley con solo citarla.</w:t>
      </w:r>
    </w:p>
    <w:p>
      <w:pPr>
        <w:pStyle w:val="Heading2"/>
      </w:pPr>
      <w:r>
        <w:t>H.0 Propósito</w:t>
      </w:r>
    </w:p>
    <w:p>
      <w:pPr>
        <w:pBdr>
          <w:left w:val="single" w:sz="24" w:space="6" w:color="E2DED6"/>
        </w:pBdr>
        <w:shd w:val="clear" w:color="auto" w:fill="F1EEE8"/>
        <w:spacing w:before="80" w:after="160"/>
        <w:ind w:left="142" w:right="142"/>
      </w:pPr>
      <w:r>
        <w:rPr>
          <w:b/>
        </w:rPr>
        <w:t>La idea: cada palabra de la obra significa siempre lo mismo, y aquí está dicha una sola vez, con el apartado donde se explica.</w:t>
      </w:r>
    </w:p>
    <w:p>
      <w:pPr>
        <w:pStyle w:val="Heading2"/>
      </w:pPr>
      <w:r>
        <w:t>H.1 La obra y sus partes</w:t>
      </w:r>
    </w:p>
    <w:p>
      <w:pPr>
        <w:pBdr>
          <w:left w:val="single" w:sz="24" w:space="6" w:color="E2DED6"/>
        </w:pBdr>
        <w:shd w:val="clear" w:color="auto" w:fill="F1EEE8"/>
        <w:spacing w:before="80" w:after="160"/>
        <w:ind w:left="142" w:right="142"/>
      </w:pPr>
      <w:r>
        <w:rPr>
          <w:b/>
        </w:rPr>
        <w:t>La idea: los nombres de la obra y de sus partes, cada uno para una sola cosa.</w:t>
      </w:r>
    </w:p>
    <w:p>
      <w:pPr>
        <w:pStyle w:val="Heading2"/>
      </w:pPr>
      <w:r>
        <w:t>H.2 La persona</w:t>
      </w:r>
    </w:p>
    <w:p>
      <w:pPr>
        <w:pBdr>
          <w:left w:val="single" w:sz="24" w:space="6" w:color="E2DED6"/>
        </w:pBdr>
        <w:shd w:val="clear" w:color="auto" w:fill="F1EEE8"/>
        <w:spacing w:before="80" w:after="160"/>
        <w:ind w:left="142" w:right="142"/>
      </w:pPr>
      <w:r>
        <w:rPr>
          <w:b/>
        </w:rPr>
        <w:t>La idea: la persona va antes que el Estado, y trae sus derechos al nacer.</w:t>
      </w:r>
    </w:p>
    <w:p>
      <w:pPr>
        <w:pStyle w:val="Heading2"/>
      </w:pPr>
      <w:r>
        <w:t>H.3 Lo que se audita</w:t>
      </w:r>
    </w:p>
    <w:p>
      <w:pPr>
        <w:pBdr>
          <w:left w:val="single" w:sz="24" w:space="6" w:color="E2DED6"/>
        </w:pBdr>
        <w:shd w:val="clear" w:color="auto" w:fill="F1EEE8"/>
        <w:spacing w:before="80" w:after="160"/>
        <w:ind w:left="142" w:right="142"/>
      </w:pPr>
      <w:r>
        <w:rPr>
          <w:b/>
        </w:rPr>
        <w:t>La idea: qué se audita, y con qué palabras se nombra lo que se da por cierto sin serlo.</w:t>
      </w:r>
    </w:p>
    <w:p>
      <w:pPr>
        <w:pStyle w:val="Heading2"/>
      </w:pPr>
      <w:r>
        <w:t>H.4 El orden de las leyes</w:t>
      </w:r>
    </w:p>
    <w:p>
      <w:pPr>
        <w:pBdr>
          <w:left w:val="single" w:sz="24" w:space="6" w:color="E2DED6"/>
        </w:pBdr>
        <w:shd w:val="clear" w:color="auto" w:fill="F1EEE8"/>
        <w:spacing w:before="80" w:after="160"/>
        <w:ind w:left="142" w:right="142"/>
      </w:pPr>
      <w:r>
        <w:rPr>
          <w:b/>
        </w:rPr>
        <w:t>La idea: hay cuatro leyes, y su orden real es el inverso del que da el Estado.</w:t>
      </w:r>
    </w:p>
    <w:p>
      <w:pPr>
        <w:pStyle w:val="Heading2"/>
      </w:pPr>
      <w:r>
        <w:t>H.5 La vara y el método</w:t>
      </w:r>
    </w:p>
    <w:p>
      <w:pPr>
        <w:pBdr>
          <w:left w:val="single" w:sz="24" w:space="6" w:color="E2DED6"/>
        </w:pBdr>
        <w:shd w:val="clear" w:color="auto" w:fill="F1EEE8"/>
        <w:spacing w:before="80" w:after="160"/>
        <w:ind w:left="142" w:right="142"/>
      </w:pPr>
      <w:r>
        <w:rPr>
          <w:b/>
        </w:rPr>
        <w:t>La idea: con qué mide la obra, cuándo da algo por sólido y cómo separa lo probado de lo que es lectura.</w:t>
      </w:r>
    </w:p>
    <w:p>
      <w:pPr>
        <w:pStyle w:val="Heading2"/>
      </w:pPr>
      <w:r>
        <w:t>H.6 El dinero, el tiempo y la carga</w:t>
      </w:r>
    </w:p>
    <w:p>
      <w:pPr>
        <w:pBdr>
          <w:left w:val="single" w:sz="24" w:space="6" w:color="E2DED6"/>
        </w:pBdr>
        <w:shd w:val="clear" w:color="auto" w:fill="F1EEE8"/>
        <w:spacing w:before="80" w:after="160"/>
        <w:ind w:left="142" w:right="142"/>
      </w:pPr>
      <w:r>
        <w:rPr>
          <w:b/>
        </w:rPr>
        <w:t>La idea: el dinero, el tiempo de vida que cuesta y lo que el Estado se lleva de él.</w:t>
      </w:r>
    </w:p>
    <w:p>
      <w:pPr>
        <w:pStyle w:val="Heading2"/>
      </w:pPr>
      <w:r>
        <w:t>H.7 El dictamen</w:t>
      </w:r>
    </w:p>
    <w:p>
      <w:pPr>
        <w:pBdr>
          <w:left w:val="single" w:sz="24" w:space="6" w:color="E2DED6"/>
        </w:pBdr>
        <w:shd w:val="clear" w:color="auto" w:fill="F1EEE8"/>
        <w:spacing w:before="80" w:after="160"/>
        <w:ind w:left="142" w:right="142"/>
      </w:pPr>
      <w:r>
        <w:rPr>
          <w:b/>
        </w:rPr>
        <w:t>La idea: la conclusión de la obra es un dictamen; el veredicto, si llega, es del jurado.</w:t>
      </w:r>
    </w:p>
    <w:p>
      <w:pPr>
        <w:pStyle w:val="Heading2"/>
      </w:pPr>
      <w:r>
        <w:t>H.8 La salida</w:t>
      </w:r>
    </w:p>
    <w:p>
      <w:pPr>
        <w:pBdr>
          <w:left w:val="single" w:sz="24" w:space="6" w:color="E2DED6"/>
        </w:pBdr>
        <w:shd w:val="clear" w:color="auto" w:fill="F1EEE8"/>
        <w:spacing w:before="80" w:after="160"/>
        <w:ind w:left="142" w:right="142"/>
      </w:pPr>
      <w:r>
        <w:rPr>
          <w:b/>
        </w:rPr>
        <w:t>La idea: la salida que propone la obra es la metamorfosis del Estado, por escrito y sin violencia, y el juicio popular de la verdad.</w:t>
      </w:r>
    </w:p>
    <w:p>
      <w:pPr>
        <w:pStyle w:val="Heading2"/>
      </w:pPr>
      <w:r>
        <w:t>H.9 Lo que solo va como lectura del autor</w:t>
      </w:r>
    </w:p>
    <w:p>
      <w:pPr>
        <w:pBdr>
          <w:left w:val="single" w:sz="24" w:space="6" w:color="E2DED6"/>
        </w:pBdr>
        <w:shd w:val="clear" w:color="auto" w:fill="F1EEE8"/>
        <w:spacing w:before="80" w:after="160"/>
        <w:ind w:left="142" w:right="142"/>
      </w:pPr>
      <w:r>
        <w:rPr>
          <w:b/>
        </w:rPr>
        <w:t>La idea: estas palabras no son datos: van siempre bajo «Lectura del autor».</w:t>
      </w:r>
    </w:p>
    <w:p>
      <w:pPr>
        <w:pStyle w:val="Heading2"/>
      </w:pPr>
      <w:r>
        <w:t>H.10 Las máximas latinas</w:t>
      </w:r>
    </w:p>
    <w:p>
      <w:pPr>
        <w:pBdr>
          <w:left w:val="single" w:sz="24" w:space="6" w:color="E2DED6"/>
        </w:pBdr>
        <w:shd w:val="clear" w:color="auto" w:fill="F1EEE8"/>
        <w:spacing w:before="80" w:after="160"/>
        <w:ind w:left="142" w:right="142"/>
      </w:pPr>
      <w:r>
        <w:rPr>
          <w:b/>
        </w:rPr>
        <w:t>La idea: las máximas que la tradición jurídica dejó escritas, cada una con su traducción y su fuente; ninguna anula una ley con solo citarla.</w:t>
      </w:r>
    </w:p>
    <w:p>
      <w:pPr>
        <w:pStyle w:val="Heading2"/>
      </w:pPr>
      <w:r>
        <w:t>Para recordar</w:t>
      </w:r>
    </w:p>
    <w:p>
      <w:pPr>
        <w:pStyle w:val="ListBullet"/>
      </w:pPr>
      <w:r>
        <w:t>Cada palabra de la obra significa siempre lo mismo, y aquí está dicha una sola vez, con el apartado donde se explica.</w:t>
      </w:r>
    </w:p>
    <w:p>
      <w:pPr>
        <w:pStyle w:val="ListBullet"/>
      </w:pPr>
      <w:r>
        <w:t>La obra es «</w:t>
      </w:r>
      <w:r>
        <w:t>Apocalipsis del Sistema</w:t>
      </w:r>
      <w:r>
        <w:t>»; el Registro es el archivo de los frutos.</w:t>
      </w:r>
    </w:p>
    <w:p>
      <w:pPr>
        <w:pStyle w:val="ListBullet"/>
      </w:pPr>
      <w:r>
        <w:t>El orden de las leyes es la ley de Dios, la ley natural, la costumbre y la ley escrita; el orden oficial es el inverso.</w:t>
      </w:r>
    </w:p>
    <w:p>
      <w:pPr>
        <w:pStyle w:val="ListBullet"/>
      </w:pPr>
      <w:r>
        <w:t>La vara mide en dos pasos, la verdad de los hechos y sus frutos; la convergencia es una mesa con sus patas, y la pata coja se dice.</w:t>
      </w:r>
    </w:p>
    <w:p>
      <w:pPr>
        <w:pStyle w:val="ListBullet"/>
      </w:pPr>
      <w:r>
        <w:t>Lo que no es dato va como lectura del autor, con su etiqueta.</w:t>
      </w:r>
    </w:p>
    <w:p>
      <w:pPr>
        <w:pStyle w:val="ListBullet"/>
      </w:pPr>
      <w:r>
        <w:t>Las máximas latinas son costumbre jurídica escrita: cada una va con su fuente, y ninguna anula una ley con solo citarla.</w:t>
      </w:r>
    </w:p>
    <w:p>
      <w:r>
        <w:br w:type="page"/>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r>
        <w:br w:type="page"/>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netas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netas · la obra entera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Apocalipsis del Sistema · Las conclusiones, netas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